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7C0" w:rsidRPr="000D4FA1" w:rsidRDefault="005E05EA" w:rsidP="005E05EA">
      <w:pPr>
        <w:widowControl w:val="0"/>
        <w:spacing w:after="0" w:line="240" w:lineRule="auto"/>
        <w:jc w:val="center"/>
        <w:rPr>
          <w:rFonts w:ascii="Times New Roman" w:eastAsia="Calibri" w:hAnsi="Times New Roman" w:cs="Times New Roman"/>
          <w:sz w:val="28"/>
          <w:szCs w:val="28"/>
          <w:lang w:val="ru-RU" w:eastAsia="ru-RU"/>
        </w:rPr>
      </w:pPr>
      <w:bookmarkStart w:id="0" w:name="_Hlk224333831"/>
      <w:r w:rsidRPr="000D4FA1">
        <w:rPr>
          <w:rFonts w:ascii="Times New Roman" w:eastAsia="Calibri" w:hAnsi="Times New Roman" w:cs="Times New Roman"/>
          <w:sz w:val="28"/>
          <w:szCs w:val="28"/>
          <w:lang w:val="ru-RU" w:eastAsia="ru-RU"/>
        </w:rPr>
        <w:t xml:space="preserve">Министерство </w:t>
      </w:r>
      <w:r w:rsidRPr="000D4FA1">
        <w:rPr>
          <w:rFonts w:ascii="Times New Roman" w:eastAsia="Calibri" w:hAnsi="Times New Roman" w:cs="Times New Roman"/>
          <w:sz w:val="28"/>
          <w:szCs w:val="28"/>
          <w:lang w:val="kk-KZ" w:eastAsia="ru-RU"/>
        </w:rPr>
        <w:t xml:space="preserve">науки и высшего </w:t>
      </w:r>
      <w:bookmarkStart w:id="1" w:name="_Toc32604"/>
      <w:bookmarkStart w:id="2" w:name="_Toc2375"/>
      <w:r w:rsidRPr="000D4FA1">
        <w:rPr>
          <w:rFonts w:ascii="Times New Roman" w:eastAsia="Calibri" w:hAnsi="Times New Roman" w:cs="Times New Roman"/>
          <w:sz w:val="28"/>
          <w:szCs w:val="28"/>
          <w:lang w:val="ru-RU" w:eastAsia="ru-RU"/>
        </w:rPr>
        <w:t>образования Республики Казахстан</w:t>
      </w:r>
      <w:bookmarkEnd w:id="1"/>
      <w:bookmarkEnd w:id="2"/>
    </w:p>
    <w:p w:rsidR="005E05EA" w:rsidRPr="000D4FA1" w:rsidRDefault="005E05EA" w:rsidP="00AF07C0">
      <w:pPr>
        <w:widowControl w:val="0"/>
        <w:spacing w:after="0" w:line="240" w:lineRule="auto"/>
        <w:jc w:val="center"/>
        <w:outlineLvl w:val="0"/>
        <w:rPr>
          <w:rFonts w:ascii="Times New Roman" w:eastAsia="Calibri" w:hAnsi="Times New Roman" w:cs="Times New Roman"/>
          <w:sz w:val="28"/>
          <w:szCs w:val="28"/>
          <w:lang w:val="kk-KZ" w:eastAsia="ru-RU"/>
        </w:rPr>
      </w:pPr>
      <w:bookmarkStart w:id="3" w:name="_Toc13154"/>
      <w:bookmarkStart w:id="4" w:name="_Toc33"/>
    </w:p>
    <w:p w:rsidR="00AF07C0" w:rsidRPr="000D4FA1" w:rsidRDefault="00AF07C0" w:rsidP="00AF07C0">
      <w:pPr>
        <w:widowControl w:val="0"/>
        <w:spacing w:after="0" w:line="240" w:lineRule="auto"/>
        <w:jc w:val="center"/>
        <w:outlineLvl w:val="0"/>
        <w:rPr>
          <w:rFonts w:ascii="Times New Roman" w:eastAsia="Calibri" w:hAnsi="Times New Roman" w:cs="Times New Roman"/>
          <w:sz w:val="28"/>
          <w:szCs w:val="28"/>
          <w:lang w:val="ru-RU" w:eastAsia="ru-RU"/>
        </w:rPr>
      </w:pPr>
      <w:r w:rsidRPr="000D4FA1">
        <w:rPr>
          <w:rFonts w:ascii="Times New Roman" w:eastAsia="Calibri" w:hAnsi="Times New Roman" w:cs="Times New Roman"/>
          <w:sz w:val="28"/>
          <w:szCs w:val="28"/>
          <w:lang w:val="kk-KZ" w:eastAsia="ru-RU"/>
        </w:rPr>
        <w:t>УО</w:t>
      </w:r>
      <w:r w:rsidRPr="000D4FA1">
        <w:rPr>
          <w:rFonts w:ascii="Times New Roman" w:eastAsia="Calibri" w:hAnsi="Times New Roman" w:cs="Times New Roman"/>
          <w:sz w:val="28"/>
          <w:szCs w:val="28"/>
          <w:lang w:val="ru-RU" w:eastAsia="ru-RU"/>
        </w:rPr>
        <w:t xml:space="preserve"> «</w:t>
      </w:r>
      <w:r w:rsidR="005E05EA" w:rsidRPr="000D4FA1">
        <w:rPr>
          <w:rFonts w:ascii="Times New Roman" w:eastAsia="Calibri" w:hAnsi="Times New Roman" w:cs="Times New Roman"/>
          <w:sz w:val="28"/>
          <w:szCs w:val="28"/>
          <w:lang w:val="ru-RU" w:eastAsia="ru-RU"/>
        </w:rPr>
        <w:t>Алматы Менеджмент Университет</w:t>
      </w:r>
      <w:r w:rsidRPr="000D4FA1">
        <w:rPr>
          <w:rFonts w:ascii="Times New Roman" w:eastAsia="Calibri" w:hAnsi="Times New Roman" w:cs="Times New Roman"/>
          <w:sz w:val="28"/>
          <w:szCs w:val="28"/>
          <w:lang w:val="ru-RU" w:eastAsia="ru-RU"/>
        </w:rPr>
        <w:t>»</w:t>
      </w:r>
      <w:bookmarkEnd w:id="3"/>
      <w:bookmarkEnd w:id="4"/>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5E05EA" w:rsidRPr="000D4FA1" w:rsidRDefault="005E05EA"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r w:rsidRPr="000D4FA1">
        <w:rPr>
          <w:rFonts w:ascii="Times New Roman" w:eastAsia="Calibri" w:hAnsi="Times New Roman" w:cs="Times New Roman"/>
          <w:sz w:val="28"/>
          <w:szCs w:val="28"/>
          <w:lang w:val="ru-RU" w:eastAsia="ru-RU"/>
        </w:rPr>
        <w:t>УДК 377.5</w:t>
      </w:r>
      <w:r w:rsidRPr="000D4FA1">
        <w:rPr>
          <w:rFonts w:ascii="Times New Roman" w:eastAsia="Calibri" w:hAnsi="Times New Roman" w:cs="Times New Roman"/>
          <w:sz w:val="28"/>
          <w:szCs w:val="28"/>
          <w:lang w:val="ru-RU" w:eastAsia="ru-RU"/>
        </w:rPr>
        <w:tab/>
      </w:r>
      <w:r w:rsidRPr="000D4FA1">
        <w:rPr>
          <w:rFonts w:ascii="Times New Roman" w:eastAsia="Calibri" w:hAnsi="Times New Roman" w:cs="Times New Roman"/>
          <w:sz w:val="28"/>
          <w:szCs w:val="28"/>
          <w:lang w:val="ru-RU" w:eastAsia="ru-RU"/>
        </w:rPr>
        <w:tab/>
      </w:r>
      <w:r w:rsidRPr="000D4FA1">
        <w:rPr>
          <w:rFonts w:ascii="Times New Roman" w:eastAsia="Calibri" w:hAnsi="Times New Roman" w:cs="Times New Roman"/>
          <w:sz w:val="28"/>
          <w:szCs w:val="28"/>
          <w:lang w:val="ru-RU" w:eastAsia="ru-RU"/>
        </w:rPr>
        <w:tab/>
      </w:r>
      <w:r w:rsidRPr="000D4FA1">
        <w:rPr>
          <w:rFonts w:ascii="Times New Roman" w:eastAsia="Calibri" w:hAnsi="Times New Roman" w:cs="Times New Roman"/>
          <w:sz w:val="28"/>
          <w:szCs w:val="28"/>
          <w:lang w:val="ru-RU" w:eastAsia="ru-RU"/>
        </w:rPr>
        <w:tab/>
      </w:r>
      <w:r w:rsidRPr="000D4FA1">
        <w:rPr>
          <w:rFonts w:ascii="Times New Roman" w:eastAsia="Calibri" w:hAnsi="Times New Roman" w:cs="Times New Roman"/>
          <w:sz w:val="28"/>
          <w:szCs w:val="28"/>
          <w:lang w:val="ru-RU" w:eastAsia="ru-RU"/>
        </w:rPr>
        <w:tab/>
      </w:r>
      <w:r w:rsidR="005E05EA" w:rsidRPr="000D4FA1">
        <w:rPr>
          <w:rFonts w:ascii="Times New Roman" w:eastAsia="Calibri" w:hAnsi="Times New Roman" w:cs="Times New Roman"/>
          <w:sz w:val="28"/>
          <w:szCs w:val="28"/>
          <w:lang w:val="ru-RU" w:eastAsia="ru-RU"/>
        </w:rPr>
        <w:t xml:space="preserve">                     </w:t>
      </w:r>
      <w:r w:rsidRPr="000D4FA1">
        <w:rPr>
          <w:rFonts w:ascii="Times New Roman" w:eastAsia="Calibri" w:hAnsi="Times New Roman" w:cs="Times New Roman"/>
          <w:sz w:val="28"/>
          <w:szCs w:val="28"/>
          <w:lang w:val="ru-RU" w:eastAsia="ru-RU"/>
        </w:rPr>
        <w:tab/>
        <w:t>На правах рукописи</w:t>
      </w:r>
    </w:p>
    <w:p w:rsidR="00AF07C0" w:rsidRPr="000D4FA1" w:rsidRDefault="00AF07C0" w:rsidP="00AF07C0">
      <w:pPr>
        <w:spacing w:after="0" w:line="240" w:lineRule="auto"/>
        <w:jc w:val="center"/>
        <w:rPr>
          <w:rFonts w:ascii="Times New Roman" w:eastAsia="Calibri" w:hAnsi="Times New Roman" w:cs="Times New Roman"/>
          <w:b/>
          <w:sz w:val="28"/>
          <w:szCs w:val="28"/>
          <w:shd w:val="clear" w:color="auto" w:fill="FFFFFF"/>
          <w:lang w:val="ru-RU" w:eastAsia="ru-RU"/>
        </w:rPr>
      </w:pPr>
    </w:p>
    <w:p w:rsidR="00AF07C0" w:rsidRPr="000D4FA1" w:rsidRDefault="00AF07C0" w:rsidP="00AF07C0">
      <w:pPr>
        <w:spacing w:after="0" w:line="240" w:lineRule="auto"/>
        <w:jc w:val="center"/>
        <w:rPr>
          <w:rFonts w:ascii="Times New Roman" w:eastAsia="Calibri" w:hAnsi="Times New Roman" w:cs="Times New Roman"/>
          <w:b/>
          <w:sz w:val="28"/>
          <w:szCs w:val="28"/>
          <w:shd w:val="clear" w:color="auto" w:fill="FFFFFF"/>
          <w:lang w:val="ru-RU" w:eastAsia="ru-RU"/>
        </w:rPr>
      </w:pPr>
    </w:p>
    <w:p w:rsidR="00AF07C0" w:rsidRPr="000D4FA1" w:rsidRDefault="00AF07C0" w:rsidP="00AF07C0">
      <w:pPr>
        <w:spacing w:after="0" w:line="240" w:lineRule="auto"/>
        <w:jc w:val="center"/>
        <w:rPr>
          <w:rFonts w:ascii="Times New Roman" w:eastAsia="Calibri" w:hAnsi="Times New Roman" w:cs="Times New Roman"/>
          <w:b/>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b/>
          <w:sz w:val="28"/>
          <w:szCs w:val="28"/>
          <w:lang w:val="ru-RU" w:eastAsia="ru-RU"/>
        </w:rPr>
      </w:pPr>
    </w:p>
    <w:p w:rsidR="00AF07C0" w:rsidRPr="000D4FA1" w:rsidRDefault="005E5A3A" w:rsidP="005E5A3A">
      <w:pPr>
        <w:jc w:val="center"/>
        <w:rPr>
          <w:rFonts w:ascii="Times New Roman" w:hAnsi="Times New Roman" w:cs="Times New Roman"/>
          <w:b/>
          <w:sz w:val="28"/>
          <w:szCs w:val="28"/>
          <w:lang w:val="ru-RU"/>
        </w:rPr>
      </w:pPr>
      <w:r w:rsidRPr="000D4FA1">
        <w:rPr>
          <w:rFonts w:ascii="Times New Roman" w:hAnsi="Times New Roman" w:cs="Times New Roman"/>
          <w:b/>
          <w:sz w:val="28"/>
          <w:szCs w:val="28"/>
          <w:lang w:val="ru-RU"/>
        </w:rPr>
        <w:t>АБИШЕВ ГАЛЫМЖАН МОТАЕВИЧ</w:t>
      </w:r>
    </w:p>
    <w:p w:rsidR="00AF07C0" w:rsidRPr="000D4FA1" w:rsidRDefault="00AF07C0" w:rsidP="00AF07C0">
      <w:pPr>
        <w:spacing w:after="0" w:line="240" w:lineRule="auto"/>
        <w:jc w:val="center"/>
        <w:rPr>
          <w:rFonts w:ascii="Times New Roman" w:eastAsia="Calibri" w:hAnsi="Times New Roman" w:cs="Times New Roman"/>
          <w:b/>
          <w:sz w:val="28"/>
          <w:szCs w:val="28"/>
          <w:lang w:val="ru-RU" w:eastAsia="ru-RU"/>
        </w:rPr>
      </w:pPr>
    </w:p>
    <w:p w:rsidR="00690968" w:rsidRPr="000D4FA1" w:rsidRDefault="00AF07C0" w:rsidP="00AF07C0">
      <w:pPr>
        <w:pStyle w:val="12"/>
        <w:shd w:val="clear" w:color="auto" w:fill="auto"/>
        <w:tabs>
          <w:tab w:val="left" w:pos="4056"/>
          <w:tab w:val="left" w:pos="6533"/>
        </w:tabs>
        <w:spacing w:before="0" w:line="276" w:lineRule="auto"/>
        <w:jc w:val="center"/>
        <w:rPr>
          <w:rFonts w:ascii="Times New Roman" w:hAnsi="Times New Roman" w:cs="Times New Roman"/>
          <w:b/>
          <w:sz w:val="28"/>
          <w:szCs w:val="28"/>
        </w:rPr>
      </w:pPr>
      <w:r w:rsidRPr="000D4FA1">
        <w:rPr>
          <w:rFonts w:ascii="Times New Roman" w:hAnsi="Times New Roman" w:cs="Times New Roman"/>
          <w:b/>
          <w:sz w:val="28"/>
          <w:szCs w:val="28"/>
        </w:rPr>
        <w:t>Человеческий потенциал как фактор устойчивости организации технического и профессионального образования</w:t>
      </w:r>
    </w:p>
    <w:p w:rsidR="00AF07C0" w:rsidRPr="000D4FA1" w:rsidRDefault="00AF07C0" w:rsidP="00AF07C0">
      <w:pPr>
        <w:pStyle w:val="12"/>
        <w:shd w:val="clear" w:color="auto" w:fill="auto"/>
        <w:tabs>
          <w:tab w:val="left" w:pos="4056"/>
          <w:tab w:val="left" w:pos="6533"/>
        </w:tabs>
        <w:spacing w:before="0" w:line="276" w:lineRule="auto"/>
        <w:jc w:val="center"/>
        <w:rPr>
          <w:rFonts w:ascii="Times New Roman" w:eastAsia="MS Mincho" w:hAnsi="Times New Roman" w:cs="Times New Roman"/>
          <w:b/>
          <w:sz w:val="28"/>
          <w:szCs w:val="28"/>
          <w:lang w:val="kk-KZ" w:eastAsia="ja-JP"/>
        </w:rPr>
      </w:pPr>
      <w:r w:rsidRPr="000D4FA1">
        <w:rPr>
          <w:rFonts w:ascii="Times New Roman" w:hAnsi="Times New Roman" w:cs="Times New Roman"/>
          <w:b/>
          <w:sz w:val="28"/>
          <w:szCs w:val="28"/>
        </w:rPr>
        <w:t xml:space="preserve">(на примере </w:t>
      </w:r>
      <w:r w:rsidRPr="000D4FA1">
        <w:rPr>
          <w:rFonts w:ascii="Times New Roman" w:hAnsi="Times New Roman" w:cs="Times New Roman"/>
          <w:b/>
          <w:sz w:val="28"/>
          <w:szCs w:val="28"/>
          <w:lang w:val="kk-KZ"/>
        </w:rPr>
        <w:t>Шымкентского</w:t>
      </w:r>
      <w:r w:rsidRPr="000D4FA1">
        <w:rPr>
          <w:rFonts w:ascii="Times New Roman" w:hAnsi="Times New Roman" w:cs="Times New Roman"/>
          <w:b/>
          <w:sz w:val="28"/>
          <w:szCs w:val="28"/>
        </w:rPr>
        <w:t xml:space="preserve"> высшего медицинского колледжа</w:t>
      </w:r>
      <w:r w:rsidR="00682C81" w:rsidRPr="000D4FA1">
        <w:rPr>
          <w:rFonts w:ascii="Times New Roman" w:hAnsi="Times New Roman" w:cs="Times New Roman"/>
          <w:b/>
          <w:sz w:val="28"/>
          <w:szCs w:val="28"/>
          <w:lang w:val="kk-KZ"/>
        </w:rPr>
        <w:t>)</w:t>
      </w:r>
    </w:p>
    <w:p w:rsidR="00AF07C0" w:rsidRPr="000D4FA1" w:rsidRDefault="00AF07C0" w:rsidP="00AF07C0">
      <w:pPr>
        <w:spacing w:after="0" w:line="240" w:lineRule="auto"/>
        <w:jc w:val="center"/>
        <w:rPr>
          <w:rFonts w:ascii="Times New Roman" w:eastAsia="Calibri" w:hAnsi="Times New Roman" w:cs="Times New Roman"/>
          <w:b/>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r w:rsidRPr="000D4FA1">
        <w:rPr>
          <w:rFonts w:ascii="Times New Roman" w:eastAsia="Calibri" w:hAnsi="Times New Roman" w:cs="Times New Roman"/>
          <w:sz w:val="28"/>
          <w:szCs w:val="28"/>
          <w:lang w:val="ru-RU" w:eastAsia="ru-RU"/>
        </w:rPr>
        <w:t>8D04102 – «Деловое администрирование»</w:t>
      </w: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r w:rsidRPr="000D4FA1">
        <w:rPr>
          <w:rFonts w:ascii="Times New Roman" w:eastAsia="Calibri" w:hAnsi="Times New Roman" w:cs="Times New Roman"/>
          <w:sz w:val="28"/>
          <w:szCs w:val="28"/>
          <w:lang w:val="ru-RU" w:eastAsia="ru-RU"/>
        </w:rPr>
        <w:t>Диссертация на соискание степени</w:t>
      </w:r>
    </w:p>
    <w:p w:rsidR="00AF07C0" w:rsidRPr="000D4FA1" w:rsidRDefault="00AF07C0" w:rsidP="00AF07C0">
      <w:pPr>
        <w:spacing w:after="0" w:line="240" w:lineRule="auto"/>
        <w:jc w:val="center"/>
        <w:outlineLvl w:val="0"/>
        <w:rPr>
          <w:rFonts w:ascii="Times New Roman" w:eastAsia="Calibri" w:hAnsi="Times New Roman" w:cs="Times New Roman"/>
          <w:b/>
          <w:sz w:val="28"/>
          <w:szCs w:val="28"/>
          <w:lang w:val="ru-RU" w:eastAsia="ru-RU"/>
        </w:rPr>
      </w:pPr>
      <w:bookmarkStart w:id="5" w:name="_Toc22448"/>
      <w:bookmarkStart w:id="6" w:name="_Toc4181"/>
      <w:r w:rsidRPr="000D4FA1">
        <w:rPr>
          <w:rFonts w:ascii="Times New Roman" w:eastAsia="Calibri" w:hAnsi="Times New Roman" w:cs="Times New Roman"/>
          <w:sz w:val="28"/>
          <w:szCs w:val="28"/>
          <w:lang w:val="ru-RU" w:eastAsia="ru-RU"/>
        </w:rPr>
        <w:t xml:space="preserve">доктора </w:t>
      </w:r>
      <w:r w:rsidRPr="000D4FA1">
        <w:rPr>
          <w:rFonts w:ascii="Times New Roman" w:eastAsia="Calibri" w:hAnsi="Times New Roman" w:cs="Times New Roman"/>
          <w:sz w:val="28"/>
          <w:szCs w:val="28"/>
          <w:lang w:val="kk-KZ" w:eastAsia="ru-RU"/>
        </w:rPr>
        <w:t xml:space="preserve">делового администрирования </w:t>
      </w:r>
      <w:r w:rsidRPr="000D4FA1">
        <w:rPr>
          <w:rFonts w:ascii="Times New Roman" w:eastAsia="Calibri" w:hAnsi="Times New Roman" w:cs="Times New Roman"/>
          <w:sz w:val="28"/>
          <w:szCs w:val="28"/>
          <w:lang w:val="ru-RU" w:eastAsia="ru-RU"/>
        </w:rPr>
        <w:t>(</w:t>
      </w:r>
      <w:r w:rsidRPr="000D4FA1">
        <w:rPr>
          <w:rFonts w:ascii="Times New Roman" w:eastAsia="Calibri" w:hAnsi="Times New Roman" w:cs="Times New Roman"/>
          <w:sz w:val="28"/>
          <w:szCs w:val="28"/>
          <w:lang w:eastAsia="ru-RU"/>
        </w:rPr>
        <w:t>DBA</w:t>
      </w:r>
      <w:r w:rsidRPr="000D4FA1">
        <w:rPr>
          <w:rFonts w:ascii="Times New Roman" w:eastAsia="Calibri" w:hAnsi="Times New Roman" w:cs="Times New Roman"/>
          <w:sz w:val="28"/>
          <w:szCs w:val="28"/>
          <w:lang w:val="ru-RU" w:eastAsia="ru-RU"/>
        </w:rPr>
        <w:t>)</w:t>
      </w:r>
      <w:bookmarkEnd w:id="5"/>
      <w:bookmarkEnd w:id="6"/>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right"/>
        <w:rPr>
          <w:rFonts w:ascii="Times New Roman" w:eastAsia="Calibri" w:hAnsi="Times New Roman" w:cs="Times New Roman"/>
          <w:sz w:val="28"/>
          <w:szCs w:val="28"/>
          <w:lang w:val="ru-RU" w:eastAsia="ru-RU"/>
        </w:rPr>
      </w:pPr>
      <w:r w:rsidRPr="000D4FA1">
        <w:rPr>
          <w:rFonts w:ascii="Times New Roman" w:eastAsia="Calibri" w:hAnsi="Times New Roman" w:cs="Times New Roman"/>
          <w:sz w:val="28"/>
          <w:szCs w:val="28"/>
          <w:lang w:val="ru-RU" w:eastAsia="ru-RU"/>
        </w:rPr>
        <w:t>Научные консультанты:</w:t>
      </w:r>
    </w:p>
    <w:p w:rsidR="005E5A3A" w:rsidRPr="000D4FA1" w:rsidRDefault="005E05EA" w:rsidP="005E5A3A">
      <w:pPr>
        <w:pStyle w:val="12"/>
        <w:spacing w:before="0" w:line="276" w:lineRule="auto"/>
        <w:jc w:val="right"/>
        <w:rPr>
          <w:rFonts w:ascii="Times New Roman" w:hAnsi="Times New Roman" w:cs="Times New Roman"/>
          <w:sz w:val="28"/>
          <w:szCs w:val="28"/>
        </w:rPr>
      </w:pPr>
      <w:r w:rsidRPr="000D4FA1">
        <w:rPr>
          <w:rFonts w:ascii="Times New Roman" w:hAnsi="Times New Roman" w:cs="Times New Roman"/>
          <w:sz w:val="28"/>
          <w:szCs w:val="28"/>
        </w:rPr>
        <w:t>кандидат соц</w:t>
      </w:r>
      <w:proofErr w:type="gramStart"/>
      <w:r w:rsidRPr="000D4FA1">
        <w:rPr>
          <w:rFonts w:ascii="Times New Roman" w:hAnsi="Times New Roman" w:cs="Times New Roman"/>
          <w:sz w:val="28"/>
          <w:szCs w:val="28"/>
        </w:rPr>
        <w:t>.н</w:t>
      </w:r>
      <w:proofErr w:type="gramEnd"/>
      <w:r w:rsidRPr="000D4FA1">
        <w:rPr>
          <w:rFonts w:ascii="Times New Roman" w:hAnsi="Times New Roman" w:cs="Times New Roman"/>
          <w:sz w:val="28"/>
          <w:szCs w:val="28"/>
        </w:rPr>
        <w:t xml:space="preserve">аук. </w:t>
      </w:r>
      <w:r w:rsidR="005E5A3A" w:rsidRPr="000D4FA1">
        <w:rPr>
          <w:rFonts w:ascii="Times New Roman" w:hAnsi="Times New Roman" w:cs="Times New Roman"/>
          <w:sz w:val="28"/>
          <w:szCs w:val="28"/>
          <w:lang w:val="kk-KZ"/>
        </w:rPr>
        <w:t>Жакенова</w:t>
      </w:r>
      <w:r w:rsidR="005E5A3A" w:rsidRPr="000D4FA1">
        <w:rPr>
          <w:rFonts w:ascii="Times New Roman" w:hAnsi="Times New Roman" w:cs="Times New Roman"/>
          <w:sz w:val="28"/>
          <w:szCs w:val="28"/>
        </w:rPr>
        <w:t xml:space="preserve"> К.А. </w:t>
      </w:r>
    </w:p>
    <w:p w:rsidR="005E5A3A" w:rsidRPr="000D4FA1" w:rsidRDefault="005E5A3A" w:rsidP="005E5A3A">
      <w:pPr>
        <w:pStyle w:val="12"/>
        <w:spacing w:before="0" w:line="276" w:lineRule="auto"/>
        <w:jc w:val="right"/>
        <w:rPr>
          <w:rFonts w:ascii="Times New Roman" w:hAnsi="Times New Roman" w:cs="Times New Roman"/>
          <w:sz w:val="28"/>
          <w:szCs w:val="28"/>
        </w:rPr>
      </w:pPr>
      <w:r w:rsidRPr="000D4FA1">
        <w:rPr>
          <w:rFonts w:ascii="Times New Roman" w:hAnsi="Times New Roman" w:cs="Times New Roman"/>
          <w:sz w:val="28"/>
          <w:szCs w:val="28"/>
        </w:rPr>
        <w:t xml:space="preserve">                                              </w:t>
      </w:r>
      <w:r w:rsidR="005E05EA" w:rsidRPr="000D4FA1">
        <w:rPr>
          <w:rFonts w:ascii="Times New Roman" w:hAnsi="Times New Roman" w:cs="Times New Roman"/>
          <w:sz w:val="28"/>
          <w:szCs w:val="28"/>
          <w:lang w:val="en-US"/>
        </w:rPr>
        <w:t>PhD</w:t>
      </w:r>
      <w:r w:rsidR="005E05EA" w:rsidRPr="000D4FA1">
        <w:rPr>
          <w:rFonts w:ascii="Times New Roman" w:hAnsi="Times New Roman" w:cs="Times New Roman"/>
          <w:sz w:val="28"/>
          <w:szCs w:val="28"/>
        </w:rPr>
        <w:t>,</w:t>
      </w:r>
      <w:r w:rsidR="005E05EA" w:rsidRPr="000D4FA1">
        <w:rPr>
          <w:rFonts w:ascii="Times New Roman" w:hAnsi="Times New Roman" w:cs="Times New Roman"/>
          <w:sz w:val="28"/>
          <w:szCs w:val="28"/>
          <w:lang w:val="kk-KZ"/>
        </w:rPr>
        <w:t xml:space="preserve"> </w:t>
      </w:r>
      <w:r w:rsidRPr="000D4FA1">
        <w:rPr>
          <w:rFonts w:ascii="Times New Roman" w:hAnsi="Times New Roman" w:cs="Times New Roman"/>
          <w:sz w:val="28"/>
          <w:szCs w:val="28"/>
          <w:lang w:val="kk-KZ"/>
        </w:rPr>
        <w:t>Жамкеева М.К.</w:t>
      </w:r>
      <w:r w:rsidRPr="000D4FA1">
        <w:rPr>
          <w:rFonts w:ascii="Times New Roman" w:hAnsi="Times New Roman" w:cs="Times New Roman"/>
          <w:sz w:val="28"/>
          <w:szCs w:val="28"/>
        </w:rPr>
        <w:t xml:space="preserve"> </w:t>
      </w:r>
    </w:p>
    <w:p w:rsidR="005E5A3A" w:rsidRPr="000D4FA1" w:rsidRDefault="005E5A3A" w:rsidP="00AF07C0">
      <w:pPr>
        <w:spacing w:after="0" w:line="240" w:lineRule="auto"/>
        <w:jc w:val="right"/>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rPr>
          <w:rFonts w:ascii="Times New Roman" w:eastAsia="Calibri" w:hAnsi="Times New Roman" w:cs="Times New Roman"/>
          <w:sz w:val="28"/>
          <w:szCs w:val="28"/>
          <w:lang w:val="ru-RU" w:eastAsia="ru-RU"/>
        </w:rPr>
      </w:pPr>
    </w:p>
    <w:p w:rsidR="00AF07C0" w:rsidRPr="000D4FA1" w:rsidRDefault="00AF07C0" w:rsidP="00AF07C0">
      <w:pPr>
        <w:spacing w:after="0" w:line="240" w:lineRule="auto"/>
        <w:jc w:val="center"/>
        <w:outlineLvl w:val="0"/>
        <w:rPr>
          <w:rFonts w:ascii="Times New Roman" w:eastAsia="Calibri" w:hAnsi="Times New Roman" w:cs="Times New Roman"/>
          <w:sz w:val="28"/>
          <w:szCs w:val="28"/>
          <w:lang w:val="ru-RU" w:eastAsia="ru-RU"/>
        </w:rPr>
      </w:pPr>
      <w:bookmarkStart w:id="7" w:name="_Toc16832"/>
      <w:bookmarkStart w:id="8" w:name="_Toc24003"/>
      <w:r w:rsidRPr="000D4FA1">
        <w:rPr>
          <w:rFonts w:ascii="Times New Roman" w:eastAsia="Calibri" w:hAnsi="Times New Roman" w:cs="Times New Roman"/>
          <w:sz w:val="28"/>
          <w:szCs w:val="28"/>
          <w:lang w:val="ru-RU" w:eastAsia="ru-RU"/>
        </w:rPr>
        <w:t>Алматы, 202</w:t>
      </w:r>
      <w:bookmarkEnd w:id="7"/>
      <w:bookmarkEnd w:id="8"/>
      <w:r w:rsidR="009D1BBE" w:rsidRPr="000D4FA1">
        <w:rPr>
          <w:rFonts w:ascii="Times New Roman" w:eastAsia="Calibri" w:hAnsi="Times New Roman" w:cs="Times New Roman"/>
          <w:sz w:val="28"/>
          <w:szCs w:val="28"/>
          <w:lang w:val="ru-RU" w:eastAsia="ru-RU"/>
        </w:rPr>
        <w:t>6</w:t>
      </w:r>
    </w:p>
    <w:p w:rsidR="005E05EA" w:rsidRPr="000D4FA1" w:rsidRDefault="005E05EA" w:rsidP="00AF07C0">
      <w:pPr>
        <w:spacing w:after="0" w:line="240" w:lineRule="auto"/>
        <w:jc w:val="center"/>
        <w:outlineLvl w:val="0"/>
        <w:rPr>
          <w:rFonts w:ascii="Times New Roman" w:eastAsia="Calibri" w:hAnsi="Times New Roman" w:cs="Times New Roman"/>
          <w:sz w:val="28"/>
          <w:szCs w:val="28"/>
          <w:lang w:val="ru-RU" w:eastAsia="ru-RU"/>
        </w:rPr>
      </w:pPr>
    </w:p>
    <w:p w:rsidR="005E05EA" w:rsidRPr="000D4FA1" w:rsidRDefault="005E05EA" w:rsidP="00AF07C0">
      <w:pPr>
        <w:spacing w:after="0" w:line="240" w:lineRule="auto"/>
        <w:jc w:val="center"/>
        <w:outlineLvl w:val="0"/>
        <w:rPr>
          <w:rFonts w:ascii="Times New Roman" w:eastAsia="Calibri" w:hAnsi="Times New Roman" w:cs="Times New Roman"/>
          <w:b/>
          <w:sz w:val="28"/>
          <w:szCs w:val="28"/>
          <w:lang w:val="ru-RU" w:eastAsia="ru-RU"/>
        </w:rPr>
      </w:pPr>
      <w:r w:rsidRPr="000D4FA1">
        <w:rPr>
          <w:rFonts w:ascii="Times New Roman" w:eastAsia="Calibri" w:hAnsi="Times New Roman" w:cs="Times New Roman"/>
          <w:b/>
          <w:sz w:val="28"/>
          <w:szCs w:val="28"/>
          <w:lang w:val="ru-RU" w:eastAsia="ru-RU"/>
        </w:rPr>
        <w:lastRenderedPageBreak/>
        <w:t xml:space="preserve">СОДЕРЖАНИЕ </w:t>
      </w:r>
    </w:p>
    <w:p w:rsidR="005E05EA" w:rsidRPr="000D4FA1" w:rsidRDefault="005E05EA" w:rsidP="00AF07C0">
      <w:pPr>
        <w:spacing w:after="0" w:line="240" w:lineRule="auto"/>
        <w:jc w:val="center"/>
        <w:outlineLvl w:val="0"/>
        <w:rPr>
          <w:rFonts w:ascii="Times New Roman" w:eastAsia="Calibri" w:hAnsi="Times New Roman" w:cs="Times New Roman"/>
          <w:sz w:val="28"/>
          <w:szCs w:val="28"/>
          <w:lang w:val="ru-RU" w:eastAsia="ru-RU"/>
        </w:rPr>
      </w:pPr>
    </w:p>
    <w:tbl>
      <w:tblPr>
        <w:tblW w:w="9493" w:type="dxa"/>
        <w:tblLook w:val="04A0"/>
      </w:tblPr>
      <w:tblGrid>
        <w:gridCol w:w="704"/>
        <w:gridCol w:w="8080"/>
        <w:gridCol w:w="709"/>
      </w:tblGrid>
      <w:tr w:rsidR="00697D50" w:rsidRPr="000D4FA1" w:rsidTr="006E2083">
        <w:tc>
          <w:tcPr>
            <w:tcW w:w="8784" w:type="dxa"/>
            <w:gridSpan w:val="2"/>
          </w:tcPr>
          <w:p w:rsidR="00697D50" w:rsidRPr="000D4FA1" w:rsidRDefault="00AF07C0" w:rsidP="00697D50">
            <w:pPr>
              <w:spacing w:after="0" w:line="240" w:lineRule="auto"/>
              <w:rPr>
                <w:rFonts w:ascii="Times New Roman" w:eastAsia="Times New Roman" w:hAnsi="Times New Roman" w:cs="Times New Roman"/>
                <w:sz w:val="28"/>
                <w:szCs w:val="28"/>
                <w:lang w:val="kk-KZ" w:eastAsia="ru-RU"/>
              </w:rPr>
            </w:pPr>
            <w:r w:rsidRPr="000D4FA1">
              <w:rPr>
                <w:rFonts w:ascii="Times New Roman" w:eastAsia="Calibri" w:hAnsi="Times New Roman" w:cs="Times New Roman"/>
                <w:szCs w:val="28"/>
                <w:lang w:val="ru-RU" w:eastAsia="ru-RU"/>
              </w:rPr>
              <w:br w:type="page"/>
            </w:r>
            <w:r w:rsidR="00697D50" w:rsidRPr="000D4FA1">
              <w:rPr>
                <w:rFonts w:ascii="Times New Roman" w:eastAsia="Times New Roman" w:hAnsi="Times New Roman" w:cs="Times New Roman"/>
                <w:b/>
                <w:sz w:val="28"/>
                <w:szCs w:val="28"/>
                <w:lang w:val="kk-KZ" w:eastAsia="ru-RU"/>
              </w:rPr>
              <w:t>НОРМАТИВНЫЕ ССЫЛКИ</w:t>
            </w:r>
          </w:p>
        </w:tc>
        <w:tc>
          <w:tcPr>
            <w:tcW w:w="709"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3</w:t>
            </w:r>
          </w:p>
        </w:tc>
      </w:tr>
      <w:tr w:rsidR="00697D50" w:rsidRPr="000D4FA1" w:rsidTr="006E2083">
        <w:tc>
          <w:tcPr>
            <w:tcW w:w="8784" w:type="dxa"/>
            <w:gridSpan w:val="2"/>
          </w:tcPr>
          <w:p w:rsidR="00697D50" w:rsidRPr="000D4FA1" w:rsidRDefault="00697D50" w:rsidP="006E2083">
            <w:pPr>
              <w:spacing w:after="0" w:line="240" w:lineRule="auto"/>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ОБОЗНАЧЕНИЯ И СОКРАЩЕНИЯ</w:t>
            </w:r>
          </w:p>
        </w:tc>
        <w:tc>
          <w:tcPr>
            <w:tcW w:w="709" w:type="dxa"/>
          </w:tcPr>
          <w:p w:rsidR="00697D50" w:rsidRPr="000D4FA1" w:rsidRDefault="00177575" w:rsidP="006E2083">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4</w:t>
            </w:r>
          </w:p>
        </w:tc>
      </w:tr>
      <w:tr w:rsidR="00697D50" w:rsidRPr="000D4FA1" w:rsidTr="006E2083">
        <w:tc>
          <w:tcPr>
            <w:tcW w:w="8784" w:type="dxa"/>
            <w:gridSpan w:val="2"/>
          </w:tcPr>
          <w:p w:rsidR="00697D50" w:rsidRPr="000D4FA1" w:rsidRDefault="00697D50" w:rsidP="006E2083">
            <w:pPr>
              <w:spacing w:after="0" w:line="240" w:lineRule="auto"/>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ВВЕДЕНИЕ</w:t>
            </w:r>
          </w:p>
        </w:tc>
        <w:tc>
          <w:tcPr>
            <w:tcW w:w="709" w:type="dxa"/>
          </w:tcPr>
          <w:p w:rsidR="00697D50" w:rsidRPr="000D4FA1" w:rsidRDefault="00177575" w:rsidP="006E2083">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5</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1</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
                <w:bCs/>
                <w:sz w:val="28"/>
                <w:szCs w:val="28"/>
                <w:lang w:val="ru-RU" w:eastAsia="ru-RU"/>
              </w:rPr>
              <w:t>ТЕОРЕТИЧЕСКИЕ АСПЕКТЫ ЧЕЛОВЕЧЕСКОГО ПОТЕНЦИАЛА И УСТОЙЧИВОСТИ ОРГАНИЗАЦИЙ</w:t>
            </w:r>
            <w:r w:rsidRPr="000D4FA1">
              <w:rPr>
                <w:rFonts w:ascii="Times New Roman" w:eastAsia="Times New Roman" w:hAnsi="Times New Roman" w:cs="Times New Roman"/>
                <w:sz w:val="28"/>
                <w:szCs w:val="28"/>
                <w:lang w:val="ru-RU" w:eastAsia="ru-RU"/>
              </w:rPr>
              <w:t xml:space="preserve"> </w:t>
            </w:r>
          </w:p>
        </w:tc>
        <w:tc>
          <w:tcPr>
            <w:tcW w:w="709" w:type="dxa"/>
          </w:tcPr>
          <w:p w:rsidR="001E09AE" w:rsidRPr="000D4FA1" w:rsidRDefault="001E09AE" w:rsidP="006E2083">
            <w:pPr>
              <w:spacing w:after="0" w:line="240" w:lineRule="auto"/>
              <w:jc w:val="center"/>
              <w:rPr>
                <w:rFonts w:ascii="Times New Roman" w:eastAsia="Times New Roman" w:hAnsi="Times New Roman" w:cs="Times New Roman"/>
                <w:sz w:val="28"/>
                <w:szCs w:val="28"/>
                <w:lang w:val="ru-RU" w:eastAsia="ru-RU"/>
              </w:rPr>
            </w:pPr>
          </w:p>
          <w:p w:rsidR="00697D50" w:rsidRPr="000D4FA1" w:rsidRDefault="00697D50" w:rsidP="002B3956">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eastAsia="ru-RU"/>
              </w:rPr>
              <w:t>1</w:t>
            </w:r>
            <w:r w:rsidR="002742C9" w:rsidRPr="000D4FA1">
              <w:rPr>
                <w:rFonts w:ascii="Times New Roman" w:eastAsia="Times New Roman" w:hAnsi="Times New Roman" w:cs="Times New Roman"/>
                <w:sz w:val="28"/>
                <w:szCs w:val="28"/>
                <w:lang w:val="ru-RU" w:eastAsia="ru-RU"/>
              </w:rPr>
              <w:t>3</w:t>
            </w:r>
          </w:p>
        </w:tc>
      </w:tr>
      <w:tr w:rsidR="00697D50" w:rsidRPr="000D4FA1" w:rsidTr="001E09AE">
        <w:trPr>
          <w:trHeight w:val="465"/>
        </w:trPr>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1.1</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ru-RU" w:eastAsia="ru-RU"/>
              </w:rPr>
              <w:t>Понятие и сущность человеческого потенциала в организации</w:t>
            </w:r>
          </w:p>
        </w:tc>
        <w:tc>
          <w:tcPr>
            <w:tcW w:w="709" w:type="dxa"/>
          </w:tcPr>
          <w:p w:rsidR="00697D50" w:rsidRPr="000D4FA1" w:rsidRDefault="00697D50" w:rsidP="002B3956">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eastAsia="ru-RU"/>
              </w:rPr>
              <w:t>1</w:t>
            </w:r>
            <w:r w:rsidR="002742C9" w:rsidRPr="000D4FA1">
              <w:rPr>
                <w:rFonts w:ascii="Times New Roman" w:eastAsia="Times New Roman" w:hAnsi="Times New Roman" w:cs="Times New Roman"/>
                <w:sz w:val="28"/>
                <w:szCs w:val="28"/>
                <w:lang w:val="ru-RU" w:eastAsia="ru-RU"/>
              </w:rPr>
              <w:t>3</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1.2</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ru-RU" w:eastAsia="ru-RU"/>
              </w:rPr>
              <w:t xml:space="preserve">Устойчивость организаций в контексте </w:t>
            </w:r>
            <w:r w:rsidR="0030289A"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профессионального образования</w:t>
            </w:r>
          </w:p>
        </w:tc>
        <w:tc>
          <w:tcPr>
            <w:tcW w:w="709"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p>
          <w:p w:rsidR="00697D50" w:rsidRPr="000D4FA1" w:rsidRDefault="002B3956" w:rsidP="002B3956">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1</w:t>
            </w:r>
            <w:r w:rsidR="002742C9" w:rsidRPr="000D4FA1">
              <w:rPr>
                <w:rFonts w:ascii="Times New Roman" w:eastAsia="Times New Roman" w:hAnsi="Times New Roman" w:cs="Times New Roman"/>
                <w:sz w:val="28"/>
                <w:szCs w:val="28"/>
                <w:lang w:val="ru-RU" w:eastAsia="ru-RU"/>
              </w:rPr>
              <w:t>8</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1.3</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ru-RU" w:eastAsia="ru-RU"/>
              </w:rPr>
              <w:t>Взаимосвязь человеческого потенциала и устойчивости организаций</w:t>
            </w:r>
          </w:p>
        </w:tc>
        <w:tc>
          <w:tcPr>
            <w:tcW w:w="709"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p>
          <w:p w:rsidR="00697D50" w:rsidRPr="005F6BF4" w:rsidRDefault="002742C9" w:rsidP="006E2083">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3</w:t>
            </w:r>
            <w:r w:rsidR="005F6BF4">
              <w:rPr>
                <w:rFonts w:ascii="Times New Roman" w:eastAsia="Times New Roman" w:hAnsi="Times New Roman" w:cs="Times New Roman"/>
                <w:sz w:val="28"/>
                <w:szCs w:val="28"/>
                <w:lang w:val="ru-RU" w:eastAsia="ru-RU"/>
              </w:rPr>
              <w:t>2</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2</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bCs/>
                <w:sz w:val="28"/>
                <w:szCs w:val="28"/>
                <w:lang w:val="ru-RU" w:eastAsia="ru-RU"/>
              </w:rPr>
              <w:t xml:space="preserve">АНАЛИЗ ЧЕЛОВЕЧЕСКОГО </w:t>
            </w:r>
            <w:r w:rsidRPr="000D4FA1">
              <w:rPr>
                <w:rFonts w:ascii="Times New Roman" w:eastAsia="Times New Roman" w:hAnsi="Times New Roman" w:cs="Times New Roman"/>
                <w:b/>
                <w:bCs/>
                <w:sz w:val="28"/>
                <w:szCs w:val="28"/>
                <w:lang w:val="kk-KZ" w:eastAsia="ru-RU"/>
              </w:rPr>
              <w:t>ПОТЕНЦИАЛА</w:t>
            </w:r>
            <w:r w:rsidR="00235B0C" w:rsidRPr="000D4FA1">
              <w:rPr>
                <w:rFonts w:ascii="Times New Roman" w:eastAsia="Times New Roman" w:hAnsi="Times New Roman" w:cs="Times New Roman"/>
                <w:b/>
                <w:bCs/>
                <w:sz w:val="28"/>
                <w:szCs w:val="28"/>
                <w:lang w:val="kk-KZ" w:eastAsia="ru-RU"/>
              </w:rPr>
              <w:t xml:space="preserve"> </w:t>
            </w:r>
            <w:r w:rsidRPr="000D4FA1">
              <w:rPr>
                <w:rFonts w:ascii="Times New Roman" w:eastAsia="Times New Roman" w:hAnsi="Times New Roman" w:cs="Times New Roman"/>
                <w:b/>
                <w:bCs/>
                <w:sz w:val="28"/>
                <w:szCs w:val="28"/>
                <w:lang w:val="ru-RU" w:eastAsia="ru-RU"/>
              </w:rPr>
              <w:t>В ШЫМКЕНТСКОМ ВЫСШЕМ МЕДИЦИНСКОМ КОЛЛЕДЖЕ</w:t>
            </w:r>
          </w:p>
        </w:tc>
        <w:tc>
          <w:tcPr>
            <w:tcW w:w="709"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p>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4</w:t>
            </w:r>
            <w:r w:rsidR="005F6BF4">
              <w:rPr>
                <w:rFonts w:ascii="Times New Roman" w:eastAsia="Times New Roman" w:hAnsi="Times New Roman" w:cs="Times New Roman"/>
                <w:sz w:val="28"/>
                <w:szCs w:val="28"/>
                <w:lang w:val="ru-RU" w:eastAsia="ru-RU"/>
              </w:rPr>
              <w:t>5</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2.1</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bCs/>
                <w:sz w:val="28"/>
                <w:szCs w:val="28"/>
                <w:lang w:val="ru-RU" w:eastAsia="ru-RU"/>
              </w:rPr>
              <w:t>Характеристика образовательного процесса и кадрового состава колледжа</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4</w:t>
            </w:r>
            <w:r w:rsidR="005F6BF4">
              <w:rPr>
                <w:rFonts w:ascii="Times New Roman" w:eastAsia="Times New Roman" w:hAnsi="Times New Roman" w:cs="Times New Roman"/>
                <w:sz w:val="28"/>
                <w:szCs w:val="28"/>
                <w:lang w:val="ru-RU" w:eastAsia="ru-RU"/>
              </w:rPr>
              <w:t>5</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2.2</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bCs/>
                <w:sz w:val="28"/>
                <w:szCs w:val="28"/>
                <w:lang w:val="ru-RU" w:eastAsia="ru-RU"/>
              </w:rPr>
              <w:t>Оценка уровня человеческого потенциала на основе микроэкономических данных</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6</w:t>
            </w:r>
            <w:r w:rsidR="005F6BF4">
              <w:rPr>
                <w:rFonts w:ascii="Times New Roman" w:eastAsia="Times New Roman" w:hAnsi="Times New Roman" w:cs="Times New Roman"/>
                <w:sz w:val="28"/>
                <w:szCs w:val="28"/>
                <w:lang w:val="ru-RU" w:eastAsia="ru-RU"/>
              </w:rPr>
              <w:t>2</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2.3</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bCs/>
                <w:sz w:val="28"/>
                <w:szCs w:val="28"/>
                <w:lang w:val="ru-RU" w:eastAsia="ru-RU"/>
              </w:rPr>
              <w:t>Влияние макроэкономических факторов на устойчивость организации</w:t>
            </w:r>
          </w:p>
        </w:tc>
        <w:tc>
          <w:tcPr>
            <w:tcW w:w="709" w:type="dxa"/>
          </w:tcPr>
          <w:p w:rsidR="00697D50" w:rsidRPr="000D4FA1" w:rsidRDefault="005F6BF4" w:rsidP="002742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80</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3</w:t>
            </w:r>
          </w:p>
        </w:tc>
        <w:tc>
          <w:tcPr>
            <w:tcW w:w="8080" w:type="dxa"/>
          </w:tcPr>
          <w:p w:rsidR="00697D50" w:rsidRPr="000D4FA1" w:rsidRDefault="005E05EA" w:rsidP="006E2083">
            <w:pPr>
              <w:spacing w:after="0" w:line="240" w:lineRule="auto"/>
              <w:jc w:val="both"/>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bCs/>
                <w:sz w:val="28"/>
                <w:szCs w:val="28"/>
                <w:lang w:val="ru-RU" w:eastAsia="ru-RU"/>
              </w:rPr>
              <w:t>НАУЧНО</w:t>
            </w:r>
            <w:r w:rsidR="007B767F" w:rsidRPr="000D4FA1">
              <w:rPr>
                <w:rFonts w:ascii="Times New Roman" w:eastAsia="Times New Roman" w:hAnsi="Times New Roman" w:cs="Times New Roman"/>
                <w:b/>
                <w:bCs/>
                <w:sz w:val="28"/>
                <w:szCs w:val="28"/>
                <w:lang w:val="ru-RU" w:eastAsia="ru-RU"/>
              </w:rPr>
              <w:t>–</w:t>
            </w:r>
            <w:r w:rsidRPr="000D4FA1">
              <w:rPr>
                <w:rFonts w:ascii="Times New Roman" w:eastAsia="Times New Roman" w:hAnsi="Times New Roman" w:cs="Times New Roman"/>
                <w:b/>
                <w:bCs/>
                <w:sz w:val="28"/>
                <w:szCs w:val="28"/>
                <w:lang w:val="ru-RU" w:eastAsia="ru-RU"/>
              </w:rPr>
              <w:t>ПРАКТИЧЕСКИЕ РЕКОМЕНДАЦИИ ПО РАЗВИТИЮ ЧЕЛОВЕЧЕСКОГО ПОТЕНЦИАЛА В ОРГАНИЗАЦИЯХ ТИПО НА ОСНОВЕ КОЛИЧЕСТВЕННОГО АНАЛИЗА</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9</w:t>
            </w:r>
            <w:r w:rsidR="005F6BF4">
              <w:rPr>
                <w:rFonts w:ascii="Times New Roman" w:eastAsia="Times New Roman" w:hAnsi="Times New Roman" w:cs="Times New Roman"/>
                <w:sz w:val="28"/>
                <w:szCs w:val="28"/>
                <w:lang w:val="ru-RU" w:eastAsia="ru-RU"/>
              </w:rPr>
              <w:t>3</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3.1</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bCs/>
                <w:sz w:val="28"/>
                <w:szCs w:val="28"/>
                <w:lang w:val="ru-RU" w:eastAsia="ru-RU"/>
              </w:rPr>
              <w:t>Оценка влияния социально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экономических факторов на формирование человеческого капитала</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9</w:t>
            </w:r>
            <w:r w:rsidR="005F6BF4">
              <w:rPr>
                <w:rFonts w:ascii="Times New Roman" w:eastAsia="Times New Roman" w:hAnsi="Times New Roman" w:cs="Times New Roman"/>
                <w:sz w:val="28"/>
                <w:szCs w:val="28"/>
                <w:lang w:val="ru-RU" w:eastAsia="ru-RU"/>
              </w:rPr>
              <w:t>3</w:t>
            </w:r>
          </w:p>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3.2</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bCs/>
                <w:sz w:val="28"/>
                <w:szCs w:val="28"/>
                <w:lang w:val="ru-RU" w:eastAsia="ru-RU"/>
              </w:rPr>
              <w:t>Стратегии укрепления организационной устойчивости ТиПО на основе выявленных социально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экономических факторов</w:t>
            </w:r>
            <w:r w:rsidRPr="000D4FA1">
              <w:rPr>
                <w:rFonts w:ascii="Times New Roman" w:eastAsia="Times New Roman" w:hAnsi="Times New Roman" w:cs="Times New Roman"/>
                <w:sz w:val="28"/>
                <w:szCs w:val="28"/>
                <w:lang w:val="kk-KZ" w:eastAsia="ru-RU"/>
              </w:rPr>
              <w:t xml:space="preserve"> </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10</w:t>
            </w:r>
            <w:r w:rsidR="005F6BF4">
              <w:rPr>
                <w:rFonts w:ascii="Times New Roman" w:eastAsia="Times New Roman" w:hAnsi="Times New Roman" w:cs="Times New Roman"/>
                <w:sz w:val="28"/>
                <w:szCs w:val="28"/>
                <w:lang w:val="ru-RU" w:eastAsia="ru-RU"/>
              </w:rPr>
              <w:t>3</w:t>
            </w:r>
          </w:p>
        </w:tc>
      </w:tr>
      <w:tr w:rsidR="00697D50" w:rsidRPr="000D4FA1" w:rsidTr="006E2083">
        <w:tc>
          <w:tcPr>
            <w:tcW w:w="704" w:type="dxa"/>
          </w:tcPr>
          <w:p w:rsidR="00697D50" w:rsidRPr="000D4FA1" w:rsidRDefault="00697D50" w:rsidP="006E2083">
            <w:pPr>
              <w:spacing w:after="0" w:line="240" w:lineRule="auto"/>
              <w:jc w:val="center"/>
              <w:rPr>
                <w:rFonts w:ascii="Times New Roman" w:eastAsia="Times New Roman" w:hAnsi="Times New Roman" w:cs="Times New Roman"/>
                <w:sz w:val="28"/>
                <w:szCs w:val="28"/>
                <w:lang w:val="kk-KZ" w:eastAsia="ru-RU"/>
              </w:rPr>
            </w:pPr>
            <w:r w:rsidRPr="000D4FA1">
              <w:rPr>
                <w:rFonts w:ascii="Times New Roman" w:eastAsia="Times New Roman" w:hAnsi="Times New Roman" w:cs="Times New Roman"/>
                <w:sz w:val="28"/>
                <w:szCs w:val="28"/>
                <w:lang w:val="kk-KZ" w:eastAsia="ru-RU"/>
              </w:rPr>
              <w:t>3.3</w:t>
            </w:r>
          </w:p>
        </w:tc>
        <w:tc>
          <w:tcPr>
            <w:tcW w:w="8080" w:type="dxa"/>
          </w:tcPr>
          <w:p w:rsidR="00697D50" w:rsidRPr="000D4FA1" w:rsidRDefault="00697D50" w:rsidP="006E2083">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Кластерный профиль стран на основе ключевых детерминант человеческого потенциала и факторов устойчивости организаций ТиПО</w:t>
            </w:r>
          </w:p>
        </w:tc>
        <w:tc>
          <w:tcPr>
            <w:tcW w:w="709" w:type="dxa"/>
          </w:tcPr>
          <w:p w:rsidR="00697D50" w:rsidRPr="005F6BF4" w:rsidRDefault="002742C9" w:rsidP="002742C9">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11</w:t>
            </w:r>
            <w:r w:rsidR="005F6BF4">
              <w:rPr>
                <w:rFonts w:ascii="Times New Roman" w:eastAsia="Times New Roman" w:hAnsi="Times New Roman" w:cs="Times New Roman"/>
                <w:sz w:val="28"/>
                <w:szCs w:val="28"/>
                <w:lang w:val="ru-RU" w:eastAsia="ru-RU"/>
              </w:rPr>
              <w:t>8</w:t>
            </w:r>
          </w:p>
        </w:tc>
      </w:tr>
      <w:tr w:rsidR="00697D50" w:rsidRPr="000D4FA1" w:rsidTr="006E2083">
        <w:tc>
          <w:tcPr>
            <w:tcW w:w="8784" w:type="dxa"/>
            <w:gridSpan w:val="2"/>
          </w:tcPr>
          <w:p w:rsidR="00697D50" w:rsidRPr="000D4FA1" w:rsidRDefault="00697D50" w:rsidP="003C096F">
            <w:pPr>
              <w:spacing w:before="100" w:beforeAutospacing="1" w:after="100" w:afterAutospacing="1"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
                <w:bCs/>
                <w:sz w:val="28"/>
                <w:szCs w:val="28"/>
                <w:lang w:val="ru-RU" w:eastAsia="ru-RU"/>
              </w:rPr>
              <w:t>ЗАКЛЮЧЕНИЕ</w:t>
            </w:r>
          </w:p>
        </w:tc>
        <w:tc>
          <w:tcPr>
            <w:tcW w:w="709" w:type="dxa"/>
          </w:tcPr>
          <w:p w:rsidR="00697D50" w:rsidRPr="005F6BF4" w:rsidRDefault="002742C9" w:rsidP="009668E0">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1</w:t>
            </w:r>
            <w:r w:rsidR="009668E0">
              <w:rPr>
                <w:rFonts w:ascii="Times New Roman" w:eastAsia="Times New Roman" w:hAnsi="Times New Roman" w:cs="Times New Roman"/>
                <w:sz w:val="28"/>
                <w:szCs w:val="28"/>
                <w:lang w:val="ru-RU" w:eastAsia="ru-RU"/>
              </w:rPr>
              <w:t>40</w:t>
            </w:r>
          </w:p>
        </w:tc>
      </w:tr>
      <w:tr w:rsidR="00697D50" w:rsidRPr="000D4FA1" w:rsidTr="006E2083">
        <w:tc>
          <w:tcPr>
            <w:tcW w:w="8784" w:type="dxa"/>
            <w:gridSpan w:val="2"/>
          </w:tcPr>
          <w:p w:rsidR="00697D50" w:rsidRPr="000D4FA1" w:rsidRDefault="003C096F" w:rsidP="006E2083">
            <w:pPr>
              <w:spacing w:after="0" w:line="240" w:lineRule="auto"/>
              <w:jc w:val="both"/>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t>СПИСОК ИСПОЛЬЗОВАННЫХ ИСТОЧНИКОВ</w:t>
            </w:r>
          </w:p>
        </w:tc>
        <w:tc>
          <w:tcPr>
            <w:tcW w:w="709" w:type="dxa"/>
          </w:tcPr>
          <w:p w:rsidR="00697D50" w:rsidRPr="005F6BF4" w:rsidRDefault="00697D50" w:rsidP="009668E0">
            <w:pPr>
              <w:spacing w:after="0" w:line="240"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kk-KZ" w:eastAsia="ru-RU"/>
              </w:rPr>
              <w:t>1</w:t>
            </w:r>
            <w:r w:rsidR="009668E0">
              <w:rPr>
                <w:rFonts w:ascii="Times New Roman" w:eastAsia="Times New Roman" w:hAnsi="Times New Roman" w:cs="Times New Roman"/>
                <w:sz w:val="28"/>
                <w:szCs w:val="28"/>
                <w:lang w:val="kk-KZ" w:eastAsia="ru-RU"/>
              </w:rPr>
              <w:t>43</w:t>
            </w:r>
          </w:p>
        </w:tc>
      </w:tr>
    </w:tbl>
    <w:p w:rsidR="005E5A3A" w:rsidRPr="000D4FA1" w:rsidRDefault="005E5A3A" w:rsidP="005E5A3A">
      <w:pPr>
        <w:spacing w:before="100" w:beforeAutospacing="1" w:after="100" w:afterAutospacing="1" w:line="240" w:lineRule="auto"/>
        <w:rPr>
          <w:rFonts w:ascii="Times New Roman" w:eastAsia="Times New Roman" w:hAnsi="Times New Roman" w:cs="Times New Roman"/>
          <w:sz w:val="28"/>
          <w:szCs w:val="28"/>
          <w:lang w:val="ru-RU" w:eastAsia="ru-RU"/>
        </w:rPr>
      </w:pPr>
    </w:p>
    <w:p w:rsidR="005E5A3A" w:rsidRPr="000D4FA1" w:rsidRDefault="005E5A3A" w:rsidP="005E5A3A">
      <w:pPr>
        <w:spacing w:before="100" w:beforeAutospacing="1" w:after="100" w:afterAutospacing="1" w:line="240" w:lineRule="auto"/>
        <w:rPr>
          <w:rFonts w:ascii="Times New Roman" w:eastAsia="Times New Roman" w:hAnsi="Times New Roman" w:cs="Times New Roman"/>
          <w:sz w:val="28"/>
          <w:szCs w:val="28"/>
          <w:lang w:val="ru-RU" w:eastAsia="ru-RU"/>
        </w:rPr>
      </w:pPr>
    </w:p>
    <w:p w:rsidR="005E5A3A" w:rsidRPr="000D4FA1" w:rsidRDefault="005E5A3A" w:rsidP="003C096F">
      <w:pPr>
        <w:spacing w:before="100" w:beforeAutospacing="1" w:after="100" w:afterAutospacing="1" w:line="240" w:lineRule="auto"/>
        <w:rPr>
          <w:rFonts w:ascii="Times New Roman" w:eastAsia="Times New Roman" w:hAnsi="Times New Roman" w:cs="Times New Roman"/>
          <w:sz w:val="28"/>
          <w:szCs w:val="28"/>
          <w:lang w:val="ru-RU" w:eastAsia="ru-RU"/>
        </w:rPr>
      </w:pPr>
    </w:p>
    <w:p w:rsidR="002B3956" w:rsidRPr="000D4FA1" w:rsidRDefault="002B3956" w:rsidP="003C096F">
      <w:pPr>
        <w:spacing w:before="100" w:beforeAutospacing="1" w:after="100" w:afterAutospacing="1" w:line="240" w:lineRule="auto"/>
        <w:rPr>
          <w:rFonts w:ascii="Times New Roman" w:eastAsia="Times New Roman" w:hAnsi="Times New Roman" w:cs="Times New Roman"/>
          <w:sz w:val="28"/>
          <w:szCs w:val="28"/>
          <w:lang w:val="ru-RU" w:eastAsia="ru-RU"/>
        </w:rPr>
      </w:pPr>
    </w:p>
    <w:p w:rsidR="002B3956" w:rsidRPr="000D4FA1" w:rsidRDefault="002B3956" w:rsidP="003C096F">
      <w:pPr>
        <w:spacing w:before="100" w:beforeAutospacing="1" w:after="100" w:afterAutospacing="1" w:line="240" w:lineRule="auto"/>
        <w:rPr>
          <w:rFonts w:ascii="Times New Roman" w:eastAsia="Times New Roman" w:hAnsi="Times New Roman" w:cs="Times New Roman"/>
          <w:sz w:val="28"/>
          <w:szCs w:val="28"/>
          <w:lang w:val="ru-RU" w:eastAsia="ru-RU"/>
        </w:rPr>
      </w:pPr>
    </w:p>
    <w:p w:rsidR="00A00EB3" w:rsidRDefault="00A00EB3" w:rsidP="003C096F">
      <w:pPr>
        <w:spacing w:after="0" w:line="240" w:lineRule="auto"/>
        <w:ind w:firstLine="709"/>
        <w:jc w:val="center"/>
        <w:rPr>
          <w:rFonts w:ascii="Times New Roman" w:hAnsi="Times New Roman" w:cs="Times New Roman"/>
          <w:b/>
          <w:color w:val="000000" w:themeColor="text1"/>
          <w:sz w:val="28"/>
          <w:szCs w:val="28"/>
        </w:rPr>
      </w:pPr>
      <w:r w:rsidRPr="000D4FA1">
        <w:rPr>
          <w:rFonts w:ascii="Times New Roman" w:hAnsi="Times New Roman" w:cs="Times New Roman"/>
          <w:b/>
          <w:color w:val="000000" w:themeColor="text1"/>
          <w:sz w:val="28"/>
          <w:szCs w:val="28"/>
        </w:rPr>
        <w:lastRenderedPageBreak/>
        <w:t>НОРМАТИВНЫЕ ССЫЛКИ</w:t>
      </w:r>
    </w:p>
    <w:p w:rsidR="00A00EB3" w:rsidRPr="000D4FA1" w:rsidRDefault="00A00EB3" w:rsidP="00A00EB3">
      <w:pPr>
        <w:spacing w:after="0" w:line="240" w:lineRule="auto"/>
        <w:ind w:firstLine="709"/>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В настоящей диссертационной работе использованы ссылки на следующие нормативные правовые акты и документы, регулирующие деятельность организаций образования, развитие человеческого потенциала, управление трудовыми ресурсами и функционирование системы технического и профессионального образования Республики Казахстан:</w:t>
      </w:r>
    </w:p>
    <w:p w:rsidR="00A00EB3"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Трудовой кодекс Республики Казахстан от 23 ноября 2015 года №414</w:t>
      </w:r>
      <w:r w:rsidR="007B767F" w:rsidRPr="000D4FA1">
        <w:rPr>
          <w:rFonts w:ascii="Times New Roman" w:hAnsi="Times New Roman" w:cs="Times New Roman"/>
          <w:color w:val="000000" w:themeColor="text1"/>
          <w:sz w:val="28"/>
          <w:szCs w:val="28"/>
          <w:lang w:val="ru-RU"/>
        </w:rPr>
        <w:t>–</w:t>
      </w:r>
      <w:r w:rsidRPr="000D4FA1">
        <w:rPr>
          <w:rFonts w:ascii="Times New Roman" w:hAnsi="Times New Roman" w:cs="Times New Roman"/>
          <w:color w:val="000000" w:themeColor="text1"/>
          <w:sz w:val="28"/>
          <w:szCs w:val="28"/>
        </w:rPr>
        <w:t>V</w:t>
      </w:r>
      <w:r w:rsidRPr="000D4FA1">
        <w:rPr>
          <w:rFonts w:ascii="Times New Roman" w:hAnsi="Times New Roman" w:cs="Times New Roman"/>
          <w:color w:val="000000" w:themeColor="text1"/>
          <w:sz w:val="28"/>
          <w:szCs w:val="28"/>
          <w:lang w:val="ru-RU"/>
        </w:rPr>
        <w:t xml:space="preserve"> ЗРК.</w:t>
      </w:r>
      <w:r w:rsidR="00DE530C" w:rsidRPr="000D4FA1">
        <w:rPr>
          <w:rFonts w:ascii="Times New Roman" w:hAnsi="Times New Roman" w:cs="Times New Roman"/>
          <w:color w:val="000000" w:themeColor="text1"/>
          <w:sz w:val="28"/>
          <w:szCs w:val="28"/>
          <w:lang w:val="ru-RU"/>
        </w:rPr>
        <w:t xml:space="preserve"> </w:t>
      </w:r>
      <w:r w:rsidRPr="000D4FA1">
        <w:rPr>
          <w:rFonts w:ascii="Times New Roman" w:hAnsi="Times New Roman" w:cs="Times New Roman"/>
          <w:color w:val="000000" w:themeColor="text1"/>
          <w:sz w:val="28"/>
          <w:szCs w:val="28"/>
          <w:lang w:val="ru-RU"/>
        </w:rPr>
        <w:t>Регулирует трудовые отношения, вопросы подготовки, переподготовки и повышения квалификации кадров, условия труда педагогических работников.</w:t>
      </w:r>
    </w:p>
    <w:p w:rsidR="00A00EB3"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Закон Республики Казахстан «Об образовании» от 27 июля 2007 года №319</w:t>
      </w:r>
      <w:r w:rsidR="007B767F" w:rsidRPr="000D4FA1">
        <w:rPr>
          <w:rFonts w:ascii="Times New Roman" w:hAnsi="Times New Roman" w:cs="Times New Roman"/>
          <w:color w:val="000000" w:themeColor="text1"/>
          <w:sz w:val="28"/>
          <w:szCs w:val="28"/>
          <w:lang w:val="ru-RU"/>
        </w:rPr>
        <w:t>–</w:t>
      </w:r>
      <w:r w:rsidRPr="000D4FA1">
        <w:rPr>
          <w:rFonts w:ascii="Times New Roman" w:hAnsi="Times New Roman" w:cs="Times New Roman"/>
          <w:color w:val="000000" w:themeColor="text1"/>
          <w:sz w:val="28"/>
          <w:szCs w:val="28"/>
        </w:rPr>
        <w:t>III</w:t>
      </w:r>
      <w:r w:rsidR="00682C81" w:rsidRPr="000D4FA1">
        <w:rPr>
          <w:rFonts w:ascii="Times New Roman" w:hAnsi="Times New Roman" w:cs="Times New Roman"/>
          <w:color w:val="000000" w:themeColor="text1"/>
          <w:sz w:val="28"/>
          <w:szCs w:val="28"/>
          <w:lang w:val="ru-RU"/>
        </w:rPr>
        <w:t xml:space="preserve"> ЗРК</w:t>
      </w:r>
      <w:r w:rsidRPr="000D4FA1">
        <w:rPr>
          <w:rFonts w:ascii="Times New Roman" w:hAnsi="Times New Roman" w:cs="Times New Roman"/>
          <w:color w:val="000000" w:themeColor="text1"/>
          <w:sz w:val="28"/>
          <w:szCs w:val="28"/>
          <w:lang w:val="ru-RU"/>
        </w:rPr>
        <w:t>.</w:t>
      </w:r>
      <w:r w:rsidR="00DE530C" w:rsidRPr="000D4FA1">
        <w:rPr>
          <w:rFonts w:ascii="Times New Roman" w:hAnsi="Times New Roman" w:cs="Times New Roman"/>
          <w:color w:val="000000" w:themeColor="text1"/>
          <w:sz w:val="28"/>
          <w:szCs w:val="28"/>
          <w:lang w:val="ru-RU"/>
        </w:rPr>
        <w:t xml:space="preserve"> </w:t>
      </w:r>
      <w:r w:rsidRPr="000D4FA1">
        <w:rPr>
          <w:rFonts w:ascii="Times New Roman" w:hAnsi="Times New Roman" w:cs="Times New Roman"/>
          <w:color w:val="000000" w:themeColor="text1"/>
          <w:sz w:val="28"/>
          <w:szCs w:val="28"/>
          <w:lang w:val="ru-RU"/>
        </w:rPr>
        <w:t>Определяет общегосударственные требования к системе образования, включая техническое и профессиональное, критерии кадрового обеспечения и стандарты качества образовательных услуг.</w:t>
      </w:r>
    </w:p>
    <w:p w:rsidR="0050346E"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Закон Республики Казахстан «О статусе педагог</w:t>
      </w:r>
      <w:r w:rsidR="00682C81" w:rsidRPr="000D4FA1">
        <w:rPr>
          <w:rFonts w:ascii="Times New Roman" w:hAnsi="Times New Roman" w:cs="Times New Roman"/>
          <w:color w:val="000000" w:themeColor="text1"/>
          <w:sz w:val="28"/>
          <w:szCs w:val="28"/>
          <w:lang w:val="ru-RU"/>
        </w:rPr>
        <w:t>а</w:t>
      </w:r>
      <w:r w:rsidRPr="000D4FA1">
        <w:rPr>
          <w:rFonts w:ascii="Times New Roman" w:hAnsi="Times New Roman" w:cs="Times New Roman"/>
          <w:color w:val="000000" w:themeColor="text1"/>
          <w:sz w:val="28"/>
          <w:szCs w:val="28"/>
          <w:lang w:val="ru-RU"/>
        </w:rPr>
        <w:t>» от 27 декабря 2019 года № 293</w:t>
      </w:r>
      <w:r w:rsidR="007B767F" w:rsidRPr="000D4FA1">
        <w:rPr>
          <w:rFonts w:ascii="Times New Roman" w:hAnsi="Times New Roman" w:cs="Times New Roman"/>
          <w:color w:val="000000" w:themeColor="text1"/>
          <w:sz w:val="28"/>
          <w:szCs w:val="28"/>
          <w:lang w:val="ru-RU"/>
        </w:rPr>
        <w:t>–</w:t>
      </w:r>
      <w:r w:rsidRPr="000D4FA1">
        <w:rPr>
          <w:rFonts w:ascii="Times New Roman" w:hAnsi="Times New Roman" w:cs="Times New Roman"/>
          <w:color w:val="000000" w:themeColor="text1"/>
          <w:sz w:val="28"/>
          <w:szCs w:val="28"/>
        </w:rPr>
        <w:t>VI</w:t>
      </w:r>
      <w:r w:rsidRPr="000D4FA1">
        <w:rPr>
          <w:rFonts w:ascii="Times New Roman" w:hAnsi="Times New Roman" w:cs="Times New Roman"/>
          <w:color w:val="000000" w:themeColor="text1"/>
          <w:sz w:val="28"/>
          <w:szCs w:val="28"/>
          <w:lang w:val="ru-RU"/>
        </w:rPr>
        <w:t xml:space="preserve"> ЗРК. Устанавливает профессиональные права, обязанности и социальные гарантии педагогов, механизмы аттестации и стимулирования их деятельности.</w:t>
      </w:r>
      <w:r w:rsidR="0050346E" w:rsidRPr="000D4FA1">
        <w:rPr>
          <w:rFonts w:ascii="Times New Roman" w:hAnsi="Times New Roman" w:cs="Times New Roman"/>
          <w:lang w:val="ru-RU"/>
        </w:rPr>
        <w:t xml:space="preserve"> </w:t>
      </w:r>
    </w:p>
    <w:p w:rsidR="00A00EB3" w:rsidRPr="000D4FA1" w:rsidRDefault="0050346E"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Концепци</w:t>
      </w:r>
      <w:r w:rsidR="0066569C" w:rsidRPr="000D4FA1">
        <w:rPr>
          <w:rFonts w:ascii="Times New Roman" w:hAnsi="Times New Roman" w:cs="Times New Roman"/>
          <w:color w:val="000000" w:themeColor="text1"/>
          <w:sz w:val="28"/>
          <w:szCs w:val="28"/>
          <w:lang w:val="ru-RU"/>
        </w:rPr>
        <w:t>я</w:t>
      </w:r>
      <w:r w:rsidRPr="000D4FA1">
        <w:rPr>
          <w:rFonts w:ascii="Times New Roman" w:hAnsi="Times New Roman" w:cs="Times New Roman"/>
          <w:color w:val="000000" w:themeColor="text1"/>
          <w:sz w:val="28"/>
          <w:szCs w:val="28"/>
          <w:lang w:val="ru-RU"/>
        </w:rPr>
        <w:t xml:space="preserve"> развития дошкольного, среднего, технического и профессионального образования Республики Казахстан на 2023 – 2029 годы Постановление Правительства Республики Казахстан от 28 марта 2023 года № 249"</w:t>
      </w:r>
    </w:p>
    <w:p w:rsidR="00A00EB3"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Государственный общеобязательный стандарт технического и профессионального образования (ГОСО ТиПО). Устанавливает требования к образовательным программам, компетенциям выпускников и условиям функционирования колледжей.</w:t>
      </w:r>
    </w:p>
    <w:p w:rsidR="0050346E"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Профессиональные стандарты Министерства труда и социальной защиты населения Республики Казахстан.</w:t>
      </w:r>
      <w:r w:rsidR="00DE530C" w:rsidRPr="000D4FA1">
        <w:rPr>
          <w:rFonts w:ascii="Times New Roman" w:hAnsi="Times New Roman" w:cs="Times New Roman"/>
          <w:color w:val="000000" w:themeColor="text1"/>
          <w:sz w:val="28"/>
          <w:szCs w:val="28"/>
          <w:lang w:val="ru-RU"/>
        </w:rPr>
        <w:t xml:space="preserve"> </w:t>
      </w:r>
    </w:p>
    <w:p w:rsidR="00A00EB3"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Национальная рамка квалификаций (НРК) и Отраслевая рамка квалификаций (ОРК) в сфере технического и профессионального образования.</w:t>
      </w:r>
      <w:r w:rsidR="00DE530C" w:rsidRPr="000D4FA1">
        <w:rPr>
          <w:rFonts w:ascii="Times New Roman" w:hAnsi="Times New Roman" w:cs="Times New Roman"/>
          <w:color w:val="000000" w:themeColor="text1"/>
          <w:sz w:val="28"/>
          <w:szCs w:val="28"/>
          <w:lang w:val="ru-RU"/>
        </w:rPr>
        <w:t xml:space="preserve"> </w:t>
      </w:r>
      <w:r w:rsidRPr="000D4FA1">
        <w:rPr>
          <w:rFonts w:ascii="Times New Roman" w:hAnsi="Times New Roman" w:cs="Times New Roman"/>
          <w:color w:val="000000" w:themeColor="text1"/>
          <w:sz w:val="28"/>
          <w:szCs w:val="28"/>
          <w:lang w:val="ru-RU"/>
        </w:rPr>
        <w:t xml:space="preserve"> Описывают уровни профессиональной подготовки и компетенции работников образования и здравоохранения.</w:t>
      </w:r>
    </w:p>
    <w:p w:rsidR="00A00EB3" w:rsidRPr="000D4FA1" w:rsidRDefault="00A00EB3" w:rsidP="006C0BBD">
      <w:pPr>
        <w:numPr>
          <w:ilvl w:val="0"/>
          <w:numId w:val="8"/>
        </w:numPr>
        <w:spacing w:after="0" w:line="240" w:lineRule="auto"/>
        <w:ind w:left="0" w:firstLine="426"/>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Методические рекомендации МОН РК по организации учебного процесса в ТиПО, проведению аттестации педагогов, внедрению кредитной технологии, дуального обучения и цифровизации.</w:t>
      </w:r>
    </w:p>
    <w:p w:rsidR="00A00EB3" w:rsidRPr="000D4FA1" w:rsidRDefault="00A00EB3" w:rsidP="006C0BBD">
      <w:pPr>
        <w:numPr>
          <w:ilvl w:val="0"/>
          <w:numId w:val="8"/>
        </w:numPr>
        <w:spacing w:after="0" w:line="240" w:lineRule="auto"/>
        <w:ind w:left="0" w:firstLine="284"/>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Нормативные статистические классификаторы и методики Бюро национальной статистики РК.</w:t>
      </w:r>
      <w:r w:rsidR="00DE530C" w:rsidRPr="000D4FA1">
        <w:rPr>
          <w:rFonts w:ascii="Times New Roman" w:hAnsi="Times New Roman" w:cs="Times New Roman"/>
          <w:color w:val="000000" w:themeColor="text1"/>
          <w:sz w:val="28"/>
          <w:szCs w:val="28"/>
          <w:lang w:val="ru-RU"/>
        </w:rPr>
        <w:t xml:space="preserve"> </w:t>
      </w:r>
      <w:r w:rsidRPr="000D4FA1">
        <w:rPr>
          <w:rFonts w:ascii="Times New Roman" w:hAnsi="Times New Roman" w:cs="Times New Roman"/>
          <w:color w:val="000000" w:themeColor="text1"/>
          <w:sz w:val="28"/>
          <w:szCs w:val="28"/>
          <w:lang w:val="ru-RU"/>
        </w:rPr>
        <w:t>Использованы для анализа макроэкономических показателей, демографических факторов и данных рынка труда.</w:t>
      </w:r>
    </w:p>
    <w:p w:rsidR="003E1FF8" w:rsidRPr="003C1CE3" w:rsidRDefault="00A00EB3" w:rsidP="003C1CE3">
      <w:pPr>
        <w:numPr>
          <w:ilvl w:val="0"/>
          <w:numId w:val="8"/>
        </w:numPr>
        <w:spacing w:after="0" w:line="240" w:lineRule="auto"/>
        <w:ind w:left="0" w:firstLine="284"/>
        <w:jc w:val="both"/>
        <w:rPr>
          <w:rFonts w:ascii="Times New Roman" w:hAnsi="Times New Roman" w:cs="Times New Roman"/>
          <w:color w:val="000000" w:themeColor="text1"/>
          <w:sz w:val="28"/>
          <w:szCs w:val="28"/>
          <w:lang w:val="ru-RU"/>
        </w:rPr>
      </w:pPr>
      <w:r w:rsidRPr="003C1CE3">
        <w:rPr>
          <w:rFonts w:ascii="Times New Roman" w:hAnsi="Times New Roman" w:cs="Times New Roman"/>
          <w:color w:val="000000" w:themeColor="text1"/>
          <w:sz w:val="28"/>
          <w:szCs w:val="28"/>
          <w:lang w:val="ru-RU"/>
        </w:rPr>
        <w:t>Международные документы:</w:t>
      </w:r>
      <w:r w:rsidR="00044A65" w:rsidRPr="003C1CE3">
        <w:rPr>
          <w:rFonts w:ascii="Times New Roman" w:hAnsi="Times New Roman" w:cs="Times New Roman"/>
          <w:color w:val="000000" w:themeColor="text1"/>
          <w:sz w:val="28"/>
          <w:szCs w:val="28"/>
          <w:lang w:val="ru-RU"/>
        </w:rPr>
        <w:t xml:space="preserve"> </w:t>
      </w:r>
      <w:r w:rsidRPr="003C1CE3">
        <w:rPr>
          <w:rFonts w:ascii="Times New Roman" w:hAnsi="Times New Roman" w:cs="Times New Roman"/>
          <w:color w:val="000000" w:themeColor="text1"/>
          <w:sz w:val="28"/>
          <w:szCs w:val="28"/>
          <w:lang w:val="ru-RU"/>
        </w:rPr>
        <w:t xml:space="preserve">Стандарты </w:t>
      </w:r>
      <w:r w:rsidRPr="003C1CE3">
        <w:rPr>
          <w:rFonts w:ascii="Times New Roman" w:hAnsi="Times New Roman" w:cs="Times New Roman"/>
          <w:color w:val="000000" w:themeColor="text1"/>
          <w:sz w:val="28"/>
          <w:szCs w:val="28"/>
        </w:rPr>
        <w:t>UNESCO</w:t>
      </w:r>
      <w:r w:rsidRPr="003C1CE3">
        <w:rPr>
          <w:rFonts w:ascii="Times New Roman" w:hAnsi="Times New Roman" w:cs="Times New Roman"/>
          <w:color w:val="000000" w:themeColor="text1"/>
          <w:sz w:val="28"/>
          <w:szCs w:val="28"/>
          <w:lang w:val="ru-RU"/>
        </w:rPr>
        <w:t xml:space="preserve"> в области образования;</w:t>
      </w:r>
      <w:r w:rsidR="00C87FD5" w:rsidRPr="003C1CE3">
        <w:rPr>
          <w:rFonts w:ascii="Times New Roman" w:hAnsi="Times New Roman" w:cs="Times New Roman"/>
          <w:color w:val="000000" w:themeColor="text1"/>
          <w:sz w:val="28"/>
          <w:szCs w:val="28"/>
          <w:lang w:val="ru-RU"/>
        </w:rPr>
        <w:t xml:space="preserve"> </w:t>
      </w:r>
      <w:r w:rsidRPr="003C1CE3">
        <w:rPr>
          <w:rFonts w:ascii="Times New Roman" w:hAnsi="Times New Roman" w:cs="Times New Roman"/>
          <w:color w:val="000000" w:themeColor="text1"/>
          <w:sz w:val="28"/>
          <w:szCs w:val="28"/>
          <w:lang w:val="ru-RU"/>
        </w:rPr>
        <w:t xml:space="preserve">Методология </w:t>
      </w:r>
      <w:r w:rsidRPr="003C1CE3">
        <w:rPr>
          <w:rFonts w:ascii="Times New Roman" w:hAnsi="Times New Roman" w:cs="Times New Roman"/>
          <w:color w:val="000000" w:themeColor="text1"/>
          <w:sz w:val="28"/>
          <w:szCs w:val="28"/>
        </w:rPr>
        <w:t>OECD</w:t>
      </w:r>
      <w:r w:rsidRPr="003C1CE3">
        <w:rPr>
          <w:rFonts w:ascii="Times New Roman" w:hAnsi="Times New Roman" w:cs="Times New Roman"/>
          <w:color w:val="000000" w:themeColor="text1"/>
          <w:sz w:val="28"/>
          <w:szCs w:val="28"/>
          <w:lang w:val="ru-RU"/>
        </w:rPr>
        <w:t xml:space="preserve"> по оценке человеческого капитала; Руководства </w:t>
      </w:r>
      <w:r w:rsidRPr="003C1CE3">
        <w:rPr>
          <w:rFonts w:ascii="Times New Roman" w:hAnsi="Times New Roman" w:cs="Times New Roman"/>
          <w:color w:val="000000" w:themeColor="text1"/>
          <w:sz w:val="28"/>
          <w:szCs w:val="28"/>
        </w:rPr>
        <w:t>ILO</w:t>
      </w:r>
      <w:r w:rsidRPr="003C1CE3">
        <w:rPr>
          <w:rFonts w:ascii="Times New Roman" w:hAnsi="Times New Roman" w:cs="Times New Roman"/>
          <w:color w:val="000000" w:themeColor="text1"/>
          <w:sz w:val="28"/>
          <w:szCs w:val="28"/>
          <w:lang w:val="ru-RU"/>
        </w:rPr>
        <w:t xml:space="preserve"> по анализу трудовых ресурсов и профессиональных компетенций.</w:t>
      </w:r>
      <w:r w:rsidR="003C1CE3">
        <w:rPr>
          <w:rFonts w:ascii="Times New Roman" w:hAnsi="Times New Roman" w:cs="Times New Roman"/>
          <w:color w:val="000000" w:themeColor="text1"/>
          <w:sz w:val="28"/>
          <w:szCs w:val="28"/>
          <w:lang w:val="ru-RU"/>
        </w:rPr>
        <w:t xml:space="preserve"> </w:t>
      </w:r>
      <w:r w:rsidR="00EE129A" w:rsidRPr="003C1CE3">
        <w:rPr>
          <w:rFonts w:ascii="Times New Roman" w:hAnsi="Times New Roman" w:cs="Times New Roman"/>
          <w:color w:val="000000" w:themeColor="text1"/>
          <w:sz w:val="28"/>
          <w:szCs w:val="28"/>
          <w:lang w:val="ru-RU"/>
        </w:rPr>
        <w:t xml:space="preserve">Использование </w:t>
      </w:r>
      <w:r w:rsidR="003E1FF8" w:rsidRPr="003C1CE3">
        <w:rPr>
          <w:rFonts w:ascii="Times New Roman" w:hAnsi="Times New Roman" w:cs="Times New Roman"/>
          <w:color w:val="000000" w:themeColor="text1"/>
          <w:sz w:val="28"/>
          <w:szCs w:val="28"/>
          <w:lang w:val="ru-RU"/>
        </w:rPr>
        <w:t>перечисленных</w:t>
      </w:r>
      <w:r w:rsidR="00EE129A" w:rsidRPr="003C1CE3">
        <w:rPr>
          <w:rFonts w:ascii="Times New Roman" w:hAnsi="Times New Roman" w:cs="Times New Roman"/>
          <w:color w:val="000000" w:themeColor="text1"/>
          <w:sz w:val="28"/>
          <w:szCs w:val="28"/>
          <w:lang w:val="ru-RU"/>
        </w:rPr>
        <w:t xml:space="preserve"> нормативных документов обеспечивает правовую и методологическую обоснованность исследования, а также соответствие его результатов законодательству Республики Казахстан и международным подходам к развитию человеческого потенциала.</w:t>
      </w:r>
    </w:p>
    <w:p w:rsidR="003E0A53" w:rsidRPr="000D4FA1" w:rsidRDefault="003E0A53" w:rsidP="003E1FF8">
      <w:pPr>
        <w:spacing w:after="0" w:line="240" w:lineRule="auto"/>
        <w:ind w:firstLine="284"/>
        <w:jc w:val="center"/>
        <w:rPr>
          <w:rFonts w:ascii="Times New Roman" w:hAnsi="Times New Roman" w:cs="Times New Roman"/>
          <w:b/>
          <w:bCs/>
          <w:color w:val="000000" w:themeColor="text1"/>
          <w:sz w:val="28"/>
          <w:szCs w:val="28"/>
          <w:lang w:val="ru-RU"/>
        </w:rPr>
      </w:pPr>
      <w:r w:rsidRPr="000D4FA1">
        <w:rPr>
          <w:rFonts w:ascii="Times New Roman" w:hAnsi="Times New Roman" w:cs="Times New Roman"/>
          <w:b/>
          <w:bCs/>
          <w:color w:val="000000" w:themeColor="text1"/>
          <w:sz w:val="28"/>
          <w:szCs w:val="28"/>
          <w:lang w:val="ru-RU"/>
        </w:rPr>
        <w:lastRenderedPageBreak/>
        <w:t>ОБОЗНАЧЕНИЯ И СОКРАЩЕНИЯ</w:t>
      </w:r>
    </w:p>
    <w:p w:rsidR="003C096F" w:rsidRPr="000D4FA1" w:rsidRDefault="003C096F" w:rsidP="003C096F">
      <w:pPr>
        <w:spacing w:after="0" w:line="240" w:lineRule="auto"/>
        <w:ind w:firstLine="709"/>
        <w:jc w:val="center"/>
        <w:rPr>
          <w:rFonts w:ascii="Times New Roman" w:hAnsi="Times New Roman" w:cs="Times New Roman"/>
          <w:b/>
          <w:bCs/>
          <w:color w:val="000000" w:themeColor="text1"/>
          <w:sz w:val="28"/>
          <w:szCs w:val="28"/>
          <w:lang w:val="ru-RU"/>
        </w:rPr>
      </w:pPr>
    </w:p>
    <w:p w:rsidR="003E0A53" w:rsidRDefault="003E0A53" w:rsidP="003C096F">
      <w:pPr>
        <w:spacing w:after="0"/>
        <w:ind w:firstLine="708"/>
        <w:jc w:val="both"/>
        <w:rPr>
          <w:rFonts w:ascii="Times New Roman" w:hAnsi="Times New Roman" w:cs="Times New Roman"/>
          <w:color w:val="000000" w:themeColor="text1"/>
          <w:sz w:val="28"/>
          <w:szCs w:val="28"/>
          <w:lang w:val="ru-RU"/>
        </w:rPr>
      </w:pPr>
      <w:r w:rsidRPr="000D4FA1">
        <w:rPr>
          <w:rFonts w:ascii="Times New Roman" w:hAnsi="Times New Roman" w:cs="Times New Roman"/>
          <w:color w:val="000000" w:themeColor="text1"/>
          <w:sz w:val="28"/>
          <w:szCs w:val="28"/>
          <w:lang w:val="ru-RU"/>
        </w:rPr>
        <w:t>В настоящей диссертационной работе используются следующие обозначения, термины и сокращения:</w:t>
      </w:r>
    </w:p>
    <w:p w:rsidR="003C1CE3" w:rsidRPr="000D4FA1" w:rsidRDefault="003C1CE3" w:rsidP="003C096F">
      <w:pPr>
        <w:spacing w:after="0"/>
        <w:ind w:firstLine="708"/>
        <w:jc w:val="both"/>
        <w:rPr>
          <w:rFonts w:ascii="Times New Roman" w:hAnsi="Times New Roman" w:cs="Times New Roman"/>
          <w:color w:val="000000" w:themeColor="text1"/>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992"/>
        <w:gridCol w:w="6946"/>
      </w:tblGrid>
      <w:tr w:rsidR="004C039A" w:rsidRPr="003C1CE3" w:rsidTr="003C1CE3">
        <w:tc>
          <w:tcPr>
            <w:tcW w:w="1668" w:type="dxa"/>
          </w:tcPr>
          <w:p w:rsidR="004C039A" w:rsidRPr="003C1CE3" w:rsidRDefault="004C039A" w:rsidP="004C039A">
            <w:pPr>
              <w:spacing w:after="0" w:line="240" w:lineRule="auto"/>
              <w:jc w:val="both"/>
              <w:rPr>
                <w:rFonts w:ascii="Times New Roman" w:eastAsia="Times New Roman" w:hAnsi="Times New Roman" w:cs="Times New Roman"/>
                <w:sz w:val="28"/>
                <w:szCs w:val="28"/>
                <w:lang w:val="kk-KZ" w:eastAsia="ru-RU"/>
              </w:rPr>
            </w:pPr>
            <w:r w:rsidRPr="003C1CE3">
              <w:rPr>
                <w:rFonts w:ascii="Times New Roman" w:hAnsi="Times New Roman" w:cs="Times New Roman"/>
                <w:bCs/>
                <w:color w:val="000000" w:themeColor="text1"/>
                <w:sz w:val="28"/>
                <w:szCs w:val="28"/>
                <w:lang w:val="kk-KZ"/>
              </w:rPr>
              <w:t>ANOVA</w:t>
            </w:r>
          </w:p>
        </w:tc>
        <w:tc>
          <w:tcPr>
            <w:tcW w:w="992" w:type="dxa"/>
          </w:tcPr>
          <w:p w:rsidR="004C039A" w:rsidRPr="003C1CE3" w:rsidRDefault="004C039A" w:rsidP="004C039A">
            <w:pPr>
              <w:spacing w:after="0" w:line="240" w:lineRule="auto"/>
              <w:jc w:val="center"/>
              <w:rPr>
                <w:rFonts w:ascii="Times New Roman" w:eastAsia="Times New Roman" w:hAnsi="Times New Roman" w:cs="Times New Roman"/>
                <w:sz w:val="28"/>
                <w:szCs w:val="28"/>
                <w:lang w:val="kk-KZ" w:eastAsia="ru-RU"/>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3C1CE3">
              <w:rPr>
                <w:rFonts w:ascii="Times New Roman" w:hAnsi="Times New Roman" w:cs="Times New Roman"/>
                <w:color w:val="000000" w:themeColor="text1"/>
                <w:sz w:val="28"/>
                <w:szCs w:val="28"/>
                <w:lang w:val="kk-KZ"/>
              </w:rPr>
              <w:t>дисперсионный анализ</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ВРП</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валовой региональный продукт</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ГОЗ</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государственный образовательный заказ</w:t>
            </w:r>
          </w:p>
        </w:tc>
      </w:tr>
      <w:tr w:rsidR="004C039A" w:rsidRPr="0036668B"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ГРПК</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государственные расходы на подготовку кадров</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ГЧП</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eastAsia="Times New Roman" w:hAnsi="Times New Roman" w:cs="Times New Roman"/>
                <w:sz w:val="28"/>
                <w:szCs w:val="28"/>
                <w:lang w:val="kk-KZ" w:eastAsia="ru-RU"/>
              </w:rPr>
              <w:t>государственно–частное партнёрство</w:t>
            </w:r>
          </w:p>
        </w:tc>
      </w:tr>
      <w:tr w:rsidR="004C039A" w:rsidRPr="0036668B"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GEE</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индекс эффективности государственных расходов на образование</w:t>
            </w:r>
          </w:p>
        </w:tc>
      </w:tr>
      <w:tr w:rsidR="004C039A" w:rsidRPr="0036668B"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GDP_pc</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валовой внутренний продукт на душу населения (в международных сопоставлениях)</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DIR</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индекс демографических факторов риска</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КУ</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кадровая устойчивость</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КТК</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коэффициент текучести кадров</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КП</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кадровый потенциал</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КПЭ</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ключевые показатели эффективности</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eastAsia="Times New Roman" w:hAnsi="Times New Roman" w:cs="Times New Roman"/>
                <w:sz w:val="28"/>
                <w:szCs w:val="28"/>
                <w:lang w:val="kk-KZ" w:eastAsia="ru-RU"/>
              </w:rPr>
              <w:t>KPI</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eastAsia="Times New Roman" w:hAnsi="Times New Roman" w:cs="Times New Roman"/>
                <w:sz w:val="28"/>
                <w:szCs w:val="28"/>
                <w:lang w:val="kk-KZ" w:eastAsia="ru-RU"/>
              </w:rPr>
              <w:t>ключевые показатели эффективности</w:t>
            </w:r>
          </w:p>
        </w:tc>
      </w:tr>
      <w:tr w:rsidR="004C039A" w:rsidRPr="003C1CE3" w:rsidTr="003C1CE3">
        <w:tc>
          <w:tcPr>
            <w:tcW w:w="1668" w:type="dxa"/>
          </w:tcPr>
          <w:p w:rsidR="004C039A" w:rsidRPr="003C1CE3" w:rsidRDefault="004C039A" w:rsidP="004C039A">
            <w:pPr>
              <w:spacing w:after="0" w:line="240" w:lineRule="auto"/>
              <w:jc w:val="both"/>
              <w:rPr>
                <w:rFonts w:ascii="Times New Roman" w:eastAsia="Times New Roman" w:hAnsi="Times New Roman" w:cs="Times New Roman"/>
                <w:sz w:val="28"/>
                <w:szCs w:val="28"/>
                <w:lang w:val="kk-KZ" w:eastAsia="ru-RU"/>
              </w:rPr>
            </w:pPr>
            <w:r w:rsidRPr="003C1CE3">
              <w:rPr>
                <w:rFonts w:ascii="Times New Roman" w:hAnsi="Times New Roman" w:cs="Times New Roman"/>
                <w:bCs/>
                <w:color w:val="000000" w:themeColor="text1"/>
                <w:sz w:val="28"/>
                <w:szCs w:val="28"/>
                <w:lang w:val="kk-KZ"/>
              </w:rPr>
              <w:t>K–means</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3C1CE3">
              <w:rPr>
                <w:rFonts w:ascii="Times New Roman" w:hAnsi="Times New Roman" w:cs="Times New Roman"/>
                <w:color w:val="000000" w:themeColor="text1"/>
                <w:sz w:val="28"/>
                <w:szCs w:val="28"/>
                <w:lang w:val="kk-KZ"/>
              </w:rPr>
              <w:t>алгоритм кластеризации k–средних</w:t>
            </w:r>
          </w:p>
        </w:tc>
      </w:tr>
      <w:tr w:rsidR="004C039A" w:rsidRPr="0036668B" w:rsidTr="003C1CE3">
        <w:tc>
          <w:tcPr>
            <w:tcW w:w="1668" w:type="dxa"/>
          </w:tcPr>
          <w:p w:rsidR="004C039A" w:rsidRPr="003C1CE3" w:rsidRDefault="004C039A" w:rsidP="004C039A">
            <w:pPr>
              <w:spacing w:after="0" w:line="240" w:lineRule="auto"/>
              <w:jc w:val="both"/>
              <w:rPr>
                <w:rFonts w:ascii="Times New Roman" w:eastAsia="Times New Roman" w:hAnsi="Times New Roman" w:cs="Times New Roman"/>
                <w:sz w:val="28"/>
                <w:szCs w:val="28"/>
                <w:lang w:val="kk-KZ" w:eastAsia="ru-RU"/>
              </w:rPr>
            </w:pPr>
            <w:r w:rsidRPr="003C1CE3">
              <w:rPr>
                <w:rFonts w:ascii="Times New Roman" w:hAnsi="Times New Roman" w:cs="Times New Roman"/>
                <w:bCs/>
                <w:color w:val="000000" w:themeColor="text1"/>
                <w:sz w:val="28"/>
                <w:szCs w:val="28"/>
                <w:lang w:val="kk-KZ"/>
              </w:rPr>
              <w:t>LIR</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3C1CE3">
              <w:rPr>
                <w:rFonts w:ascii="Times New Roman" w:hAnsi="Times New Roman" w:cs="Times New Roman"/>
                <w:color w:val="000000" w:themeColor="text1"/>
                <w:sz w:val="28"/>
                <w:szCs w:val="28"/>
                <w:lang w:val="kk-KZ"/>
              </w:rPr>
              <w:t>уровень вовлечённости в профессиональное образование</w:t>
            </w:r>
          </w:p>
        </w:tc>
      </w:tr>
      <w:tr w:rsidR="004C039A" w:rsidRPr="003C1CE3" w:rsidTr="003C1CE3">
        <w:tc>
          <w:tcPr>
            <w:tcW w:w="1668" w:type="dxa"/>
          </w:tcPr>
          <w:p w:rsidR="004C039A" w:rsidRPr="003C1CE3" w:rsidRDefault="004C039A" w:rsidP="004C039A">
            <w:pPr>
              <w:spacing w:after="0" w:line="240" w:lineRule="auto"/>
              <w:jc w:val="both"/>
              <w:rPr>
                <w:rFonts w:ascii="Times New Roman" w:eastAsia="Times New Roman" w:hAnsi="Times New Roman" w:cs="Times New Roman"/>
                <w:sz w:val="28"/>
                <w:szCs w:val="28"/>
                <w:lang w:val="kk-KZ" w:eastAsia="ru-RU"/>
              </w:rPr>
            </w:pPr>
            <w:r w:rsidRPr="003C1CE3">
              <w:rPr>
                <w:rFonts w:ascii="Times New Roman" w:hAnsi="Times New Roman" w:cs="Times New Roman"/>
                <w:bCs/>
                <w:color w:val="000000" w:themeColor="text1"/>
                <w:sz w:val="28"/>
                <w:szCs w:val="28"/>
                <w:lang w:val="kk-KZ"/>
              </w:rPr>
              <w:t>МТБ</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3C1CE3">
              <w:rPr>
                <w:rFonts w:ascii="Times New Roman" w:hAnsi="Times New Roman" w:cs="Times New Roman"/>
                <w:color w:val="000000" w:themeColor="text1"/>
                <w:sz w:val="28"/>
                <w:szCs w:val="28"/>
                <w:lang w:val="kk-KZ"/>
              </w:rPr>
              <w:t>материально–техническая база</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МЭФ</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макроэкономические факторы</w:t>
            </w:r>
          </w:p>
        </w:tc>
      </w:tr>
      <w:tr w:rsidR="004C039A" w:rsidRPr="0036668B"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MB_sub</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государственные расходы на здравоохранение (medical burden), нормированные на душу населения</w:t>
            </w:r>
          </w:p>
        </w:tc>
      </w:tr>
      <w:tr w:rsidR="00217812" w:rsidRPr="0036668B" w:rsidTr="003C1CE3">
        <w:tc>
          <w:tcPr>
            <w:tcW w:w="1668" w:type="dxa"/>
          </w:tcPr>
          <w:p w:rsidR="00217812" w:rsidRPr="003C1CE3" w:rsidRDefault="00217812"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НПА МЗ РК</w:t>
            </w:r>
          </w:p>
        </w:tc>
        <w:tc>
          <w:tcPr>
            <w:tcW w:w="992" w:type="dxa"/>
          </w:tcPr>
          <w:p w:rsidR="00217812" w:rsidRPr="003C1CE3" w:rsidRDefault="00217812" w:rsidP="004C039A">
            <w:pPr>
              <w:spacing w:after="0" w:line="240" w:lineRule="auto"/>
              <w:jc w:val="center"/>
              <w:rPr>
                <w:rFonts w:ascii="Times New Roman" w:hAnsi="Times New Roman" w:cs="Times New Roman"/>
                <w:color w:val="000000" w:themeColor="text1"/>
                <w:sz w:val="28"/>
                <w:szCs w:val="28"/>
                <w:lang w:val="kk-KZ"/>
              </w:rPr>
            </w:pPr>
          </w:p>
        </w:tc>
        <w:tc>
          <w:tcPr>
            <w:tcW w:w="6946" w:type="dxa"/>
          </w:tcPr>
          <w:p w:rsidR="00217812" w:rsidRPr="003C1CE3" w:rsidRDefault="00217812" w:rsidP="00217812">
            <w:pPr>
              <w:autoSpaceDE w:val="0"/>
              <w:autoSpaceDN w:val="0"/>
              <w:adjustRightInd w:val="0"/>
              <w:spacing w:after="0" w:line="240" w:lineRule="auto"/>
              <w:jc w:val="both"/>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Нормативные правовые акты Министерства здравоохранения Республики Казахстан</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ОО</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образовательная организация</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OLS</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метод наименьших квадратов (ordinary least squares)</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ППС</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профессорско–преподавательский состав</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p–value</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уровень статистической значимости</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R²</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коэффициент детерминации</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ТиПО</w:t>
            </w:r>
            <w:r w:rsidRPr="003C1CE3">
              <w:rPr>
                <w:rFonts w:ascii="Times New Roman" w:hAnsi="Times New Roman" w:cs="Times New Roman"/>
                <w:color w:val="000000" w:themeColor="text1"/>
                <w:sz w:val="28"/>
                <w:szCs w:val="28"/>
                <w:lang w:val="kk-KZ"/>
              </w:rPr>
              <w:t xml:space="preserve"> </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техническое и профессиональное образование</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ЗП</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 xml:space="preserve">заработная плата </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ЧП</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человеческий потенциал</w:t>
            </w:r>
          </w:p>
        </w:tc>
      </w:tr>
      <w:tr w:rsidR="004C039A" w:rsidRPr="0036668B"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FB_sub</w:t>
            </w:r>
            <w:r w:rsidRPr="003C1CE3">
              <w:rPr>
                <w:rFonts w:ascii="Times New Roman" w:hAnsi="Times New Roman" w:cs="Times New Roman"/>
                <w:color w:val="000000" w:themeColor="text1"/>
                <w:sz w:val="28"/>
                <w:szCs w:val="28"/>
                <w:lang w:val="kk-KZ"/>
              </w:rPr>
              <w:t xml:space="preserve"> –</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государственные расходы на образование (fiscal burden), нормированные на душу населения</w:t>
            </w:r>
          </w:p>
        </w:tc>
      </w:tr>
      <w:tr w:rsidR="004C039A" w:rsidRPr="003C1CE3" w:rsidTr="003C1CE3">
        <w:tc>
          <w:tcPr>
            <w:tcW w:w="1668" w:type="dxa"/>
          </w:tcPr>
          <w:p w:rsidR="004C039A" w:rsidRPr="003C1CE3" w:rsidRDefault="004C039A" w:rsidP="004C039A">
            <w:pPr>
              <w:spacing w:after="0" w:line="240" w:lineRule="auto"/>
              <w:jc w:val="both"/>
              <w:rPr>
                <w:rFonts w:ascii="Times New Roman" w:hAnsi="Times New Roman" w:cs="Times New Roman"/>
                <w:bCs/>
                <w:color w:val="000000" w:themeColor="text1"/>
                <w:sz w:val="28"/>
                <w:szCs w:val="28"/>
                <w:lang w:val="kk-KZ"/>
              </w:rPr>
            </w:pPr>
            <w:r w:rsidRPr="003C1CE3">
              <w:rPr>
                <w:rFonts w:ascii="Times New Roman" w:hAnsi="Times New Roman" w:cs="Times New Roman"/>
                <w:bCs/>
                <w:color w:val="000000" w:themeColor="text1"/>
                <w:sz w:val="28"/>
                <w:szCs w:val="28"/>
                <w:lang w:val="kk-KZ"/>
              </w:rPr>
              <w:t>Z–score</w:t>
            </w:r>
          </w:p>
        </w:tc>
        <w:tc>
          <w:tcPr>
            <w:tcW w:w="992" w:type="dxa"/>
          </w:tcPr>
          <w:p w:rsidR="004C039A" w:rsidRPr="003C1CE3" w:rsidRDefault="004C039A" w:rsidP="004C039A">
            <w:pPr>
              <w:spacing w:after="0" w:line="240" w:lineRule="auto"/>
              <w:jc w:val="center"/>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w:t>
            </w:r>
          </w:p>
        </w:tc>
        <w:tc>
          <w:tcPr>
            <w:tcW w:w="6946" w:type="dxa"/>
          </w:tcPr>
          <w:p w:rsidR="004C039A" w:rsidRPr="003C1CE3" w:rsidRDefault="004C039A" w:rsidP="004C039A">
            <w:pPr>
              <w:autoSpaceDE w:val="0"/>
              <w:autoSpaceDN w:val="0"/>
              <w:adjustRightInd w:val="0"/>
              <w:spacing w:after="0" w:line="240" w:lineRule="auto"/>
              <w:rPr>
                <w:rFonts w:ascii="Times New Roman" w:hAnsi="Times New Roman" w:cs="Times New Roman"/>
                <w:color w:val="000000" w:themeColor="text1"/>
                <w:sz w:val="28"/>
                <w:szCs w:val="28"/>
                <w:lang w:val="kk-KZ"/>
              </w:rPr>
            </w:pPr>
            <w:r w:rsidRPr="003C1CE3">
              <w:rPr>
                <w:rFonts w:ascii="Times New Roman" w:hAnsi="Times New Roman" w:cs="Times New Roman"/>
                <w:color w:val="000000" w:themeColor="text1"/>
                <w:sz w:val="28"/>
                <w:szCs w:val="28"/>
                <w:lang w:val="kk-KZ"/>
              </w:rPr>
              <w:t>стандартизированное значение переменной</w:t>
            </w:r>
          </w:p>
        </w:tc>
      </w:tr>
    </w:tbl>
    <w:p w:rsidR="00B90860" w:rsidRPr="000D4FA1" w:rsidRDefault="00B90860" w:rsidP="003C096F">
      <w:pPr>
        <w:spacing w:after="0"/>
        <w:rPr>
          <w:rFonts w:ascii="Times New Roman" w:hAnsi="Times New Roman" w:cs="Times New Roman"/>
          <w:color w:val="000000" w:themeColor="text1"/>
          <w:sz w:val="28"/>
          <w:szCs w:val="28"/>
        </w:rPr>
      </w:pPr>
    </w:p>
    <w:p w:rsidR="003C096F" w:rsidRPr="000D4FA1" w:rsidRDefault="003C096F" w:rsidP="008506F2">
      <w:pPr>
        <w:spacing w:after="0" w:line="240" w:lineRule="auto"/>
        <w:rPr>
          <w:rFonts w:ascii="Times New Roman" w:hAnsi="Times New Roman" w:cs="Times New Roman"/>
          <w:color w:val="000000" w:themeColor="text1"/>
          <w:sz w:val="28"/>
          <w:szCs w:val="28"/>
        </w:rPr>
      </w:pPr>
    </w:p>
    <w:p w:rsidR="003C096F" w:rsidRPr="000D4FA1" w:rsidRDefault="003C096F" w:rsidP="008506F2">
      <w:pPr>
        <w:spacing w:after="0" w:line="240" w:lineRule="auto"/>
        <w:rPr>
          <w:rFonts w:ascii="Times New Roman" w:hAnsi="Times New Roman" w:cs="Times New Roman"/>
          <w:color w:val="000000" w:themeColor="text1"/>
          <w:sz w:val="28"/>
          <w:szCs w:val="28"/>
        </w:rPr>
      </w:pPr>
    </w:p>
    <w:p w:rsidR="007A6624" w:rsidRPr="000D4FA1" w:rsidRDefault="003C096F" w:rsidP="007A6624">
      <w:pPr>
        <w:spacing w:before="100" w:beforeAutospacing="1" w:after="100" w:afterAutospacing="1" w:line="240" w:lineRule="auto"/>
        <w:jc w:val="center"/>
        <w:rPr>
          <w:rFonts w:ascii="Times New Roman" w:eastAsia="Times New Roman" w:hAnsi="Times New Roman" w:cs="Times New Roman"/>
          <w:sz w:val="28"/>
          <w:szCs w:val="28"/>
          <w:lang w:val="ru-RU" w:eastAsia="ru-RU"/>
        </w:rPr>
      </w:pPr>
      <w:bookmarkStart w:id="9" w:name="_Hlk229438859"/>
      <w:r w:rsidRPr="000D4FA1">
        <w:rPr>
          <w:rFonts w:ascii="Times New Roman" w:eastAsia="Times New Roman" w:hAnsi="Times New Roman" w:cs="Times New Roman"/>
          <w:b/>
          <w:bCs/>
          <w:sz w:val="28"/>
          <w:szCs w:val="28"/>
          <w:lang w:val="ru-RU" w:eastAsia="ru-RU"/>
        </w:rPr>
        <w:lastRenderedPageBreak/>
        <w:t>В</w:t>
      </w:r>
      <w:r w:rsidR="00543F54" w:rsidRPr="000D4FA1">
        <w:rPr>
          <w:rFonts w:ascii="Times New Roman" w:eastAsia="Times New Roman" w:hAnsi="Times New Roman" w:cs="Times New Roman"/>
          <w:b/>
          <w:bCs/>
          <w:sz w:val="28"/>
          <w:szCs w:val="28"/>
          <w:lang w:val="ru-RU" w:eastAsia="ru-RU"/>
        </w:rPr>
        <w:t>ВЕДЕНИЕ</w:t>
      </w:r>
    </w:p>
    <w:p w:rsidR="007343CF" w:rsidRPr="00D25302" w:rsidRDefault="007343CF" w:rsidP="007343CF">
      <w:pPr>
        <w:spacing w:after="0" w:line="240" w:lineRule="auto"/>
        <w:ind w:firstLine="720"/>
        <w:jc w:val="both"/>
        <w:outlineLvl w:val="1"/>
        <w:rPr>
          <w:rFonts w:ascii="Times New Roman" w:eastAsia="Times New Roman" w:hAnsi="Times New Roman" w:cs="Times New Roman"/>
          <w:sz w:val="28"/>
          <w:szCs w:val="28"/>
          <w:lang w:val="kk-KZ"/>
        </w:rPr>
      </w:pPr>
      <w:r w:rsidRPr="00D25302">
        <w:rPr>
          <w:rFonts w:ascii="Times New Roman" w:eastAsia="Times New Roman" w:hAnsi="Times New Roman" w:cs="Times New Roman"/>
          <w:b/>
          <w:bCs/>
          <w:sz w:val="28"/>
          <w:szCs w:val="28"/>
          <w:lang w:val="kk-KZ"/>
        </w:rPr>
        <w:t>Актуальность исследования</w:t>
      </w:r>
      <w:r>
        <w:rPr>
          <w:rFonts w:ascii="Times New Roman" w:eastAsia="Times New Roman" w:hAnsi="Times New Roman" w:cs="Times New Roman"/>
          <w:b/>
          <w:bCs/>
          <w:sz w:val="28"/>
          <w:szCs w:val="28"/>
          <w:lang w:val="kk-KZ"/>
        </w:rPr>
        <w:t xml:space="preserve">. </w:t>
      </w:r>
      <w:r w:rsidRPr="00D25302">
        <w:rPr>
          <w:rFonts w:ascii="Times New Roman" w:eastAsia="Times New Roman" w:hAnsi="Times New Roman" w:cs="Times New Roman"/>
          <w:sz w:val="28"/>
          <w:szCs w:val="28"/>
          <w:lang w:val="kk-KZ"/>
        </w:rPr>
        <w:t>В современных условиях социально</w:t>
      </w:r>
      <w:r>
        <w:rPr>
          <w:rFonts w:ascii="Times New Roman" w:eastAsia="Times New Roman" w:hAnsi="Times New Roman" w:cs="Times New Roman"/>
          <w:sz w:val="28"/>
          <w:szCs w:val="28"/>
          <w:lang w:val="kk-KZ"/>
        </w:rPr>
        <w:t xml:space="preserve"> –</w:t>
      </w:r>
      <w:r w:rsidRPr="00D25302">
        <w:rPr>
          <w:rFonts w:ascii="Times New Roman" w:eastAsia="Times New Roman" w:hAnsi="Times New Roman" w:cs="Times New Roman"/>
          <w:sz w:val="28"/>
          <w:szCs w:val="28"/>
          <w:lang w:val="kk-KZ"/>
        </w:rPr>
        <w:t>экономической трансформации система технического и профессионального образования Республики Казахстан развивается под влиянием цифровизации, глобализации, модернизации рынка труда и повышения требований к качеству подготовки кадров. В данных условиях особую значимость приобретает устойчивость образовательных организаций, обеспечивающая их способность адаптироваться к институциональным, экономическим и технологическим изменениям.</w:t>
      </w:r>
    </w:p>
    <w:p w:rsidR="007343CF" w:rsidRPr="00D25302" w:rsidRDefault="007343CF" w:rsidP="007343CF">
      <w:pPr>
        <w:spacing w:after="0" w:line="240" w:lineRule="auto"/>
        <w:ind w:firstLine="720"/>
        <w:jc w:val="both"/>
        <w:rPr>
          <w:rFonts w:ascii="Times New Roman" w:eastAsia="Times New Roman" w:hAnsi="Times New Roman" w:cs="Times New Roman"/>
          <w:sz w:val="28"/>
          <w:szCs w:val="28"/>
          <w:lang w:val="kk-KZ"/>
        </w:rPr>
      </w:pPr>
      <w:r w:rsidRPr="00D25302">
        <w:rPr>
          <w:rFonts w:ascii="Times New Roman" w:eastAsia="Times New Roman" w:hAnsi="Times New Roman" w:cs="Times New Roman"/>
          <w:sz w:val="28"/>
          <w:szCs w:val="28"/>
          <w:lang w:val="kk-KZ"/>
        </w:rPr>
        <w:t>Государственная политика Казахстана в сфере образования ориентирована на развитие человеческого потенциала как одного из ключевых факторов устойчивого развития организаций ТиПО. В Концепции развития дошкольного, среднего, технического и профессионального образования Республики Казахстан на 2023–2029 годы, а также в программе «Цифровой Казахстан» особое внимание уделяется повышению качества подготовки кадров, развитию цифровой инфраструктуры, совершенствованию кадровой политики и внедрению инновационных образовательных технологий [1,2].</w:t>
      </w:r>
    </w:p>
    <w:p w:rsidR="007343CF" w:rsidRPr="00D25302" w:rsidRDefault="007343CF" w:rsidP="007343CF">
      <w:pPr>
        <w:spacing w:after="0" w:line="240" w:lineRule="auto"/>
        <w:ind w:firstLine="720"/>
        <w:jc w:val="both"/>
        <w:rPr>
          <w:rFonts w:ascii="Times New Roman" w:eastAsia="Times New Roman" w:hAnsi="Times New Roman" w:cs="Times New Roman"/>
          <w:sz w:val="28"/>
          <w:szCs w:val="28"/>
          <w:lang w:val="kk-KZ"/>
        </w:rPr>
      </w:pPr>
      <w:r w:rsidRPr="00D25302">
        <w:rPr>
          <w:rFonts w:ascii="Times New Roman" w:eastAsia="Times New Roman" w:hAnsi="Times New Roman" w:cs="Times New Roman"/>
          <w:sz w:val="28"/>
          <w:szCs w:val="28"/>
          <w:lang w:val="kk-KZ"/>
        </w:rPr>
        <w:t xml:space="preserve">Важное место в реализации данных задач занимают медицинские колледжи, обеспечивающие подготовку специалистов для системы здравоохранения. ГКП на ПХВ «Высший медицинский колледж» управления здравоохранения г. Шымкент </w:t>
      </w:r>
      <w:r>
        <w:rPr>
          <w:rFonts w:ascii="Times New Roman" w:eastAsia="Times New Roman" w:hAnsi="Times New Roman" w:cs="Times New Roman"/>
          <w:sz w:val="28"/>
          <w:szCs w:val="28"/>
          <w:lang w:val="kk-KZ"/>
        </w:rPr>
        <w:t xml:space="preserve">(далее – Шымкентский высший медицинский колледж) </w:t>
      </w:r>
      <w:r w:rsidRPr="00D25302">
        <w:rPr>
          <w:rFonts w:ascii="Times New Roman" w:eastAsia="Times New Roman" w:hAnsi="Times New Roman" w:cs="Times New Roman"/>
          <w:sz w:val="28"/>
          <w:szCs w:val="28"/>
          <w:lang w:val="kk-KZ"/>
        </w:rPr>
        <w:t>представляет собой значимый элемент региональной системы подготовки медицинских кадров и выступает базой для исследования факторов устойчивости организаций ТиПО медицинского профиля</w:t>
      </w:r>
      <w:r>
        <w:rPr>
          <w:rFonts w:ascii="Times New Roman" w:eastAsia="Times New Roman" w:hAnsi="Times New Roman" w:cs="Times New Roman"/>
          <w:sz w:val="28"/>
          <w:szCs w:val="28"/>
          <w:lang w:val="kk-KZ"/>
        </w:rPr>
        <w:t xml:space="preserve"> </w:t>
      </w:r>
      <w:r w:rsidRPr="00D2530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3</w:t>
      </w:r>
      <w:r w:rsidRPr="00D25302">
        <w:rPr>
          <w:rFonts w:ascii="Times New Roman" w:eastAsia="Times New Roman" w:hAnsi="Times New Roman" w:cs="Times New Roman"/>
          <w:sz w:val="28"/>
          <w:szCs w:val="28"/>
          <w:lang w:val="kk-KZ"/>
        </w:rPr>
        <w:t>].</w:t>
      </w:r>
    </w:p>
    <w:p w:rsidR="007343CF" w:rsidRPr="0036668B" w:rsidRDefault="007343CF" w:rsidP="007343CF">
      <w:pPr>
        <w:spacing w:after="0" w:line="240" w:lineRule="auto"/>
        <w:ind w:firstLine="720"/>
        <w:jc w:val="both"/>
        <w:rPr>
          <w:rFonts w:ascii="Times New Roman" w:eastAsia="Times New Roman" w:hAnsi="Times New Roman" w:cs="Times New Roman"/>
          <w:sz w:val="28"/>
          <w:szCs w:val="28"/>
          <w:lang w:val="kk-KZ"/>
        </w:rPr>
      </w:pPr>
      <w:r w:rsidRPr="00D25302">
        <w:rPr>
          <w:rFonts w:ascii="Times New Roman" w:eastAsia="Times New Roman" w:hAnsi="Times New Roman" w:cs="Times New Roman"/>
          <w:sz w:val="28"/>
          <w:szCs w:val="28"/>
          <w:lang w:val="kk-KZ"/>
        </w:rPr>
        <w:t xml:space="preserve">Современные изменения в системе образования требуют от организаций ТиПО не только адаптации образовательных программ к требованиям рынка труда, но и формирования эффективных механизмов управления человеческим потенциалом. Особую актуальность приобретают вопросы кадровой устойчивости, профессионального развития преподавателей, развития </w:t>
      </w:r>
      <w:r w:rsidRPr="0036668B">
        <w:rPr>
          <w:rFonts w:ascii="Times New Roman" w:eastAsia="Times New Roman" w:hAnsi="Times New Roman" w:cs="Times New Roman"/>
          <w:sz w:val="28"/>
          <w:szCs w:val="28"/>
          <w:lang w:val="kk-KZ"/>
        </w:rPr>
        <w:t>цифровых компетенций и совершенствования организационной среды.</w:t>
      </w:r>
    </w:p>
    <w:p w:rsidR="00791BEE" w:rsidRPr="0036668B" w:rsidRDefault="00791BEE" w:rsidP="00901638">
      <w:pPr>
        <w:spacing w:after="0"/>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Несмотря на проводимые реформы в системе ТиПО, в организациях медицинского профиля сохраняются проблемы кадровой устойчивости, адаптации преподавателей к цифровизации, ограниченности механизмов развития человеческого потенциала и недостаточной интеграции управленческих инструментов устойчивого развития. В результате возникает прикладная управленческая проблема, связанная с необходимостью формирования эффективной модели управления человеческим потенциалом, обеспечивающей устойчивость образовательной организации в условиях изменений внешней среды.</w:t>
      </w:r>
    </w:p>
    <w:p w:rsidR="007A6624" w:rsidRPr="0036668B" w:rsidRDefault="007A6624" w:rsidP="00901638">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 В республиканских и городских программах акцентируется необходимость улучшения инфраструктуры колледжей, повышения квалификации педагогического состава и привлечения студентов к </w:t>
      </w:r>
      <w:r w:rsidRPr="0036668B">
        <w:rPr>
          <w:rFonts w:ascii="Times New Roman" w:eastAsia="Times New Roman" w:hAnsi="Times New Roman" w:cs="Times New Roman"/>
          <w:sz w:val="28"/>
          <w:szCs w:val="28"/>
          <w:lang w:val="ru-RU" w:eastAsia="ru-RU"/>
        </w:rPr>
        <w:lastRenderedPageBreak/>
        <w:t xml:space="preserve">инновационным проектам. </w:t>
      </w:r>
      <w:r w:rsidR="00A36E67" w:rsidRPr="0036668B">
        <w:rPr>
          <w:rFonts w:ascii="Times New Roman" w:eastAsia="Times New Roman" w:hAnsi="Times New Roman" w:cs="Times New Roman"/>
          <w:sz w:val="28"/>
          <w:szCs w:val="28"/>
          <w:lang w:val="ru-RU" w:eastAsia="ru-RU"/>
        </w:rPr>
        <w:t>Шымкентский в</w:t>
      </w:r>
      <w:r w:rsidR="00F713BD" w:rsidRPr="0036668B">
        <w:rPr>
          <w:rFonts w:ascii="Times New Roman" w:eastAsia="Times New Roman" w:hAnsi="Times New Roman" w:cs="Times New Roman"/>
          <w:bCs/>
          <w:sz w:val="28"/>
          <w:szCs w:val="28"/>
          <w:lang w:val="ru-RU" w:eastAsia="ru-RU"/>
        </w:rPr>
        <w:t xml:space="preserve">ысший медицинский колледж </w:t>
      </w:r>
      <w:r w:rsidRPr="0036668B">
        <w:rPr>
          <w:rFonts w:ascii="Times New Roman" w:eastAsia="Times New Roman" w:hAnsi="Times New Roman" w:cs="Times New Roman"/>
          <w:sz w:val="28"/>
          <w:szCs w:val="28"/>
          <w:lang w:val="ru-RU" w:eastAsia="ru-RU"/>
        </w:rPr>
        <w:t>активно участвует в этих инициативах, развивая свою материально</w:t>
      </w:r>
      <w:r w:rsidR="007B767F" w:rsidRPr="0036668B">
        <w:rPr>
          <w:rFonts w:ascii="Times New Roman" w:eastAsia="Times New Roman" w:hAnsi="Times New Roman" w:cs="Times New Roman"/>
          <w:sz w:val="28"/>
          <w:szCs w:val="28"/>
          <w:lang w:val="ru-RU" w:eastAsia="ru-RU"/>
        </w:rPr>
        <w:t>–</w:t>
      </w:r>
      <w:r w:rsidRPr="0036668B">
        <w:rPr>
          <w:rFonts w:ascii="Times New Roman" w:eastAsia="Times New Roman" w:hAnsi="Times New Roman" w:cs="Times New Roman"/>
          <w:sz w:val="28"/>
          <w:szCs w:val="28"/>
          <w:lang w:val="ru-RU" w:eastAsia="ru-RU"/>
        </w:rPr>
        <w:t>техническую базу и внедряя современные образовательные технологии.</w:t>
      </w:r>
    </w:p>
    <w:p w:rsidR="00552E02" w:rsidRPr="0036668B" w:rsidRDefault="00552E02" w:rsidP="00901638">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современных условиях развития Республики Казахстан система технического и профессионального образования функционирует под влиянием социально–экономической трансформации, связанной с цифровизацией экономики, изменением структуры рынка труда, модернизацией системы здравоохранения и повышением требований к качеству подготовки кадров. Данные процессы оказывают непосредственное влияние на деятельность организаций ТиПО, требуя адаптации образовательных программ, совершенствования механизмов управления и развития человеческого потенциала.</w:t>
      </w:r>
    </w:p>
    <w:p w:rsidR="00552E02" w:rsidRPr="0018017A" w:rsidRDefault="00552E02" w:rsidP="00901638">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рамках данного исследования социально–экономическая трансформация рассматривается как совокупность институциональных, экономических и технологических изменений, влияющих на устойчивость образовательных организаций медицинского профиля. Для Шымкентского высшего медицинского колледжа данные изменения проявляются в необходимости повышения кадровой устойчивости, развития профессиональных и цифровых компетенций преподавателей, расширения взаимодействия с медицинскими организациями и адаптации образовательного процесса к современным требованиям системы здравоохранения и регионального рынка труда.</w:t>
      </w:r>
    </w:p>
    <w:p w:rsidR="007A6624" w:rsidRPr="000D4FA1" w:rsidRDefault="007A6624" w:rsidP="007A662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Важность государственного участия в поддержке образовательных учреждений подтверждается данными о финансировании и развитии профессиональных колледжей в Казахстане. Согласно статистике Министерства образования и науки, в 2022 году более 60% выпускников медицинских колледжей успешно трудоустроились в первый год после завершения обучения, что свидетельствует о высокой востребованности специалистов на рынке труда</w:t>
      </w:r>
      <w:r w:rsidR="00277297" w:rsidRPr="000D4FA1">
        <w:rPr>
          <w:rFonts w:ascii="Times New Roman" w:eastAsia="Times New Roman" w:hAnsi="Times New Roman" w:cs="Times New Roman"/>
          <w:sz w:val="28"/>
          <w:szCs w:val="28"/>
          <w:lang w:val="ru-RU" w:eastAsia="ru-RU"/>
        </w:rPr>
        <w:t xml:space="preserve"> [</w:t>
      </w:r>
      <w:r w:rsidR="004C497E" w:rsidRPr="000D4FA1">
        <w:rPr>
          <w:rFonts w:ascii="Times New Roman" w:eastAsia="Times New Roman" w:hAnsi="Times New Roman" w:cs="Times New Roman"/>
          <w:sz w:val="28"/>
          <w:szCs w:val="28"/>
          <w:lang w:val="ru-RU" w:eastAsia="ru-RU"/>
        </w:rPr>
        <w:t>4</w:t>
      </w:r>
      <w:r w:rsidR="00277297"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w:t>
      </w:r>
    </w:p>
    <w:p w:rsidR="007A6624" w:rsidRPr="000D4FA1" w:rsidRDefault="007A6624" w:rsidP="007A662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Шымкенте ситуация схожа и Шымкентский высший медицинский колледж показывает стабильно высокие результаты трудоустройства своих выпускников, что подтверждает его значимость в системе подготовки кадров для регионального здравоохранения</w:t>
      </w:r>
      <w:r w:rsidR="00277297"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Особое внимание в государственных программах уделяется вопросам повышения квалификации преподавателей и управленческих кадров. </w:t>
      </w:r>
    </w:p>
    <w:p w:rsidR="007A6624" w:rsidRPr="000D4FA1" w:rsidRDefault="007A6624" w:rsidP="007A662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рамках программы «Педагогический рост» Шымкентский высший медицинский колледж активно участвует в повышении квалификации своих преподавателей, что напрямую влияет на качество образовательного процесса</w:t>
      </w:r>
      <w:r w:rsidR="00277297" w:rsidRPr="000D4FA1">
        <w:rPr>
          <w:rFonts w:ascii="Times New Roman" w:eastAsia="Times New Roman" w:hAnsi="Times New Roman" w:cs="Times New Roman"/>
          <w:sz w:val="28"/>
          <w:szCs w:val="28"/>
          <w:lang w:val="ru-RU" w:eastAsia="ru-RU"/>
        </w:rPr>
        <w:t xml:space="preserve"> [</w:t>
      </w:r>
      <w:r w:rsidR="00235CF6" w:rsidRPr="000D4FA1">
        <w:rPr>
          <w:rFonts w:ascii="Times New Roman" w:eastAsia="Times New Roman" w:hAnsi="Times New Roman" w:cs="Times New Roman"/>
          <w:sz w:val="28"/>
          <w:szCs w:val="28"/>
          <w:lang w:val="ru-RU" w:eastAsia="ru-RU"/>
        </w:rPr>
        <w:t>5</w:t>
      </w:r>
      <w:r w:rsidR="00277297"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w:t>
      </w:r>
    </w:p>
    <w:p w:rsidR="007A6624" w:rsidRDefault="007A6624" w:rsidP="007A662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Важно отметить, что данные мероприятия способствуют не только повышению уровня преподавания, но и увеличению мотивации сотрудников, что, в свою очередь, влияет на общую устойчивость образовательной организации. Государственные программы нацелены на создание условий для непрерывного профессионального развития сотрудников образовательных </w:t>
      </w:r>
      <w:r w:rsidRPr="000D4FA1">
        <w:rPr>
          <w:rFonts w:ascii="Times New Roman" w:eastAsia="Times New Roman" w:hAnsi="Times New Roman" w:cs="Times New Roman"/>
          <w:sz w:val="28"/>
          <w:szCs w:val="28"/>
          <w:lang w:val="ru-RU" w:eastAsia="ru-RU"/>
        </w:rPr>
        <w:lastRenderedPageBreak/>
        <w:t>учреждений, что особенно важно для колледжей, готовящих медицинских специалистов.</w:t>
      </w:r>
    </w:p>
    <w:p w:rsidR="00F82F5E" w:rsidRPr="00D25302" w:rsidRDefault="00F82F5E" w:rsidP="00F82F5E">
      <w:pPr>
        <w:spacing w:after="0" w:line="240" w:lineRule="auto"/>
        <w:ind w:firstLine="720"/>
        <w:jc w:val="both"/>
        <w:rPr>
          <w:rFonts w:ascii="Times New Roman" w:eastAsia="Times New Roman" w:hAnsi="Times New Roman" w:cs="Times New Roman"/>
          <w:sz w:val="28"/>
          <w:szCs w:val="28"/>
          <w:lang w:val="kk-KZ"/>
        </w:rPr>
      </w:pPr>
      <w:r w:rsidRPr="00D25302">
        <w:rPr>
          <w:rFonts w:ascii="Times New Roman" w:eastAsia="Times New Roman" w:hAnsi="Times New Roman" w:cs="Times New Roman"/>
          <w:sz w:val="28"/>
          <w:szCs w:val="28"/>
          <w:lang w:val="kk-KZ"/>
        </w:rPr>
        <w:t>Шымкентский высший медицинский колледж активно участвует в реализации государственных и региональных программ модернизации образования, включая развитие материально–технической базы, внедрение цифровых образовательных технологий, повышение квалификации преподавателей и расширение взаимодействия с медицинскими организациями. Практический опыт колледжа позволяет провести комплексный анализ взаимосвязи человеческого потенциала и устойчивости образовательной организации.</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D25302">
        <w:rPr>
          <w:rFonts w:ascii="Times New Roman" w:eastAsia="Times New Roman" w:hAnsi="Times New Roman" w:cs="Times New Roman"/>
          <w:sz w:val="28"/>
          <w:szCs w:val="28"/>
          <w:lang w:val="kk-KZ"/>
        </w:rPr>
        <w:t xml:space="preserve">Таким образом, исследование человеческого потенциала как фактора устойчивости организаций технического и профессионального образования является актуальным как с научной, так и с практической точки зрения. Особую значимость данная проблема приобретает для организаций медицинского профиля, функционирующих в условиях модернизации системы </w:t>
      </w:r>
      <w:r w:rsidRPr="0036668B">
        <w:rPr>
          <w:rFonts w:ascii="Times New Roman" w:eastAsia="Times New Roman" w:hAnsi="Times New Roman" w:cs="Times New Roman"/>
          <w:sz w:val="28"/>
          <w:szCs w:val="28"/>
          <w:lang w:val="kk-KZ"/>
        </w:rPr>
        <w:t>здравоохранения и возрастающих требований к качеству подготовки специалистов.</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b/>
          <w:bCs/>
          <w:sz w:val="28"/>
          <w:szCs w:val="28"/>
          <w:lang w:val="kk-KZ"/>
        </w:rPr>
        <w:t>Объектом исследования</w:t>
      </w:r>
      <w:r w:rsidRPr="0036668B">
        <w:rPr>
          <w:rFonts w:ascii="Times New Roman" w:eastAsia="Times New Roman" w:hAnsi="Times New Roman" w:cs="Times New Roman"/>
          <w:sz w:val="28"/>
          <w:szCs w:val="28"/>
          <w:lang w:val="kk-KZ"/>
        </w:rPr>
        <w:t xml:space="preserve"> является Шымкентский высший медицинский колледж как организация технического и профессионального образования, осуществляющая подготовку медицинских кадров.</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b/>
          <w:bCs/>
          <w:sz w:val="28"/>
          <w:szCs w:val="28"/>
          <w:lang w:val="kk-KZ"/>
        </w:rPr>
        <w:t>Предметом исследования</w:t>
      </w:r>
      <w:r w:rsidRPr="0036668B">
        <w:rPr>
          <w:rFonts w:ascii="Times New Roman" w:eastAsia="Times New Roman" w:hAnsi="Times New Roman" w:cs="Times New Roman"/>
          <w:sz w:val="28"/>
          <w:szCs w:val="28"/>
          <w:lang w:val="kk-KZ"/>
        </w:rPr>
        <w:t xml:space="preserve"> выступают управленческие, экономические и организационные факторы, определяющие уровень человеческого потенциала и устойчивость Шымкентского высшего медицинского колледжа, а также взаимосвязь между развитием кадрового потенциала и эффективностью функционирования образовательной организации.</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b/>
          <w:bCs/>
          <w:sz w:val="28"/>
          <w:szCs w:val="28"/>
          <w:lang w:val="kk-KZ"/>
        </w:rPr>
        <w:t>Целью исследования</w:t>
      </w:r>
      <w:r w:rsidRPr="0036668B">
        <w:rPr>
          <w:rFonts w:ascii="Times New Roman" w:eastAsia="Times New Roman" w:hAnsi="Times New Roman" w:cs="Times New Roman"/>
          <w:sz w:val="28"/>
          <w:szCs w:val="28"/>
          <w:lang w:val="kk-KZ"/>
        </w:rPr>
        <w:t xml:space="preserve"> является научное обоснование и разработка методического подхода к оценке человеческого потенциала как фактора устойчивости Шымкентского высшего медицинского колледжа, а также формирование практических рекомендаций по совершенствованию механизмов управления человеческим потенциалом организации.</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b/>
          <w:bCs/>
          <w:sz w:val="28"/>
          <w:szCs w:val="28"/>
          <w:lang w:val="kk-KZ"/>
        </w:rPr>
        <w:t>Границы исследования</w:t>
      </w:r>
      <w:r w:rsidRPr="0036668B">
        <w:rPr>
          <w:rFonts w:ascii="Times New Roman" w:eastAsia="Times New Roman" w:hAnsi="Times New Roman" w:cs="Times New Roman"/>
          <w:sz w:val="28"/>
          <w:szCs w:val="28"/>
          <w:lang w:val="kk-KZ"/>
        </w:rPr>
        <w:t xml:space="preserve"> определяются анализом человеческого потенциала как фактора устойчивости организаций технического и профессионального образования на примере Шымкентского высшего медицинского колледжа.</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sz w:val="28"/>
          <w:szCs w:val="28"/>
          <w:lang w:val="kk-KZ"/>
        </w:rPr>
        <w:t>Исследование сосредоточено на изучении кадрового состава, профессионального развития преподавателей, организационных факторов и особенностей образовательного процесса, влияющих на устойчивость колледжа в современных социально–экономических условиях.</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sz w:val="28"/>
          <w:szCs w:val="28"/>
          <w:lang w:val="kk-KZ"/>
        </w:rPr>
        <w:t>Работа ограничена организациями ТиПО медицинского профиля и не охватывает деятельность высших учебных заведений и иных образовательных организаций. Основной эмпирический материал сформирован на основе данных Шымкентского высшего медицинского колледжа, статистических показателей системы образования и результатов количественного анализа.</w:t>
      </w:r>
    </w:p>
    <w:p w:rsidR="00F82F5E" w:rsidRPr="0036668B"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sz w:val="28"/>
          <w:szCs w:val="28"/>
          <w:lang w:val="kk-KZ"/>
        </w:rPr>
        <w:lastRenderedPageBreak/>
        <w:t>Временные границы исследования охватывают период 2000–2024 гг., что позволяет проследить динамику факторов, влияющих на устойчивость организаций ТиПО в условиях цифровизации и модернизации образовательной политики.</w:t>
      </w:r>
    </w:p>
    <w:p w:rsidR="00F82F5E" w:rsidRDefault="00F82F5E" w:rsidP="00F82F5E">
      <w:pPr>
        <w:spacing w:after="0" w:line="240" w:lineRule="auto"/>
        <w:ind w:firstLine="720"/>
        <w:jc w:val="both"/>
        <w:rPr>
          <w:rFonts w:ascii="Times New Roman" w:eastAsia="Times New Roman" w:hAnsi="Times New Roman" w:cs="Times New Roman"/>
          <w:sz w:val="28"/>
          <w:szCs w:val="28"/>
          <w:lang w:val="kk-KZ"/>
        </w:rPr>
      </w:pPr>
      <w:r w:rsidRPr="0036668B">
        <w:rPr>
          <w:rFonts w:ascii="Times New Roman" w:eastAsia="Times New Roman" w:hAnsi="Times New Roman" w:cs="Times New Roman"/>
          <w:sz w:val="28"/>
          <w:szCs w:val="28"/>
          <w:lang w:val="kk-KZ"/>
        </w:rPr>
        <w:t>Полученные результаты и практические рекомендации ориентированы преимущественно на совершенствование деятельности Шымкентского высшего медицинского колледжа и могут быть адаптированы для аналогичных организаций медицинского профиля.</w:t>
      </w:r>
    </w:p>
    <w:p w:rsidR="0036668B" w:rsidRPr="0036668B" w:rsidRDefault="0036668B" w:rsidP="00F82F5E">
      <w:pPr>
        <w:spacing w:after="0" w:line="240" w:lineRule="auto"/>
        <w:ind w:firstLine="720"/>
        <w:jc w:val="both"/>
        <w:rPr>
          <w:rFonts w:ascii="Times New Roman" w:eastAsia="Times New Roman" w:hAnsi="Times New Roman" w:cs="Times New Roman"/>
          <w:sz w:val="28"/>
          <w:szCs w:val="28"/>
          <w:lang w:val="kk-KZ"/>
        </w:rPr>
      </w:pPr>
    </w:p>
    <w:p w:rsidR="007A6624" w:rsidRPr="0036668B" w:rsidRDefault="007A6624" w:rsidP="007A6624">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b/>
          <w:bCs/>
          <w:sz w:val="28"/>
          <w:szCs w:val="28"/>
          <w:lang w:val="ru-RU" w:eastAsia="ru-RU"/>
        </w:rPr>
        <w:t>Задачи исследования</w:t>
      </w:r>
      <w:r w:rsidR="00714FEB" w:rsidRPr="0036668B">
        <w:rPr>
          <w:rFonts w:ascii="Times New Roman" w:eastAsia="Times New Roman" w:hAnsi="Times New Roman" w:cs="Times New Roman"/>
          <w:b/>
          <w:bCs/>
          <w:sz w:val="28"/>
          <w:szCs w:val="28"/>
          <w:lang w:val="ru-RU" w:eastAsia="ru-RU"/>
        </w:rPr>
        <w:t>:</w:t>
      </w:r>
    </w:p>
    <w:p w:rsidR="004B490F" w:rsidRPr="0036668B" w:rsidRDefault="004B490F" w:rsidP="00942D9E">
      <w:pPr>
        <w:pStyle w:val="a6"/>
        <w:numPr>
          <w:ilvl w:val="0"/>
          <w:numId w:val="9"/>
        </w:numPr>
        <w:spacing w:after="0" w:line="240" w:lineRule="auto"/>
        <w:ind w:left="0" w:firstLine="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Проанализировать теоретические подходы к определению человеческого потенциала, его структурных элементов и факторов устойчивости образовательных организаций.</w:t>
      </w:r>
    </w:p>
    <w:p w:rsidR="00387B30" w:rsidRPr="0036668B" w:rsidRDefault="00387B30" w:rsidP="00942D9E">
      <w:pPr>
        <w:pStyle w:val="a6"/>
        <w:numPr>
          <w:ilvl w:val="0"/>
          <w:numId w:val="9"/>
        </w:numPr>
        <w:spacing w:after="0" w:line="240" w:lineRule="auto"/>
        <w:ind w:left="0" w:firstLine="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Провести анализ кадрового состава, уровня профессионального развития преподавателей и организационных особенностей Шымкентского высшего медицинского колледжа.</w:t>
      </w:r>
    </w:p>
    <w:p w:rsidR="001933CB" w:rsidRPr="0036668B" w:rsidRDefault="001933CB" w:rsidP="00942D9E">
      <w:pPr>
        <w:pStyle w:val="a6"/>
        <w:numPr>
          <w:ilvl w:val="0"/>
          <w:numId w:val="9"/>
        </w:numPr>
        <w:spacing w:after="0" w:line="240" w:lineRule="auto"/>
        <w:ind w:left="0" w:firstLine="66"/>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Оценить уровень человеческого потенциала Шымкентского высшего медицинского колледжа на основе микроэкономических показателей, включая кадровую устойчивость, показатели</w:t>
      </w:r>
      <w:r w:rsidR="00FB2960" w:rsidRPr="0036668B">
        <w:rPr>
          <w:rFonts w:ascii="Times New Roman" w:eastAsia="Times New Roman" w:hAnsi="Times New Roman" w:cs="Times New Roman"/>
          <w:sz w:val="28"/>
          <w:szCs w:val="28"/>
          <w:lang w:val="ru-RU" w:eastAsia="ru-RU"/>
        </w:rPr>
        <w:t xml:space="preserve">. Выполнить </w:t>
      </w:r>
      <w:r w:rsidR="00FB2960" w:rsidRPr="0036668B">
        <w:rPr>
          <w:rFonts w:ascii="Times New Roman" w:eastAsia="Times New Roman" w:hAnsi="Times New Roman" w:cs="Times New Roman"/>
          <w:sz w:val="28"/>
          <w:szCs w:val="28"/>
          <w:lang w:eastAsia="ru-RU"/>
        </w:rPr>
        <w:t>SWOT</w:t>
      </w:r>
      <w:r w:rsidR="00FB2960" w:rsidRPr="0036668B">
        <w:rPr>
          <w:rFonts w:ascii="Times New Roman" w:eastAsia="Times New Roman" w:hAnsi="Times New Roman" w:cs="Times New Roman"/>
          <w:sz w:val="28"/>
          <w:szCs w:val="28"/>
          <w:lang w:val="ru-RU" w:eastAsia="ru-RU"/>
        </w:rPr>
        <w:t>–анализ Шымкентского высшего медицинского колледжа для выявления сильных и слабых сторон организации, а также внешних возможностей и угроз, влияющих на её устойчивость.</w:t>
      </w:r>
    </w:p>
    <w:p w:rsidR="004B490F" w:rsidRPr="0036668B" w:rsidRDefault="005B6103" w:rsidP="003C1CE3">
      <w:pPr>
        <w:pStyle w:val="a6"/>
        <w:numPr>
          <w:ilvl w:val="0"/>
          <w:numId w:val="9"/>
        </w:numPr>
        <w:spacing w:after="0" w:line="240" w:lineRule="auto"/>
        <w:ind w:left="0" w:firstLine="66"/>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Проанализировать влияние макроэкономических и институциональных факторов на устойчивость организаций технического и профессионального образования с использованием сравнительных и статистических данных.</w:t>
      </w:r>
      <w:r w:rsidR="005F1D3A" w:rsidRPr="0036668B">
        <w:rPr>
          <w:rFonts w:ascii="Times New Roman" w:eastAsia="Times New Roman" w:hAnsi="Times New Roman" w:cs="Times New Roman"/>
          <w:sz w:val="28"/>
          <w:szCs w:val="28"/>
          <w:lang w:val="ru-RU" w:eastAsia="ru-RU"/>
        </w:rPr>
        <w:t xml:space="preserve"> </w:t>
      </w:r>
      <w:r w:rsidR="004B490F" w:rsidRPr="0036668B">
        <w:rPr>
          <w:rFonts w:ascii="Times New Roman" w:eastAsia="Times New Roman" w:hAnsi="Times New Roman" w:cs="Times New Roman"/>
          <w:sz w:val="28"/>
          <w:szCs w:val="28"/>
          <w:lang w:val="ru-RU" w:eastAsia="ru-RU"/>
        </w:rPr>
        <w:t>Провести регрессионный анализ для выявления ключевых детерминант, определяющих вариацию человеческого потенциала в международной выборке стран.</w:t>
      </w:r>
    </w:p>
    <w:p w:rsidR="004B490F" w:rsidRPr="0036668B" w:rsidRDefault="004B490F" w:rsidP="003C1CE3">
      <w:pPr>
        <w:pStyle w:val="a6"/>
        <w:numPr>
          <w:ilvl w:val="0"/>
          <w:numId w:val="9"/>
        </w:numPr>
        <w:spacing w:after="0" w:line="240" w:lineRule="auto"/>
        <w:ind w:left="0" w:firstLine="66"/>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Осуществить кластеризацию стран методом </w:t>
      </w:r>
      <w:r w:rsidRPr="0036668B">
        <w:rPr>
          <w:rFonts w:ascii="Times New Roman" w:eastAsia="Times New Roman" w:hAnsi="Times New Roman" w:cs="Times New Roman"/>
          <w:sz w:val="28"/>
          <w:szCs w:val="28"/>
          <w:lang w:eastAsia="ru-RU"/>
        </w:rPr>
        <w:t>k</w:t>
      </w:r>
      <w:r w:rsidR="007B767F" w:rsidRPr="0036668B">
        <w:rPr>
          <w:rFonts w:ascii="Times New Roman" w:eastAsia="Times New Roman" w:hAnsi="Times New Roman" w:cs="Times New Roman"/>
          <w:sz w:val="28"/>
          <w:szCs w:val="28"/>
          <w:lang w:val="ru-RU" w:eastAsia="ru-RU"/>
        </w:rPr>
        <w:t>–</w:t>
      </w:r>
      <w:r w:rsidRPr="0036668B">
        <w:rPr>
          <w:rFonts w:ascii="Times New Roman" w:eastAsia="Times New Roman" w:hAnsi="Times New Roman" w:cs="Times New Roman"/>
          <w:sz w:val="28"/>
          <w:szCs w:val="28"/>
          <w:lang w:eastAsia="ru-RU"/>
        </w:rPr>
        <w:t>means</w:t>
      </w:r>
      <w:r w:rsidRPr="0036668B">
        <w:rPr>
          <w:rFonts w:ascii="Times New Roman" w:eastAsia="Times New Roman" w:hAnsi="Times New Roman" w:cs="Times New Roman"/>
          <w:sz w:val="28"/>
          <w:szCs w:val="28"/>
          <w:lang w:val="ru-RU" w:eastAsia="ru-RU"/>
        </w:rPr>
        <w:t>, сформировать их кластерные профили и интерпретировать типологию развития человеческого потенциала.</w:t>
      </w:r>
      <w:r w:rsidR="005F1D3A" w:rsidRPr="0036668B">
        <w:rPr>
          <w:rFonts w:ascii="Times New Roman" w:eastAsia="Times New Roman" w:hAnsi="Times New Roman" w:cs="Times New Roman"/>
          <w:sz w:val="28"/>
          <w:szCs w:val="28"/>
          <w:lang w:val="ru-RU" w:eastAsia="ru-RU"/>
        </w:rPr>
        <w:t xml:space="preserve"> </w:t>
      </w:r>
      <w:r w:rsidRPr="0036668B">
        <w:rPr>
          <w:rFonts w:ascii="Times New Roman" w:eastAsia="Times New Roman" w:hAnsi="Times New Roman" w:cs="Times New Roman"/>
          <w:sz w:val="28"/>
          <w:szCs w:val="28"/>
          <w:lang w:val="ru-RU" w:eastAsia="ru-RU"/>
        </w:rPr>
        <w:t>Провести сравнительный анализ кластеров с точки зрения экономических условий, бюджетной политики, образовательных характеристик и результативности систем ТиПО.</w:t>
      </w:r>
    </w:p>
    <w:p w:rsidR="00E25037" w:rsidRPr="0036668B" w:rsidRDefault="00E25037" w:rsidP="00942D9E">
      <w:pPr>
        <w:pStyle w:val="a6"/>
        <w:numPr>
          <w:ilvl w:val="0"/>
          <w:numId w:val="9"/>
        </w:numPr>
        <w:spacing w:after="0" w:line="240" w:lineRule="auto"/>
        <w:ind w:left="0" w:firstLine="66"/>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Разработать практические рекомендации по повышению устойчивости Шымкентского высшего медицинского колледжа через совершенствование механизмов управления человеческим потенциалом.</w:t>
      </w:r>
    </w:p>
    <w:p w:rsidR="004B490F" w:rsidRPr="0036668B" w:rsidRDefault="00246896" w:rsidP="00942D9E">
      <w:pPr>
        <w:pStyle w:val="a6"/>
        <w:numPr>
          <w:ilvl w:val="0"/>
          <w:numId w:val="9"/>
        </w:numPr>
        <w:spacing w:after="0" w:line="240" w:lineRule="auto"/>
        <w:ind w:left="0" w:firstLine="66"/>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Сформировать организационно–управленческую модель развития человеческого потенциала, ориентированную на повышение устойчивости организаций медицинского профиля в системе ТиПО</w:t>
      </w:r>
      <w:proofErr w:type="gramStart"/>
      <w:r w:rsidRPr="0036668B">
        <w:rPr>
          <w:rFonts w:ascii="Times New Roman" w:eastAsia="Times New Roman" w:hAnsi="Times New Roman" w:cs="Times New Roman"/>
          <w:sz w:val="28"/>
          <w:szCs w:val="28"/>
          <w:lang w:val="ru-RU" w:eastAsia="ru-RU"/>
        </w:rPr>
        <w:t>.</w:t>
      </w:r>
      <w:r w:rsidR="004B490F" w:rsidRPr="0036668B">
        <w:rPr>
          <w:rFonts w:ascii="Times New Roman" w:eastAsia="Times New Roman" w:hAnsi="Times New Roman" w:cs="Times New Roman"/>
          <w:sz w:val="28"/>
          <w:szCs w:val="28"/>
          <w:lang w:val="ru-RU" w:eastAsia="ru-RU"/>
        </w:rPr>
        <w:t>.</w:t>
      </w:r>
      <w:proofErr w:type="gramEnd"/>
    </w:p>
    <w:p w:rsidR="007A6624" w:rsidRDefault="00714FEB" w:rsidP="00235CF6">
      <w:pPr>
        <w:spacing w:after="0" w:line="240" w:lineRule="auto"/>
        <w:ind w:left="66"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Данные </w:t>
      </w:r>
      <w:r w:rsidR="007A6624" w:rsidRPr="0036668B">
        <w:rPr>
          <w:rFonts w:ascii="Times New Roman" w:eastAsia="Times New Roman" w:hAnsi="Times New Roman" w:cs="Times New Roman"/>
          <w:sz w:val="28"/>
          <w:szCs w:val="28"/>
          <w:lang w:val="ru-RU" w:eastAsia="ru-RU"/>
        </w:rPr>
        <w:t>задачи охватывают как теоретические, так и практические аспекты исследования, с акцентом на анализ и оценку статистических данных для более глубокого понимания факторов, влияющих на человеческий потенциал и устойчивость организаций.</w:t>
      </w:r>
    </w:p>
    <w:p w:rsidR="0036668B" w:rsidRPr="0020050B" w:rsidRDefault="0036668B" w:rsidP="00235CF6">
      <w:pPr>
        <w:spacing w:after="0" w:line="240" w:lineRule="auto"/>
        <w:ind w:left="66" w:firstLine="360"/>
        <w:jc w:val="both"/>
        <w:rPr>
          <w:rFonts w:ascii="Times New Roman" w:eastAsia="Times New Roman" w:hAnsi="Times New Roman" w:cs="Times New Roman"/>
          <w:sz w:val="28"/>
          <w:szCs w:val="28"/>
          <w:lang w:val="kk-KZ" w:eastAsia="ru-RU"/>
        </w:rPr>
      </w:pPr>
    </w:p>
    <w:p w:rsidR="005E5A3A" w:rsidRPr="000D4FA1" w:rsidRDefault="005E5A3A" w:rsidP="001B2136">
      <w:pPr>
        <w:spacing w:after="0" w:line="240" w:lineRule="auto"/>
        <w:ind w:firstLine="360"/>
        <w:jc w:val="both"/>
        <w:rPr>
          <w:rFonts w:ascii="Times New Roman" w:hAnsi="Times New Roman" w:cs="Times New Roman"/>
          <w:b/>
          <w:color w:val="000000" w:themeColor="text1"/>
          <w:spacing w:val="1"/>
          <w:sz w:val="28"/>
          <w:szCs w:val="28"/>
          <w:lang w:val="ru-RU"/>
        </w:rPr>
      </w:pPr>
      <w:r w:rsidRPr="000D4FA1">
        <w:rPr>
          <w:rFonts w:ascii="Times New Roman" w:hAnsi="Times New Roman" w:cs="Times New Roman"/>
          <w:b/>
          <w:color w:val="000000" w:themeColor="text1"/>
          <w:sz w:val="28"/>
          <w:szCs w:val="28"/>
          <w:lang w:val="ru-RU"/>
        </w:rPr>
        <w:lastRenderedPageBreak/>
        <w:t>Степень</w:t>
      </w:r>
      <w:r w:rsidRPr="000D4FA1">
        <w:rPr>
          <w:rFonts w:ascii="Times New Roman" w:hAnsi="Times New Roman" w:cs="Times New Roman"/>
          <w:b/>
          <w:color w:val="000000" w:themeColor="text1"/>
          <w:spacing w:val="1"/>
          <w:sz w:val="28"/>
          <w:szCs w:val="28"/>
          <w:lang w:val="ru-RU"/>
        </w:rPr>
        <w:t xml:space="preserve"> </w:t>
      </w:r>
      <w:r w:rsidRPr="000D4FA1">
        <w:rPr>
          <w:rFonts w:ascii="Times New Roman" w:hAnsi="Times New Roman" w:cs="Times New Roman"/>
          <w:b/>
          <w:color w:val="000000" w:themeColor="text1"/>
          <w:sz w:val="28"/>
          <w:szCs w:val="28"/>
          <w:lang w:val="ru-RU"/>
        </w:rPr>
        <w:t>изученности</w:t>
      </w:r>
      <w:r w:rsidRPr="000D4FA1">
        <w:rPr>
          <w:rFonts w:ascii="Times New Roman" w:hAnsi="Times New Roman" w:cs="Times New Roman"/>
          <w:b/>
          <w:color w:val="000000" w:themeColor="text1"/>
          <w:spacing w:val="1"/>
          <w:sz w:val="28"/>
          <w:szCs w:val="28"/>
          <w:lang w:val="ru-RU"/>
        </w:rPr>
        <w:t xml:space="preserve"> </w:t>
      </w:r>
      <w:r w:rsidRPr="000D4FA1">
        <w:rPr>
          <w:rFonts w:ascii="Times New Roman" w:hAnsi="Times New Roman" w:cs="Times New Roman"/>
          <w:b/>
          <w:color w:val="000000" w:themeColor="text1"/>
          <w:sz w:val="28"/>
          <w:szCs w:val="28"/>
          <w:lang w:val="ru-RU"/>
        </w:rPr>
        <w:t>темы.</w:t>
      </w:r>
      <w:r w:rsidRPr="000D4FA1">
        <w:rPr>
          <w:rFonts w:ascii="Times New Roman" w:hAnsi="Times New Roman" w:cs="Times New Roman"/>
          <w:b/>
          <w:color w:val="000000" w:themeColor="text1"/>
          <w:spacing w:val="1"/>
          <w:sz w:val="28"/>
          <w:szCs w:val="28"/>
          <w:lang w:val="ru-RU"/>
        </w:rPr>
        <w:t xml:space="preserve"> </w:t>
      </w:r>
    </w:p>
    <w:p w:rsidR="001B2136" w:rsidRPr="000D4FA1" w:rsidRDefault="00714FEB" w:rsidP="001B2136">
      <w:pPr>
        <w:spacing w:after="0" w:line="240" w:lineRule="auto"/>
        <w:ind w:firstLine="360"/>
        <w:jc w:val="both"/>
        <w:rPr>
          <w:rFonts w:ascii="Times New Roman" w:eastAsia="Times New Roman" w:hAnsi="Times New Roman" w:cs="Times New Roman"/>
          <w:b/>
          <w:bCs/>
          <w:sz w:val="28"/>
          <w:szCs w:val="28"/>
          <w:lang w:val="ru-RU" w:eastAsia="ru-RU"/>
        </w:rPr>
      </w:pPr>
      <w:r w:rsidRPr="000D4FA1">
        <w:rPr>
          <w:rFonts w:ascii="Times New Roman" w:eastAsia="Times New Roman" w:hAnsi="Times New Roman" w:cs="Times New Roman"/>
          <w:b/>
          <w:bCs/>
          <w:sz w:val="28"/>
          <w:szCs w:val="28"/>
          <w:lang w:val="ru-RU" w:eastAsia="ru-RU"/>
        </w:rPr>
        <w:t>Научная новизна и практическая значимость исследования</w:t>
      </w:r>
      <w:r w:rsidR="001B2136" w:rsidRPr="000D4FA1">
        <w:rPr>
          <w:rFonts w:ascii="Times New Roman" w:eastAsia="Times New Roman" w:hAnsi="Times New Roman" w:cs="Times New Roman"/>
          <w:b/>
          <w:bCs/>
          <w:sz w:val="28"/>
          <w:szCs w:val="28"/>
          <w:lang w:val="ru-RU" w:eastAsia="ru-RU"/>
        </w:rPr>
        <w:t xml:space="preserve">. </w:t>
      </w:r>
    </w:p>
    <w:p w:rsidR="00324129" w:rsidRPr="00B73C36" w:rsidRDefault="00324129" w:rsidP="00324129">
      <w:pPr>
        <w:spacing w:after="0" w:line="240" w:lineRule="auto"/>
        <w:ind w:firstLine="360"/>
        <w:jc w:val="both"/>
        <w:rPr>
          <w:rFonts w:ascii="Times New Roman" w:eastAsia="Times New Roman" w:hAnsi="Times New Roman" w:cs="Times New Roman"/>
          <w:sz w:val="28"/>
          <w:szCs w:val="28"/>
          <w:lang w:val="ru-RU" w:eastAsia="ru-RU"/>
        </w:rPr>
      </w:pPr>
      <w:r w:rsidRPr="00B73C36">
        <w:rPr>
          <w:rFonts w:ascii="Times New Roman" w:eastAsia="Times New Roman" w:hAnsi="Times New Roman" w:cs="Times New Roman"/>
          <w:sz w:val="28"/>
          <w:szCs w:val="28"/>
          <w:lang w:val="ru-RU" w:eastAsia="ru-RU"/>
        </w:rPr>
        <w:t>Исследование человеческого потенциала в контексте устойчивости организаций технического и профессионального образования приобретает особую актуальность в условиях изменений рынка труда и роста требований к качеству подготовки кадров. Шымкентский высший медицинский колледж представляет практический интерес для изучения механизмов повышения устойчивости через эффективное управление человеческими ресурсами.</w:t>
      </w:r>
    </w:p>
    <w:p w:rsidR="00324129" w:rsidRPr="00B73C36" w:rsidRDefault="00324129" w:rsidP="00324129">
      <w:pPr>
        <w:spacing w:after="0" w:line="240" w:lineRule="auto"/>
        <w:ind w:firstLine="360"/>
        <w:jc w:val="both"/>
        <w:rPr>
          <w:rFonts w:ascii="Times New Roman" w:eastAsia="Times New Roman" w:hAnsi="Times New Roman" w:cs="Times New Roman"/>
          <w:sz w:val="28"/>
          <w:szCs w:val="28"/>
          <w:lang w:val="ru-RU" w:eastAsia="ru-RU"/>
        </w:rPr>
      </w:pPr>
      <w:r w:rsidRPr="00B73C36">
        <w:rPr>
          <w:rFonts w:ascii="Times New Roman" w:eastAsia="Times New Roman" w:hAnsi="Times New Roman" w:cs="Times New Roman"/>
          <w:sz w:val="28"/>
          <w:szCs w:val="28"/>
          <w:lang w:val="ru-RU" w:eastAsia="ru-RU"/>
        </w:rPr>
        <w:t>Ранее проведённые исследования в Казахстане и за рубежом в основном были посвящены вопросам кадрового обеспечения и качества образования. Так, Сарсембаева К. и Жусупова А. рассматривали развитие кадрового потенциала как фактор конкурентоспособности образовательных организаций, однако взаимосвязь человеческого капитала и устойчивости организаций ими не анализировалась [6]. Исследование Тургуновой Л. было направлено на совершенствование профессиональной подготовки преподавателей без рассмотрения аспектов устойчивого развития образовательных организаций [7]. Жукенова Л. акцентировала внимание на кадровых проблемах колледжей Казахстана, однако системный анализ влияния кадровых ресурсов на устойчивость организаций в её работе отсутствует [8].</w:t>
      </w:r>
    </w:p>
    <w:p w:rsidR="00324129" w:rsidRPr="00B73C36" w:rsidRDefault="00324129" w:rsidP="00324129">
      <w:pPr>
        <w:spacing w:after="0" w:line="240" w:lineRule="auto"/>
        <w:ind w:firstLine="360"/>
        <w:jc w:val="both"/>
        <w:rPr>
          <w:rFonts w:ascii="Times New Roman" w:eastAsia="Times New Roman" w:hAnsi="Times New Roman" w:cs="Times New Roman"/>
          <w:sz w:val="28"/>
          <w:szCs w:val="28"/>
          <w:lang w:val="ru-RU" w:eastAsia="ru-RU"/>
        </w:rPr>
      </w:pPr>
      <w:r w:rsidRPr="00B73C36">
        <w:rPr>
          <w:rFonts w:ascii="Times New Roman" w:eastAsia="Times New Roman" w:hAnsi="Times New Roman" w:cs="Times New Roman"/>
          <w:sz w:val="28"/>
          <w:szCs w:val="28"/>
          <w:lang w:val="ru-RU" w:eastAsia="ru-RU"/>
        </w:rPr>
        <w:t>Таким образом, комплексный анализ влияния человеческого потенциала на устойчивость организаций ТиПО в Казахстане недостаточно изучен, что определяет актуальность настоящего исследования.</w:t>
      </w:r>
    </w:p>
    <w:p w:rsidR="00324129" w:rsidRPr="0036668B" w:rsidRDefault="00324129" w:rsidP="00324129">
      <w:pPr>
        <w:spacing w:after="0" w:line="240" w:lineRule="auto"/>
        <w:ind w:firstLine="360"/>
        <w:jc w:val="both"/>
        <w:rPr>
          <w:rFonts w:ascii="Times New Roman" w:eastAsia="Times New Roman" w:hAnsi="Times New Roman" w:cs="Times New Roman"/>
          <w:sz w:val="28"/>
          <w:szCs w:val="28"/>
          <w:lang w:val="ru-RU" w:eastAsia="ru-RU"/>
        </w:rPr>
      </w:pPr>
      <w:r w:rsidRPr="00B73C36">
        <w:rPr>
          <w:rFonts w:ascii="Times New Roman" w:eastAsia="Times New Roman" w:hAnsi="Times New Roman" w:cs="Times New Roman"/>
          <w:sz w:val="28"/>
          <w:szCs w:val="28"/>
          <w:lang w:val="ru-RU" w:eastAsia="ru-RU"/>
        </w:rPr>
        <w:t xml:space="preserve">Научная новизна работы заключается в комплексном исследовании взаимосвязи человеческого потенциала и устойчивости организаций ТиПО с применением статистических методов и системного подхода. В отличие от предыдущих исследований, работа рассматривает человеческий капитал как </w:t>
      </w:r>
      <w:r w:rsidRPr="0036668B">
        <w:rPr>
          <w:rFonts w:ascii="Times New Roman" w:eastAsia="Times New Roman" w:hAnsi="Times New Roman" w:cs="Times New Roman"/>
          <w:sz w:val="28"/>
          <w:szCs w:val="28"/>
          <w:lang w:val="ru-RU" w:eastAsia="ru-RU"/>
        </w:rPr>
        <w:t>фактор устойчивого функционирования образовательной организации в контексте государственной политики и региональных условий.</w:t>
      </w:r>
    </w:p>
    <w:p w:rsidR="002D56BA" w:rsidRPr="0036668B" w:rsidRDefault="002D56BA" w:rsidP="002D56BA">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Автором предложена организационно–управленческая модель повышения устойчивости Шымкентского высшего медицинского колледжа, основанная на интеграции кадровых, организационных и социально–экономических факторов. Модель включает механизмы развития профессиональных компетенций преподавателей, повышения кадровой устойчивости, адаптации образовательного процесса к требованиям рынка труда и совершенствования взаимодействия с медицинскими организациями.</w:t>
      </w:r>
    </w:p>
    <w:p w:rsidR="002D56BA" w:rsidRPr="0036668B" w:rsidRDefault="002D56BA" w:rsidP="002D56BA">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рамках исследования сформирована авторская система факторов, влияющих на устойчивость организаций ТиПО медицинского профиля. Система объединяет внутренние факторы (уровень квалификации преподавателей, кадровая устойчивость, вовлечённость персонала, качество образовательного процесса) и внешние факторы (макроэкономическая среда, государственная образовательная политика, цифровизация, требования рынка труда и развитие системы здравоохранения).</w:t>
      </w:r>
    </w:p>
    <w:p w:rsidR="002D56BA" w:rsidRPr="0036668B" w:rsidRDefault="002D56BA" w:rsidP="002D56BA">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Авторская интерпретация устойчивости организации ТиПО заключается в рассмотрении устойчивости не только как способности образовательной </w:t>
      </w:r>
      <w:r w:rsidRPr="0036668B">
        <w:rPr>
          <w:rFonts w:ascii="Times New Roman" w:eastAsia="Times New Roman" w:hAnsi="Times New Roman" w:cs="Times New Roman"/>
          <w:sz w:val="28"/>
          <w:szCs w:val="28"/>
          <w:lang w:val="ru-RU" w:eastAsia="ru-RU"/>
        </w:rPr>
        <w:lastRenderedPageBreak/>
        <w:t>организации сохранять стабильность функционирования, но и как способности адаптироваться к институциональным, экономическим и технологическим изменениям через развитие человеческого потенциала и совершенствование управленческих механизмов.</w:t>
      </w:r>
    </w:p>
    <w:p w:rsidR="002D56BA" w:rsidRPr="0036668B" w:rsidRDefault="002D56BA" w:rsidP="002D56BA">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диссертации предложена методика комплексной оценки человеческого потенциала организации технического и профессионального образования на основе сочетания микроэкономических показателей, кадровых характеристик и элементов количественного анализа. Методика включает оценку уровня профессионального развития преподавателей, кадровой устойчивости, вовлечённости персонала и взаимосвязи данных показателей с устойчивостью образовательной организации.</w:t>
      </w:r>
    </w:p>
    <w:p w:rsidR="002D56BA" w:rsidRPr="0036668B" w:rsidRDefault="002D56BA" w:rsidP="002D56BA">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Разработан механизм управления устойчивостью Шымкентского высшего медицинского колледжа, предусматривающий внедрение инструментов кадрового планирования, развития цифровых компетенций преподавателей, расширения дуального обучения, взаимодействия с медицинскими организациями и системы мониторинга факторов устойчивости образовательной организации. Реализация предложенного механизма направлена на повышение адаптивности колледжа к изменениям внешней среды и укрепление качества подготовки медицинских кадров.</w:t>
      </w:r>
    </w:p>
    <w:p w:rsidR="00177575" w:rsidRPr="0036668B" w:rsidRDefault="00177575" w:rsidP="00177575">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iCs/>
          <w:sz w:val="28"/>
          <w:szCs w:val="28"/>
          <w:lang w:val="ru-RU" w:eastAsia="ru-RU"/>
        </w:rPr>
        <w:t>Практическая значимость</w:t>
      </w:r>
      <w:r w:rsidRPr="0036668B">
        <w:rPr>
          <w:rFonts w:ascii="Times New Roman" w:eastAsia="Times New Roman" w:hAnsi="Times New Roman" w:cs="Times New Roman"/>
          <w:sz w:val="28"/>
          <w:szCs w:val="28"/>
          <w:lang w:val="ru-RU" w:eastAsia="ru-RU"/>
        </w:rPr>
        <w:t xml:space="preserve"> определяется возможностью применения результатов при разработке образовательной и кадровой политики, в том числе в рамках программ модернизации ТиПО и цифровизации. Полученные выводы направлены на совершенствование управления человеческим потенциалом, повышение качества подготовки кадров и устойчивости образовательных организаций.</w:t>
      </w:r>
    </w:p>
    <w:p w:rsidR="00177575" w:rsidRPr="0036668B" w:rsidRDefault="00177575" w:rsidP="00177575">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Исследование также имеет международную значимость, поскольку расширяет понимание роли человеческого потенциала в устойчивости образовательных систем и может быть применено в странах с развивающейся экономикой.</w:t>
      </w:r>
    </w:p>
    <w:p w:rsidR="00177575" w:rsidRPr="0036668B" w:rsidRDefault="00177575" w:rsidP="00177575">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Таким образом, системного анализа влияния человеческого потенциала на устойчивость организаций ТиПО в Казахстане и за его пределами недостаточно, что формирует научный пробел и определяет актуальность исследования. Работа направлена на его восполнение и предлагает углубленный анализ взаимосвязи в условиях Казахстана.</w:t>
      </w:r>
    </w:p>
    <w:p w:rsidR="00DB61DD" w:rsidRPr="0036668B"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отличие от существующих исследований, в работе человеческий потенциал рассматривается не только как совокупность профессиональных компетенций, но и как фактор организационной устойчивости организаций технического и профессионального образования медицинского профиля. Автором предложен комплексный подход к оценке человеческого потенциала Шымкентского высшего медицинского колледжа, объединяющий микроэкономические показатели, элементы кадровой устойчивости, показатели профессионального развития и организационные характеристики.</w:t>
      </w:r>
    </w:p>
    <w:p w:rsidR="00DB61DD" w:rsidRPr="0036668B"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разработана авторская интерпретация взаимосвязи человеческого потенциала и устойчивости организации ТиПО;</w:t>
      </w:r>
    </w:p>
    <w:p w:rsidR="00DB61DD" w:rsidRPr="0036668B"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lastRenderedPageBreak/>
        <w:t>– проведён SWOT–анализ Шымкентского высшего медицинского колледжа с позиции кадровой устойчивости;</w:t>
      </w:r>
    </w:p>
    <w:p w:rsidR="00DB61DD" w:rsidRPr="0036668B"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предложена организационно–управленческая модель повышения устойчивости колледжа через развитие человеческого потенциала;</w:t>
      </w:r>
    </w:p>
    <w:p w:rsidR="00DB61DD" w:rsidRPr="0036668B"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использованы количественные методы анализа для выявления влияния кадровых и социально–экономических факторов на устойчивость образовательной организации;</w:t>
      </w:r>
    </w:p>
    <w:p w:rsidR="00DB61DD" w:rsidRDefault="00DB61DD" w:rsidP="00DB61DD">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уточнены практические механизмы адаптации системы управления человеческим потенциалом к условиям модернизации ТиПО.</w:t>
      </w:r>
    </w:p>
    <w:p w:rsidR="004E6AD1" w:rsidRPr="004E6AD1" w:rsidRDefault="004E6AD1" w:rsidP="004E6AD1">
      <w:pPr>
        <w:spacing w:after="0" w:line="240" w:lineRule="auto"/>
        <w:ind w:firstLine="360"/>
        <w:jc w:val="both"/>
        <w:rPr>
          <w:rFonts w:ascii="Times New Roman" w:eastAsia="Times New Roman" w:hAnsi="Times New Roman" w:cs="Times New Roman"/>
          <w:sz w:val="28"/>
          <w:szCs w:val="28"/>
          <w:lang w:val="ru-RU" w:eastAsia="ru-RU"/>
        </w:rPr>
      </w:pPr>
      <w:r w:rsidRPr="004E6AD1">
        <w:rPr>
          <w:rFonts w:ascii="Times New Roman" w:eastAsia="Times New Roman" w:hAnsi="Times New Roman" w:cs="Times New Roman"/>
          <w:sz w:val="28"/>
          <w:szCs w:val="28"/>
          <w:lang w:val="ru-RU" w:eastAsia="ru-RU"/>
        </w:rPr>
        <w:t>Международные исследования также рассматривают вопросы управления человеческими ресурсами в образовательных организациях. Так, Davidson R. и Hopkins L. анализировали влияние кадрового потенциала на академическую эффективность университетов, однако без учета специфики технического и профессионального образования [9]. Smith J. и Johnson M. исследовали управление человеческими ресурсами в системе ТиПО, но не рассматривали устойчивость образовательных организаций [10]. Reynolds P. акцентировал внимание на подготовке преподавателей как факторе устойчивости образовательных программ, однако не анализировал кадровый потенциал в контексте общей устойчивости организации [11]. Wang X. и Li M. изучали образовательные системы стран с развивающейся экономикой, но не проводили комплексного анализа взаимосвязи человеческого потенциала и устойчивости организаций [12].</w:t>
      </w:r>
    </w:p>
    <w:p w:rsidR="004E6AD1" w:rsidRPr="004E6AD1" w:rsidRDefault="004E6AD1" w:rsidP="004E6AD1">
      <w:pPr>
        <w:spacing w:after="0" w:line="240" w:lineRule="auto"/>
        <w:ind w:firstLine="360"/>
        <w:jc w:val="both"/>
        <w:rPr>
          <w:rFonts w:ascii="Times New Roman" w:eastAsia="Times New Roman" w:hAnsi="Times New Roman" w:cs="Times New Roman"/>
          <w:sz w:val="28"/>
          <w:szCs w:val="28"/>
          <w:lang w:val="ru-RU" w:eastAsia="ru-RU"/>
        </w:rPr>
      </w:pPr>
      <w:r w:rsidRPr="004E6AD1">
        <w:rPr>
          <w:rFonts w:ascii="Times New Roman" w:eastAsia="Times New Roman" w:hAnsi="Times New Roman" w:cs="Times New Roman"/>
          <w:sz w:val="28"/>
          <w:szCs w:val="28"/>
          <w:lang w:val="ru-RU" w:eastAsia="ru-RU"/>
        </w:rPr>
        <w:t>В рамках исследования использованы междисциплинарные подходы, объединяющие управление, педагогику и экономику образования. Carroll J. и Reid M. подчеркивают необходимость интеграции педагогических и управленческих механизмов для повышения эффективности образовательных организаций [13], а Freeman S. отмечает важность экономического анализа и эффективного управления ресурсами для обеспечения устойчивости образовательных систем [14].</w:t>
      </w:r>
    </w:p>
    <w:p w:rsidR="004E6AD1" w:rsidRPr="0036668B" w:rsidRDefault="004E6AD1" w:rsidP="004E6AD1">
      <w:pPr>
        <w:spacing w:after="0" w:line="240" w:lineRule="auto"/>
        <w:ind w:firstLine="360"/>
        <w:jc w:val="both"/>
        <w:rPr>
          <w:rFonts w:ascii="Times New Roman" w:eastAsia="Times New Roman" w:hAnsi="Times New Roman" w:cs="Times New Roman"/>
          <w:sz w:val="28"/>
          <w:szCs w:val="28"/>
          <w:lang w:val="ru-RU" w:eastAsia="ru-RU"/>
        </w:rPr>
      </w:pPr>
      <w:r w:rsidRPr="004E6AD1">
        <w:rPr>
          <w:rFonts w:ascii="Times New Roman" w:eastAsia="Times New Roman" w:hAnsi="Times New Roman" w:cs="Times New Roman"/>
          <w:sz w:val="28"/>
          <w:szCs w:val="28"/>
          <w:lang w:val="ru-RU" w:eastAsia="ru-RU"/>
        </w:rPr>
        <w:t xml:space="preserve">Практическая значимость исследования заключается в разработке подходов к оценке устойчивости колледжей через управление человеческим потенциалом. Результаты работы могут быть использованы для повышения качества подготовки кадров, снижения текучести персонала и совершенствования системы управления организациями ТиПО. Уникальность исследования состоит в его ориентации на техническое и профессиональное образование медицинского профиля и применении системного подхода к анализу человеческого потенциала и устойчивости образовательной </w:t>
      </w:r>
      <w:r w:rsidRPr="0036668B">
        <w:rPr>
          <w:rFonts w:ascii="Times New Roman" w:eastAsia="Times New Roman" w:hAnsi="Times New Roman" w:cs="Times New Roman"/>
          <w:sz w:val="28"/>
          <w:szCs w:val="28"/>
          <w:lang w:val="ru-RU" w:eastAsia="ru-RU"/>
        </w:rPr>
        <w:t>организации.</w:t>
      </w:r>
    </w:p>
    <w:p w:rsidR="003161A6" w:rsidRPr="0059623B" w:rsidRDefault="0059623B" w:rsidP="001B2136">
      <w:pPr>
        <w:spacing w:after="0" w:line="240" w:lineRule="auto"/>
        <w:ind w:firstLine="360"/>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Анализ научной литературы показал, что существующие исследования преимущественно рассматривают вопросы кадрового обеспечения, качества образования и человеческого капитала отдельно. При этом недостаточно изученной остаётся взаимосвязь человеческого потенциала и устойчивости организаций ТиПО медицинского профиля на уровне конкретных управленческих механизмов.</w:t>
      </w:r>
    </w:p>
    <w:p w:rsidR="00512B98" w:rsidRPr="000D4FA1" w:rsidRDefault="007A6624" w:rsidP="00277297">
      <w:pPr>
        <w:spacing w:after="0" w:line="240" w:lineRule="auto"/>
        <w:ind w:firstLine="360"/>
        <w:jc w:val="both"/>
        <w:rPr>
          <w:rFonts w:ascii="Times New Roman" w:eastAsia="Times New Roman" w:hAnsi="Times New Roman" w:cs="Times New Roman"/>
          <w:b/>
          <w:bCs/>
          <w:sz w:val="28"/>
          <w:szCs w:val="28"/>
          <w:lang w:val="ru-RU" w:eastAsia="ru-RU"/>
        </w:rPr>
      </w:pPr>
      <w:r w:rsidRPr="000D4FA1">
        <w:rPr>
          <w:rFonts w:ascii="Times New Roman" w:eastAsia="Times New Roman" w:hAnsi="Times New Roman" w:cs="Times New Roman"/>
          <w:b/>
          <w:sz w:val="28"/>
          <w:szCs w:val="28"/>
          <w:lang w:val="ru-RU" w:eastAsia="ru-RU"/>
        </w:rPr>
        <w:lastRenderedPageBreak/>
        <w:t>Методология и методы исследования</w:t>
      </w:r>
      <w:r w:rsidR="00277297" w:rsidRPr="000D4FA1">
        <w:rPr>
          <w:rFonts w:ascii="Times New Roman" w:eastAsia="Times New Roman" w:hAnsi="Times New Roman" w:cs="Times New Roman"/>
          <w:b/>
          <w:sz w:val="28"/>
          <w:szCs w:val="28"/>
          <w:lang w:val="ru-RU" w:eastAsia="ru-RU"/>
        </w:rPr>
        <w:t>.</w:t>
      </w:r>
      <w:r w:rsidR="00277297" w:rsidRPr="000D4FA1">
        <w:rPr>
          <w:rFonts w:ascii="Times New Roman" w:eastAsia="Times New Roman" w:hAnsi="Times New Roman" w:cs="Times New Roman"/>
          <w:b/>
          <w:bCs/>
          <w:sz w:val="28"/>
          <w:szCs w:val="28"/>
          <w:lang w:val="ru-RU" w:eastAsia="ru-RU"/>
        </w:rPr>
        <w:t xml:space="preserve"> </w:t>
      </w:r>
    </w:p>
    <w:p w:rsidR="00512B98" w:rsidRPr="000D4FA1" w:rsidRDefault="00512B98" w:rsidP="00512B98">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
          <w:sz w:val="28"/>
          <w:szCs w:val="28"/>
          <w:lang w:val="ru-RU" w:eastAsia="ru-RU"/>
        </w:rPr>
        <w:t>Н</w:t>
      </w:r>
      <w:r w:rsidR="00277297" w:rsidRPr="000D4FA1">
        <w:rPr>
          <w:rFonts w:ascii="Times New Roman" w:eastAsia="Times New Roman" w:hAnsi="Times New Roman" w:cs="Times New Roman"/>
          <w:b/>
          <w:sz w:val="28"/>
          <w:szCs w:val="28"/>
          <w:lang w:val="ru-RU" w:eastAsia="ru-RU"/>
        </w:rPr>
        <w:t>аучный вопрос</w:t>
      </w:r>
      <w:r w:rsidR="00277297" w:rsidRPr="000D4FA1">
        <w:rPr>
          <w:rFonts w:ascii="Times New Roman" w:eastAsia="Times New Roman" w:hAnsi="Times New Roman" w:cs="Times New Roman"/>
          <w:sz w:val="28"/>
          <w:szCs w:val="28"/>
          <w:lang w:val="ru-RU" w:eastAsia="ru-RU"/>
        </w:rPr>
        <w:t xml:space="preserve"> диссертации заключается в том, как человеческий потенциал влияет на устойчивость организаций технического и профессионального образования. </w:t>
      </w:r>
    </w:p>
    <w:p w:rsidR="00512B98" w:rsidRPr="000D4FA1" w:rsidRDefault="00512B98" w:rsidP="00277297">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
          <w:sz w:val="28"/>
          <w:szCs w:val="28"/>
          <w:lang w:val="ru-RU" w:eastAsia="ru-RU"/>
        </w:rPr>
        <w:t>Г</w:t>
      </w:r>
      <w:r w:rsidR="00277297" w:rsidRPr="000D4FA1">
        <w:rPr>
          <w:rFonts w:ascii="Times New Roman" w:eastAsia="Times New Roman" w:hAnsi="Times New Roman" w:cs="Times New Roman"/>
          <w:b/>
          <w:sz w:val="28"/>
          <w:szCs w:val="28"/>
          <w:lang w:val="ru-RU" w:eastAsia="ru-RU"/>
        </w:rPr>
        <w:t>ипотеза исследования:</w:t>
      </w:r>
      <w:r w:rsidR="00277297" w:rsidRPr="000D4FA1">
        <w:rPr>
          <w:rFonts w:ascii="Times New Roman" w:eastAsia="Times New Roman" w:hAnsi="Times New Roman" w:cs="Times New Roman"/>
          <w:sz w:val="28"/>
          <w:szCs w:val="28"/>
          <w:lang w:val="ru-RU" w:eastAsia="ru-RU"/>
        </w:rPr>
        <w:t xml:space="preserve"> развитие и эффективное управление человеческим потенциалом способствует повышению устойчивости образовательных организаций. </w:t>
      </w:r>
    </w:p>
    <w:p w:rsidR="00512B98" w:rsidRPr="000D4FA1" w:rsidRDefault="00277297" w:rsidP="00277297">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Исследовательская стратегия базируется на сочетании описательных и корреляционных методов, что позволяет не только описать существующую ситуацию в исследуемом колледже, но и выявить связи между качеством человеческого капитала и устойчивостью организации. </w:t>
      </w:r>
    </w:p>
    <w:p w:rsidR="00277297" w:rsidRPr="000D4FA1" w:rsidRDefault="00277297" w:rsidP="00277297">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Последовательность проведения исследований включает анализ теоретических основ, сбор и анализ данных, выявление корреляций и разработку практических рекомендаций.</w:t>
      </w:r>
    </w:p>
    <w:p w:rsidR="00F56C04" w:rsidRPr="004769DF" w:rsidRDefault="00277297" w:rsidP="00F56C04">
      <w:pPr>
        <w:pStyle w:val="a8"/>
        <w:spacing w:after="0" w:line="240" w:lineRule="auto"/>
        <w:ind w:left="121" w:right="121" w:firstLine="587"/>
        <w:jc w:val="both"/>
        <w:rPr>
          <w:rFonts w:ascii="Times New Roman" w:hAnsi="Times New Roman"/>
          <w:color w:val="000000" w:themeColor="text1"/>
          <w:sz w:val="28"/>
          <w:szCs w:val="28"/>
        </w:rPr>
      </w:pPr>
      <w:r w:rsidRPr="000D4FA1">
        <w:rPr>
          <w:rFonts w:ascii="Times New Roman" w:eastAsia="Times New Roman" w:hAnsi="Times New Roman"/>
          <w:b/>
          <w:sz w:val="28"/>
          <w:szCs w:val="28"/>
          <w:lang w:eastAsia="ru-RU"/>
        </w:rPr>
        <w:t>Краткое описание экспериментов</w:t>
      </w:r>
      <w:r w:rsidR="00512B98" w:rsidRPr="000D4FA1">
        <w:rPr>
          <w:rFonts w:ascii="Times New Roman" w:eastAsia="Times New Roman" w:hAnsi="Times New Roman"/>
          <w:b/>
          <w:sz w:val="28"/>
          <w:szCs w:val="28"/>
          <w:lang w:eastAsia="ru-RU"/>
        </w:rPr>
        <w:t xml:space="preserve">. </w:t>
      </w:r>
      <w:r w:rsidR="00F56C04" w:rsidRPr="004769DF">
        <w:rPr>
          <w:rFonts w:ascii="Times New Roman" w:hAnsi="Times New Roman"/>
          <w:color w:val="000000" w:themeColor="text1"/>
          <w:sz w:val="28"/>
          <w:szCs w:val="28"/>
        </w:rPr>
        <w:t>В рамках диссертации проведён сбор и анализ статистических данных для оценки влияния человеческого потенциала на устойчивость образовательной организации. Исследование включало анализ квалификации преподавателей, динамики их профессионального развития, качества образовательного процесса и показателей трудоустройства выпускников.</w:t>
      </w:r>
    </w:p>
    <w:p w:rsidR="00F56C04" w:rsidRPr="004769DF" w:rsidRDefault="00F56C04" w:rsidP="00F56C04">
      <w:pPr>
        <w:pStyle w:val="a8"/>
        <w:spacing w:after="0" w:line="240" w:lineRule="auto"/>
        <w:ind w:left="121" w:right="121" w:firstLine="587"/>
        <w:jc w:val="both"/>
        <w:rPr>
          <w:rFonts w:ascii="Times New Roman" w:hAnsi="Times New Roman"/>
          <w:color w:val="000000" w:themeColor="text1"/>
          <w:sz w:val="28"/>
          <w:szCs w:val="28"/>
        </w:rPr>
      </w:pPr>
      <w:r w:rsidRPr="004769DF">
        <w:rPr>
          <w:rFonts w:ascii="Times New Roman" w:hAnsi="Times New Roman"/>
          <w:color w:val="000000" w:themeColor="text1"/>
          <w:sz w:val="28"/>
          <w:szCs w:val="28"/>
        </w:rPr>
        <w:t>Для достижения целей исследования использованы следующие методы: анализ научной литературы и нормативных актов</w:t>
      </w:r>
      <w:r w:rsidRPr="00F56C04">
        <w:rPr>
          <w:rFonts w:ascii="Times New Roman" w:hAnsi="Times New Roman"/>
          <w:color w:val="000000" w:themeColor="text1"/>
          <w:sz w:val="28"/>
          <w:szCs w:val="28"/>
        </w:rPr>
        <w:t>,</w:t>
      </w:r>
      <w:r w:rsidRPr="004769DF">
        <w:rPr>
          <w:rFonts w:ascii="Times New Roman" w:hAnsi="Times New Roman"/>
          <w:color w:val="000000" w:themeColor="text1"/>
          <w:sz w:val="28"/>
          <w:szCs w:val="28"/>
        </w:rPr>
        <w:t xml:space="preserve"> корреляционный и статистический анализ для выявления взаимосвязи между показателями человеческого потенциала и устойчивостью организации</w:t>
      </w:r>
      <w:r w:rsidRPr="00F56C04">
        <w:rPr>
          <w:rFonts w:ascii="Times New Roman" w:hAnsi="Times New Roman"/>
          <w:color w:val="000000" w:themeColor="text1"/>
          <w:sz w:val="28"/>
          <w:szCs w:val="28"/>
        </w:rPr>
        <w:t>,</w:t>
      </w:r>
      <w:r w:rsidRPr="004769DF">
        <w:rPr>
          <w:rFonts w:ascii="Times New Roman" w:hAnsi="Times New Roman"/>
          <w:color w:val="000000" w:themeColor="text1"/>
          <w:sz w:val="28"/>
          <w:szCs w:val="28"/>
        </w:rPr>
        <w:t xml:space="preserve"> опросы и интервью преподавателей и административного персонала</w:t>
      </w:r>
      <w:r>
        <w:rPr>
          <w:rFonts w:ascii="Times New Roman" w:hAnsi="Times New Roman"/>
          <w:color w:val="000000" w:themeColor="text1"/>
          <w:sz w:val="28"/>
          <w:szCs w:val="28"/>
        </w:rPr>
        <w:t xml:space="preserve">, </w:t>
      </w:r>
      <w:r w:rsidRPr="004769DF">
        <w:rPr>
          <w:rFonts w:ascii="Times New Roman" w:hAnsi="Times New Roman"/>
          <w:color w:val="000000" w:themeColor="text1"/>
          <w:sz w:val="28"/>
          <w:szCs w:val="28"/>
        </w:rPr>
        <w:t>обработка данных с применением Excel, Gretl и SPSS.</w:t>
      </w:r>
    </w:p>
    <w:p w:rsidR="00F56C04" w:rsidRPr="004769DF" w:rsidRDefault="00F56C04" w:rsidP="00F56C04">
      <w:pPr>
        <w:pStyle w:val="a8"/>
        <w:spacing w:after="0" w:line="240" w:lineRule="auto"/>
        <w:ind w:left="121" w:right="121" w:firstLine="587"/>
        <w:jc w:val="both"/>
        <w:rPr>
          <w:rFonts w:ascii="Times New Roman" w:hAnsi="Times New Roman"/>
          <w:color w:val="000000" w:themeColor="text1"/>
          <w:sz w:val="28"/>
          <w:szCs w:val="28"/>
        </w:rPr>
      </w:pPr>
      <w:r w:rsidRPr="004769DF">
        <w:rPr>
          <w:rFonts w:ascii="Times New Roman" w:hAnsi="Times New Roman"/>
          <w:color w:val="000000" w:themeColor="text1"/>
          <w:sz w:val="28"/>
          <w:szCs w:val="28"/>
        </w:rPr>
        <w:t>Источниками информации послужили кадровые документы колледжа, данные о квалификации сотрудников, результаты образовательной деятельности и показатели трудоустройства выпускников. Для обеспечения достоверности результатов использованы проверенные методы статистической обработки и повторная проверка данных на различных этапах исследования.</w:t>
      </w:r>
    </w:p>
    <w:p w:rsidR="005E5A3A" w:rsidRPr="000D4FA1" w:rsidRDefault="005E5A3A" w:rsidP="008F43C6">
      <w:pPr>
        <w:pStyle w:val="a8"/>
        <w:spacing w:after="0" w:line="240" w:lineRule="auto"/>
        <w:ind w:left="121" w:right="121" w:firstLine="587"/>
        <w:jc w:val="both"/>
        <w:rPr>
          <w:rFonts w:ascii="Times New Roman" w:hAnsi="Times New Roman"/>
          <w:color w:val="000000" w:themeColor="text1"/>
          <w:sz w:val="28"/>
          <w:szCs w:val="28"/>
        </w:rPr>
      </w:pPr>
      <w:r w:rsidRPr="000D4FA1">
        <w:rPr>
          <w:rFonts w:ascii="Times New Roman" w:hAnsi="Times New Roman"/>
          <w:b/>
          <w:color w:val="000000" w:themeColor="text1"/>
          <w:sz w:val="28"/>
          <w:szCs w:val="28"/>
        </w:rPr>
        <w:t>Апробация</w:t>
      </w:r>
      <w:r w:rsidRPr="000D4FA1">
        <w:rPr>
          <w:rFonts w:ascii="Times New Roman" w:hAnsi="Times New Roman"/>
          <w:b/>
          <w:color w:val="000000" w:themeColor="text1"/>
          <w:spacing w:val="1"/>
          <w:sz w:val="28"/>
          <w:szCs w:val="28"/>
        </w:rPr>
        <w:t xml:space="preserve"> и п</w:t>
      </w:r>
      <w:r w:rsidRPr="000D4FA1">
        <w:rPr>
          <w:rFonts w:ascii="Times New Roman" w:hAnsi="Times New Roman"/>
          <w:b/>
          <w:color w:val="000000" w:themeColor="text1"/>
          <w:sz w:val="28"/>
          <w:szCs w:val="28"/>
        </w:rPr>
        <w:t>убликации результатов</w:t>
      </w:r>
      <w:r w:rsidRPr="000D4FA1">
        <w:rPr>
          <w:rFonts w:ascii="Times New Roman" w:hAnsi="Times New Roman"/>
          <w:b/>
          <w:color w:val="000000" w:themeColor="text1"/>
          <w:spacing w:val="1"/>
          <w:sz w:val="28"/>
          <w:szCs w:val="28"/>
        </w:rPr>
        <w:t xml:space="preserve"> </w:t>
      </w:r>
      <w:r w:rsidRPr="000D4FA1">
        <w:rPr>
          <w:rFonts w:ascii="Times New Roman" w:hAnsi="Times New Roman"/>
          <w:b/>
          <w:color w:val="000000" w:themeColor="text1"/>
          <w:sz w:val="28"/>
          <w:szCs w:val="28"/>
        </w:rPr>
        <w:t>исследования.</w:t>
      </w:r>
      <w:r w:rsidRPr="000D4FA1">
        <w:rPr>
          <w:rFonts w:ascii="Times New Roman" w:hAnsi="Times New Roman"/>
          <w:b/>
          <w:color w:val="000000" w:themeColor="text1"/>
          <w:spacing w:val="1"/>
          <w:sz w:val="28"/>
          <w:szCs w:val="28"/>
        </w:rPr>
        <w:t xml:space="preserve"> </w:t>
      </w:r>
      <w:r w:rsidRPr="000D4FA1">
        <w:rPr>
          <w:rFonts w:ascii="Times New Roman" w:hAnsi="Times New Roman"/>
          <w:color w:val="000000" w:themeColor="text1"/>
          <w:sz w:val="28"/>
          <w:szCs w:val="28"/>
        </w:rPr>
        <w:t>Основные</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положения</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и</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результаты</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исследования,</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были</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апробированы</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в</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выступлениях</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на</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международной научно</w:t>
      </w:r>
      <w:r w:rsidR="007B767F" w:rsidRPr="000D4FA1">
        <w:rPr>
          <w:rFonts w:ascii="Times New Roman" w:hAnsi="Times New Roman"/>
          <w:color w:val="000000" w:themeColor="text1"/>
          <w:sz w:val="28"/>
          <w:szCs w:val="28"/>
        </w:rPr>
        <w:t>–</w:t>
      </w:r>
      <w:r w:rsidRPr="000D4FA1">
        <w:rPr>
          <w:rFonts w:ascii="Times New Roman" w:hAnsi="Times New Roman"/>
          <w:color w:val="000000" w:themeColor="text1"/>
          <w:sz w:val="28"/>
          <w:szCs w:val="28"/>
        </w:rPr>
        <w:t>практической конференции и в зарубежных изданиях. Результаты</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данной</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исследовательской</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работы</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были</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опубликованы</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в</w:t>
      </w:r>
      <w:r w:rsidRPr="000D4FA1">
        <w:rPr>
          <w:rFonts w:ascii="Times New Roman" w:hAnsi="Times New Roman"/>
          <w:color w:val="000000" w:themeColor="text1"/>
          <w:spacing w:val="1"/>
          <w:sz w:val="28"/>
          <w:szCs w:val="28"/>
        </w:rPr>
        <w:t xml:space="preserve"> </w:t>
      </w:r>
      <w:r w:rsidRPr="000D4FA1">
        <w:rPr>
          <w:rFonts w:ascii="Times New Roman" w:hAnsi="Times New Roman"/>
          <w:color w:val="000000" w:themeColor="text1"/>
          <w:sz w:val="28"/>
          <w:szCs w:val="28"/>
        </w:rPr>
        <w:t>7</w:t>
      </w:r>
      <w:r w:rsidRPr="000D4FA1">
        <w:rPr>
          <w:rFonts w:ascii="Times New Roman" w:hAnsi="Times New Roman"/>
          <w:color w:val="000000" w:themeColor="text1"/>
          <w:spacing w:val="71"/>
          <w:sz w:val="28"/>
          <w:szCs w:val="28"/>
        </w:rPr>
        <w:t xml:space="preserve"> </w:t>
      </w:r>
      <w:r w:rsidRPr="000D4FA1">
        <w:rPr>
          <w:rFonts w:ascii="Times New Roman" w:hAnsi="Times New Roman"/>
          <w:color w:val="000000" w:themeColor="text1"/>
          <w:sz w:val="28"/>
          <w:szCs w:val="28"/>
        </w:rPr>
        <w:t>научных</w:t>
      </w:r>
      <w:r w:rsidRPr="000D4FA1">
        <w:rPr>
          <w:rFonts w:ascii="Times New Roman" w:hAnsi="Times New Roman"/>
          <w:color w:val="000000" w:themeColor="text1"/>
          <w:spacing w:val="71"/>
          <w:sz w:val="28"/>
          <w:szCs w:val="28"/>
        </w:rPr>
        <w:t xml:space="preserve"> </w:t>
      </w:r>
      <w:r w:rsidRPr="000D4FA1">
        <w:rPr>
          <w:rFonts w:ascii="Times New Roman" w:hAnsi="Times New Roman"/>
          <w:color w:val="000000" w:themeColor="text1"/>
          <w:sz w:val="28"/>
          <w:szCs w:val="28"/>
        </w:rPr>
        <w:t>работах</w:t>
      </w:r>
      <w:r w:rsidR="00E05267" w:rsidRPr="000D4FA1">
        <w:rPr>
          <w:rFonts w:ascii="Times New Roman" w:hAnsi="Times New Roman"/>
          <w:color w:val="000000" w:themeColor="text1"/>
          <w:sz w:val="28"/>
          <w:szCs w:val="28"/>
        </w:rPr>
        <w:t>.</w:t>
      </w:r>
      <w:r w:rsidRPr="000D4FA1">
        <w:rPr>
          <w:rFonts w:ascii="Times New Roman" w:hAnsi="Times New Roman"/>
          <w:color w:val="000000" w:themeColor="text1"/>
          <w:sz w:val="28"/>
          <w:szCs w:val="28"/>
        </w:rPr>
        <w:t xml:space="preserve"> </w:t>
      </w:r>
    </w:p>
    <w:bookmarkEnd w:id="9"/>
    <w:p w:rsidR="00ED5D01" w:rsidRPr="000D4FA1" w:rsidRDefault="005E5A3A" w:rsidP="008F43C6">
      <w:pPr>
        <w:spacing w:line="240" w:lineRule="auto"/>
        <w:ind w:firstLine="567"/>
        <w:jc w:val="both"/>
        <w:rPr>
          <w:sz w:val="28"/>
          <w:szCs w:val="28"/>
          <w:lang w:val="ru-RU"/>
        </w:rPr>
      </w:pPr>
      <w:r w:rsidRPr="000D4FA1">
        <w:rPr>
          <w:rFonts w:ascii="Times New Roman" w:hAnsi="Times New Roman"/>
          <w:b/>
          <w:color w:val="000000" w:themeColor="text1"/>
          <w:sz w:val="28"/>
          <w:szCs w:val="28"/>
          <w:lang w:val="ru-RU"/>
        </w:rPr>
        <w:t>Структура и объем работы.</w:t>
      </w:r>
      <w:r w:rsidRPr="000D4FA1">
        <w:rPr>
          <w:rFonts w:ascii="Times New Roman" w:hAnsi="Times New Roman"/>
          <w:color w:val="000000" w:themeColor="text1"/>
          <w:sz w:val="28"/>
          <w:szCs w:val="28"/>
          <w:lang w:val="ru-RU"/>
        </w:rPr>
        <w:t xml:space="preserve"> Структура диссертационного исследования состоит из введения, трех глав, заключения</w:t>
      </w:r>
      <w:r w:rsidR="003E1FF8" w:rsidRPr="000D4FA1">
        <w:rPr>
          <w:rFonts w:ascii="Times New Roman" w:hAnsi="Times New Roman"/>
          <w:color w:val="000000" w:themeColor="text1"/>
          <w:sz w:val="28"/>
          <w:szCs w:val="28"/>
          <w:lang w:val="ru-RU"/>
        </w:rPr>
        <w:t xml:space="preserve"> и</w:t>
      </w:r>
      <w:r w:rsidRPr="000D4FA1">
        <w:rPr>
          <w:rFonts w:ascii="Times New Roman" w:hAnsi="Times New Roman"/>
          <w:color w:val="000000" w:themeColor="text1"/>
          <w:sz w:val="28"/>
          <w:szCs w:val="28"/>
          <w:lang w:val="ru-RU"/>
        </w:rPr>
        <w:t xml:space="preserve"> списка </w:t>
      </w:r>
      <w:r w:rsidR="003E1FF8" w:rsidRPr="000D4FA1">
        <w:rPr>
          <w:rFonts w:ascii="Times New Roman" w:hAnsi="Times New Roman"/>
          <w:color w:val="000000" w:themeColor="text1"/>
          <w:sz w:val="28"/>
          <w:szCs w:val="28"/>
          <w:lang w:val="ru-RU"/>
        </w:rPr>
        <w:t>использованных источников.</w:t>
      </w:r>
      <w:r w:rsidR="00ED5D01" w:rsidRPr="000D4FA1">
        <w:rPr>
          <w:rFonts w:ascii="Times New Roman" w:hAnsi="Times New Roman"/>
          <w:color w:val="000000" w:themeColor="text1"/>
          <w:sz w:val="28"/>
          <w:szCs w:val="28"/>
          <w:lang w:val="ru-RU"/>
        </w:rPr>
        <w:t xml:space="preserve"> Объем диссертационного исследования составляет </w:t>
      </w:r>
      <w:r w:rsidR="007B77F6" w:rsidRPr="000D4FA1">
        <w:rPr>
          <w:rFonts w:ascii="Times New Roman" w:hAnsi="Times New Roman"/>
          <w:color w:val="000000" w:themeColor="text1"/>
          <w:sz w:val="28"/>
          <w:szCs w:val="28"/>
          <w:lang w:val="ru-RU"/>
        </w:rPr>
        <w:t>14</w:t>
      </w:r>
      <w:r w:rsidR="00A00396">
        <w:rPr>
          <w:rFonts w:ascii="Times New Roman" w:hAnsi="Times New Roman"/>
          <w:color w:val="000000" w:themeColor="text1"/>
          <w:sz w:val="28"/>
          <w:szCs w:val="28"/>
          <w:lang w:val="ru-RU"/>
        </w:rPr>
        <w:t>8</w:t>
      </w:r>
      <w:r w:rsidR="00ED5D01" w:rsidRPr="000D4FA1">
        <w:rPr>
          <w:rFonts w:ascii="Times New Roman" w:hAnsi="Times New Roman"/>
          <w:color w:val="000000" w:themeColor="text1"/>
          <w:sz w:val="28"/>
          <w:szCs w:val="28"/>
          <w:lang w:val="ru-RU"/>
        </w:rPr>
        <w:t xml:space="preserve"> страниц машинописного текста, включающий в себя </w:t>
      </w:r>
      <w:r w:rsidR="00D17049" w:rsidRPr="000D4FA1">
        <w:rPr>
          <w:rFonts w:ascii="Times New Roman" w:hAnsi="Times New Roman"/>
          <w:color w:val="000000" w:themeColor="text1"/>
          <w:sz w:val="28"/>
          <w:szCs w:val="28"/>
          <w:lang w:val="ru-RU"/>
        </w:rPr>
        <w:t>3</w:t>
      </w:r>
      <w:r w:rsidR="000F7908">
        <w:rPr>
          <w:rFonts w:ascii="Times New Roman" w:hAnsi="Times New Roman"/>
          <w:color w:val="000000" w:themeColor="text1"/>
          <w:sz w:val="28"/>
          <w:szCs w:val="28"/>
          <w:lang w:val="ru-RU"/>
        </w:rPr>
        <w:t>5</w:t>
      </w:r>
      <w:bookmarkStart w:id="10" w:name="_GoBack"/>
      <w:bookmarkEnd w:id="10"/>
      <w:r w:rsidR="00ED5D01" w:rsidRPr="000D4FA1">
        <w:rPr>
          <w:rFonts w:ascii="Times New Roman" w:hAnsi="Times New Roman"/>
          <w:color w:val="000000" w:themeColor="text1"/>
          <w:sz w:val="28"/>
          <w:szCs w:val="28"/>
          <w:lang w:val="ru-RU"/>
        </w:rPr>
        <w:t xml:space="preserve"> таблиц, </w:t>
      </w:r>
      <w:r w:rsidR="00272456" w:rsidRPr="000D4FA1">
        <w:rPr>
          <w:rFonts w:ascii="Times New Roman" w:hAnsi="Times New Roman"/>
          <w:color w:val="000000" w:themeColor="text1"/>
          <w:sz w:val="28"/>
          <w:szCs w:val="28"/>
          <w:lang w:val="ru-RU"/>
        </w:rPr>
        <w:t>2</w:t>
      </w:r>
      <w:r w:rsidR="00A00396">
        <w:rPr>
          <w:rFonts w:ascii="Times New Roman" w:hAnsi="Times New Roman"/>
          <w:color w:val="000000" w:themeColor="text1"/>
          <w:sz w:val="28"/>
          <w:szCs w:val="28"/>
          <w:lang w:val="ru-RU"/>
        </w:rPr>
        <w:t>6</w:t>
      </w:r>
      <w:r w:rsidR="00ED5D01" w:rsidRPr="000D4FA1">
        <w:rPr>
          <w:rFonts w:ascii="Times New Roman" w:hAnsi="Times New Roman"/>
          <w:color w:val="000000" w:themeColor="text1"/>
          <w:sz w:val="28"/>
          <w:szCs w:val="28"/>
          <w:lang w:val="ru-RU"/>
        </w:rPr>
        <w:t xml:space="preserve"> рисунков, </w:t>
      </w:r>
      <w:r w:rsidR="00272456" w:rsidRPr="000D4FA1">
        <w:rPr>
          <w:rFonts w:ascii="Times New Roman" w:hAnsi="Times New Roman"/>
          <w:color w:val="000000" w:themeColor="text1"/>
          <w:sz w:val="28"/>
          <w:szCs w:val="28"/>
          <w:lang w:val="ru-RU"/>
        </w:rPr>
        <w:t>4</w:t>
      </w:r>
      <w:r w:rsidR="00ED5D01" w:rsidRPr="000D4FA1">
        <w:rPr>
          <w:rFonts w:ascii="Times New Roman" w:hAnsi="Times New Roman"/>
          <w:color w:val="000000" w:themeColor="text1"/>
          <w:sz w:val="28"/>
          <w:szCs w:val="28"/>
          <w:lang w:val="ru-RU"/>
        </w:rPr>
        <w:t xml:space="preserve"> формул</w:t>
      </w:r>
      <w:r w:rsidR="00272456" w:rsidRPr="000D4FA1">
        <w:rPr>
          <w:rFonts w:ascii="Times New Roman" w:hAnsi="Times New Roman"/>
          <w:color w:val="000000" w:themeColor="text1"/>
          <w:sz w:val="28"/>
          <w:szCs w:val="28"/>
          <w:lang w:val="ru-RU"/>
        </w:rPr>
        <w:t>ы</w:t>
      </w:r>
      <w:r w:rsidR="00ED5D01" w:rsidRPr="000D4FA1">
        <w:rPr>
          <w:rFonts w:ascii="Times New Roman" w:hAnsi="Times New Roman"/>
          <w:color w:val="000000" w:themeColor="text1"/>
          <w:sz w:val="28"/>
          <w:szCs w:val="28"/>
          <w:lang w:val="ru-RU"/>
        </w:rPr>
        <w:t xml:space="preserve">. Список использованных источников насчитывает </w:t>
      </w:r>
      <w:r w:rsidR="00272456" w:rsidRPr="000D4FA1">
        <w:rPr>
          <w:rFonts w:ascii="Times New Roman" w:hAnsi="Times New Roman"/>
          <w:color w:val="000000" w:themeColor="text1"/>
          <w:sz w:val="28"/>
          <w:szCs w:val="28"/>
          <w:lang w:val="ru-RU"/>
        </w:rPr>
        <w:t>102</w:t>
      </w:r>
      <w:r w:rsidR="00ED5D01" w:rsidRPr="000D4FA1">
        <w:rPr>
          <w:rFonts w:ascii="Times New Roman" w:hAnsi="Times New Roman"/>
          <w:color w:val="000000" w:themeColor="text1"/>
          <w:sz w:val="28"/>
          <w:szCs w:val="28"/>
          <w:lang w:val="ru-RU"/>
        </w:rPr>
        <w:t xml:space="preserve"> наименований.</w:t>
      </w:r>
    </w:p>
    <w:p w:rsidR="005E5A3A" w:rsidRPr="000D4FA1" w:rsidRDefault="005E5A3A" w:rsidP="005E5A3A">
      <w:pPr>
        <w:pStyle w:val="a8"/>
        <w:spacing w:after="0" w:line="240" w:lineRule="auto"/>
        <w:ind w:left="121" w:right="121" w:firstLine="587"/>
        <w:jc w:val="both"/>
        <w:rPr>
          <w:rFonts w:ascii="Times New Roman" w:hAnsi="Times New Roman"/>
          <w:color w:val="000000" w:themeColor="text1"/>
          <w:sz w:val="28"/>
          <w:szCs w:val="28"/>
        </w:rPr>
      </w:pPr>
    </w:p>
    <w:p w:rsidR="006E2083" w:rsidRPr="000D4FA1" w:rsidRDefault="00090B62"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
          <w:bCs/>
          <w:sz w:val="28"/>
          <w:szCs w:val="28"/>
          <w:lang w:val="ru-RU" w:eastAsia="ru-RU"/>
        </w:rPr>
        <w:lastRenderedPageBreak/>
        <w:t>1 ТЕОРЕТИЧЕСКИЕ АСПЕКТЫ ЧЕЛОВЕЧЕСКОГО ПОТЕНЦИАЛА И УСТОЙЧИВОСТИ ОРГАНИЗАЦИЙ</w:t>
      </w:r>
      <w:r w:rsidRPr="000D4FA1">
        <w:rPr>
          <w:rFonts w:ascii="Times New Roman" w:eastAsia="Times New Roman" w:hAnsi="Times New Roman" w:cs="Times New Roman"/>
          <w:sz w:val="28"/>
          <w:szCs w:val="28"/>
          <w:lang w:val="ru-RU" w:eastAsia="ru-RU"/>
        </w:rPr>
        <w:t xml:space="preserve"> </w:t>
      </w:r>
    </w:p>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p w:rsidR="006E2083" w:rsidRPr="000D4FA1" w:rsidRDefault="00590D3F" w:rsidP="006C0BBD">
      <w:pPr>
        <w:pStyle w:val="a6"/>
        <w:numPr>
          <w:ilvl w:val="1"/>
          <w:numId w:val="11"/>
        </w:numPr>
        <w:spacing w:after="0" w:line="240" w:lineRule="auto"/>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 xml:space="preserve"> </w:t>
      </w:r>
      <w:r w:rsidR="006E2083" w:rsidRPr="000D4FA1">
        <w:rPr>
          <w:rFonts w:ascii="Times New Roman" w:eastAsia="Times New Roman" w:hAnsi="Times New Roman" w:cs="Times New Roman"/>
          <w:b/>
          <w:sz w:val="28"/>
          <w:szCs w:val="28"/>
          <w:lang w:val="ru-RU" w:eastAsia="ru-RU"/>
        </w:rPr>
        <w:t>Понятие и сущность человеческого потенциала в организации</w:t>
      </w:r>
    </w:p>
    <w:p w:rsidR="006E2083" w:rsidRPr="000D4FA1" w:rsidRDefault="006E2083" w:rsidP="006E2083">
      <w:pPr>
        <w:pStyle w:val="a6"/>
        <w:spacing w:after="0" w:line="240" w:lineRule="auto"/>
        <w:jc w:val="both"/>
        <w:rPr>
          <w:rFonts w:ascii="Times New Roman" w:eastAsia="Times New Roman" w:hAnsi="Times New Roman" w:cs="Times New Roman"/>
          <w:b/>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Человеческий потенциал играет важную роль в развитии и устойчивости организации образования. Современные подходы к управлению все больше акцентируют внимание на людях как на основном ресурсе организации, способном генерировать инновации, повышать производительность и обеспечивать устойчивость компании на рынке.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По мнению </w:t>
      </w:r>
      <w:r w:rsidRPr="000D4FA1">
        <w:rPr>
          <w:rFonts w:ascii="Times New Roman" w:eastAsia="Times New Roman" w:hAnsi="Times New Roman" w:cs="Times New Roman"/>
          <w:sz w:val="28"/>
          <w:szCs w:val="28"/>
          <w:lang w:eastAsia="ru-RU"/>
        </w:rPr>
        <w:t>Barney</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J</w:t>
      </w:r>
      <w:r w:rsidRPr="000D4FA1">
        <w:rPr>
          <w:rFonts w:ascii="Times New Roman" w:eastAsia="Times New Roman" w:hAnsi="Times New Roman" w:cs="Times New Roman"/>
          <w:sz w:val="28"/>
          <w:szCs w:val="28"/>
          <w:lang w:val="ru-RU" w:eastAsia="ru-RU"/>
        </w:rPr>
        <w:t>. человеческий капитал является источником долгосрочного конкурентного преимущества, а его эффективное использование становится ключевым фактором выживания и процветания организаций</w:t>
      </w:r>
      <w:r w:rsidR="00090B62" w:rsidRPr="000D4FA1">
        <w:rPr>
          <w:rFonts w:ascii="Times New Roman" w:eastAsia="Times New Roman" w:hAnsi="Times New Roman" w:cs="Times New Roman"/>
          <w:sz w:val="28"/>
          <w:szCs w:val="28"/>
          <w:lang w:val="ru-RU" w:eastAsia="ru-RU"/>
        </w:rPr>
        <w:t xml:space="preserve"> [16].</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Исследования в области управления человеческими ресурсами, такие как работы </w:t>
      </w:r>
      <w:r w:rsidRPr="000D4FA1">
        <w:rPr>
          <w:rFonts w:ascii="Times New Roman" w:eastAsia="Times New Roman" w:hAnsi="Times New Roman" w:cs="Times New Roman"/>
          <w:sz w:val="28"/>
          <w:szCs w:val="28"/>
          <w:lang w:eastAsia="ru-RU"/>
        </w:rPr>
        <w:t>Becker</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G</w:t>
      </w:r>
      <w:r w:rsidRPr="000D4FA1">
        <w:rPr>
          <w:rFonts w:ascii="Times New Roman" w:eastAsia="Times New Roman" w:hAnsi="Times New Roman" w:cs="Times New Roman"/>
          <w:sz w:val="28"/>
          <w:szCs w:val="28"/>
          <w:lang w:val="ru-RU" w:eastAsia="ru-RU"/>
        </w:rPr>
        <w:t>. подчеркивают, что человеческий потенциал включает в себя не только знания и навыки сотрудников, но и их способности к обучению, мотивацию и желание вкладываться в развитие организации. В этом контексте, управление человеческим потенциалом рассматривается как важнейшая функция организации, направленная на максимизацию вклада каждого сотрудника в достижение стратегических целей</w:t>
      </w:r>
      <w:r w:rsidR="00090B62" w:rsidRPr="000D4FA1">
        <w:rPr>
          <w:rFonts w:ascii="Times New Roman" w:eastAsia="Times New Roman" w:hAnsi="Times New Roman" w:cs="Times New Roman"/>
          <w:sz w:val="28"/>
          <w:szCs w:val="28"/>
          <w:lang w:val="ru-RU" w:eastAsia="ru-RU"/>
        </w:rPr>
        <w:t xml:space="preserve"> [17].</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зарубежных трудах автор</w:t>
      </w:r>
      <w:r w:rsidR="00090B62" w:rsidRPr="000D4FA1">
        <w:rPr>
          <w:rFonts w:ascii="Times New Roman" w:eastAsia="Times New Roman" w:hAnsi="Times New Roman" w:cs="Times New Roman"/>
          <w:sz w:val="28"/>
          <w:szCs w:val="28"/>
          <w:lang w:val="ru-RU" w:eastAsia="ru-RU"/>
        </w:rPr>
        <w:t>о</w:t>
      </w:r>
      <w:r w:rsidRPr="000D4FA1">
        <w:rPr>
          <w:rFonts w:ascii="Times New Roman" w:eastAsia="Times New Roman" w:hAnsi="Times New Roman" w:cs="Times New Roman"/>
          <w:sz w:val="28"/>
          <w:szCs w:val="28"/>
          <w:lang w:val="ru-RU" w:eastAsia="ru-RU"/>
        </w:rPr>
        <w:t xml:space="preserve">в существует множество определений человеческого потенциала, однако большинство из них сходятся в том, что это совокупность знаний, умений, навыков и личных качеств, которые сотрудники используют для достижения целей организации.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Одним из классических определений является работа </w:t>
      </w:r>
      <w:r w:rsidR="001F3260" w:rsidRPr="000D4FA1">
        <w:rPr>
          <w:rFonts w:ascii="Times New Roman" w:eastAsia="Times New Roman" w:hAnsi="Times New Roman" w:cs="Times New Roman"/>
          <w:sz w:val="28"/>
          <w:szCs w:val="28"/>
          <w:lang w:eastAsia="ru-RU"/>
        </w:rPr>
        <w:t>Shultz</w:t>
      </w:r>
      <w:r w:rsidR="001F3260" w:rsidRPr="000D4FA1">
        <w:rPr>
          <w:rFonts w:ascii="Times New Roman" w:eastAsia="Times New Roman" w:hAnsi="Times New Roman" w:cs="Times New Roman"/>
          <w:sz w:val="28"/>
          <w:szCs w:val="28"/>
          <w:lang w:val="ru-RU" w:eastAsia="ru-RU"/>
        </w:rPr>
        <w:t xml:space="preserve"> </w:t>
      </w:r>
      <w:r w:rsidR="001F3260" w:rsidRPr="000D4FA1">
        <w:rPr>
          <w:rFonts w:ascii="Times New Roman" w:eastAsia="Times New Roman" w:hAnsi="Times New Roman" w:cs="Times New Roman"/>
          <w:sz w:val="28"/>
          <w:szCs w:val="28"/>
          <w:lang w:eastAsia="ru-RU"/>
        </w:rPr>
        <w:t>T</w:t>
      </w:r>
      <w:r w:rsidR="001F3260" w:rsidRPr="000D4FA1">
        <w:rPr>
          <w:rFonts w:ascii="Times New Roman" w:eastAsia="Times New Roman" w:hAnsi="Times New Roman" w:cs="Times New Roman"/>
          <w:sz w:val="28"/>
          <w:szCs w:val="28"/>
          <w:lang w:val="ru-RU" w:eastAsia="ru-RU"/>
        </w:rPr>
        <w:t>.</w:t>
      </w:r>
      <w:r w:rsidR="001F3260" w:rsidRPr="000D4FA1">
        <w:rPr>
          <w:rFonts w:ascii="Times New Roman" w:eastAsia="Times New Roman" w:hAnsi="Times New Roman" w:cs="Times New Roman"/>
          <w:sz w:val="28"/>
          <w:szCs w:val="28"/>
          <w:lang w:eastAsia="ru-RU"/>
        </w:rPr>
        <w:t>W</w:t>
      </w:r>
      <w:r w:rsidR="001F3260"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который рассматривал человеческий потенциал как совокупность навыков и знаний, накопленных людьми и способных приносить экономическую выгоду</w:t>
      </w:r>
      <w:r w:rsidR="00090B62" w:rsidRPr="000D4FA1">
        <w:rPr>
          <w:rFonts w:ascii="Times New Roman" w:eastAsia="Times New Roman" w:hAnsi="Times New Roman" w:cs="Times New Roman"/>
          <w:sz w:val="28"/>
          <w:szCs w:val="28"/>
          <w:lang w:val="ru-RU" w:eastAsia="ru-RU"/>
        </w:rPr>
        <w:t xml:space="preserve"> [18].</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Другие авторы, такие как </w:t>
      </w:r>
      <w:r w:rsidRPr="000D4FA1">
        <w:rPr>
          <w:rFonts w:ascii="Times New Roman" w:eastAsia="Times New Roman" w:hAnsi="Times New Roman" w:cs="Times New Roman"/>
          <w:sz w:val="28"/>
          <w:szCs w:val="28"/>
          <w:lang w:eastAsia="ru-RU"/>
        </w:rPr>
        <w:t>Kaplan</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R</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S</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Norton</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D</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P</w:t>
      </w:r>
      <w:r w:rsidRPr="000D4FA1">
        <w:rPr>
          <w:rFonts w:ascii="Times New Roman" w:eastAsia="Times New Roman" w:hAnsi="Times New Roman" w:cs="Times New Roman"/>
          <w:sz w:val="28"/>
          <w:szCs w:val="28"/>
          <w:lang w:val="ru-RU" w:eastAsia="ru-RU"/>
        </w:rPr>
        <w:t>. акцентируют внимание на том, что человеческий потенциал должен рассматриваться в контексте организационного развития, где сотрудники не только выполняют свои прямые обязанности, но и являются активными участниками инновационных процессов, создавая новые ценности для компании</w:t>
      </w:r>
      <w:r w:rsidR="00090B62" w:rsidRPr="000D4FA1">
        <w:rPr>
          <w:rFonts w:ascii="Times New Roman" w:eastAsia="Times New Roman" w:hAnsi="Times New Roman" w:cs="Times New Roman"/>
          <w:sz w:val="28"/>
          <w:szCs w:val="28"/>
          <w:lang w:val="ru-RU" w:eastAsia="ru-RU"/>
        </w:rPr>
        <w:t xml:space="preserve"> [19].</w:t>
      </w:r>
    </w:p>
    <w:p w:rsidR="006E2083" w:rsidRPr="000D4FA1" w:rsidRDefault="006E2083" w:rsidP="006E2083">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Человеческий потенциал можно разделить на несколько ключевых компонентов:</w:t>
      </w:r>
    </w:p>
    <w:p w:rsidR="006E2083" w:rsidRPr="000D4FA1" w:rsidRDefault="006E2083" w:rsidP="006C0BBD">
      <w:pPr>
        <w:pStyle w:val="a6"/>
        <w:numPr>
          <w:ilvl w:val="0"/>
          <w:numId w:val="10"/>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t>квалификация и профессиональные навыки</w:t>
      </w:r>
      <w:r w:rsidR="00DD256A" w:rsidRPr="000D4FA1">
        <w:rPr>
          <w:rFonts w:ascii="Times New Roman" w:eastAsia="Times New Roman" w:hAnsi="Times New Roman" w:cs="Times New Roman"/>
          <w:bCs/>
          <w:sz w:val="28"/>
          <w:szCs w:val="28"/>
          <w:lang w:val="ru-RU" w:eastAsia="ru-RU"/>
        </w:rPr>
        <w:t>; э</w:t>
      </w:r>
      <w:r w:rsidRPr="000D4FA1">
        <w:rPr>
          <w:rFonts w:ascii="Times New Roman" w:eastAsia="Times New Roman" w:hAnsi="Times New Roman" w:cs="Times New Roman"/>
          <w:sz w:val="28"/>
          <w:szCs w:val="28"/>
          <w:lang w:val="ru-RU" w:eastAsia="ru-RU"/>
        </w:rPr>
        <w:t xml:space="preserve">то базовый элемент человеческого потенциала, включающий образование, опыт и технические навыки сотрудников, которые они применяют для выполнения своих задач </w:t>
      </w:r>
      <w:r w:rsidR="00090B62" w:rsidRPr="000D4FA1">
        <w:rPr>
          <w:rFonts w:ascii="Times New Roman" w:eastAsia="Times New Roman" w:hAnsi="Times New Roman" w:cs="Times New Roman"/>
          <w:sz w:val="28"/>
          <w:szCs w:val="28"/>
          <w:lang w:val="ru-RU" w:eastAsia="ru-RU"/>
        </w:rPr>
        <w:t>[</w:t>
      </w:r>
      <w:r w:rsidR="00052E2D" w:rsidRPr="000D4FA1">
        <w:rPr>
          <w:rFonts w:ascii="Times New Roman" w:eastAsia="Times New Roman" w:hAnsi="Times New Roman" w:cs="Times New Roman"/>
          <w:sz w:val="28"/>
          <w:szCs w:val="28"/>
          <w:lang w:val="ru-RU" w:eastAsia="ru-RU"/>
        </w:rPr>
        <w:t>20</w:t>
      </w:r>
      <w:r w:rsidR="00090B62"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w:t>
      </w:r>
    </w:p>
    <w:p w:rsidR="006E2083" w:rsidRPr="000D4FA1" w:rsidRDefault="006E2083" w:rsidP="006C0BBD">
      <w:pPr>
        <w:pStyle w:val="a6"/>
        <w:numPr>
          <w:ilvl w:val="0"/>
          <w:numId w:val="10"/>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t>креативность и инновационные способности</w:t>
      </w:r>
      <w:r w:rsidR="00DD256A" w:rsidRPr="000D4FA1">
        <w:rPr>
          <w:rFonts w:ascii="Times New Roman" w:eastAsia="Times New Roman" w:hAnsi="Times New Roman" w:cs="Times New Roman"/>
          <w:bCs/>
          <w:sz w:val="28"/>
          <w:szCs w:val="28"/>
          <w:lang w:val="ru-RU" w:eastAsia="ru-RU"/>
        </w:rPr>
        <w:t>; м</w:t>
      </w:r>
      <w:r w:rsidRPr="000D4FA1">
        <w:rPr>
          <w:rFonts w:ascii="Times New Roman" w:eastAsia="Times New Roman" w:hAnsi="Times New Roman" w:cs="Times New Roman"/>
          <w:sz w:val="28"/>
          <w:szCs w:val="28"/>
          <w:lang w:val="ru-RU" w:eastAsia="ru-RU"/>
        </w:rPr>
        <w:t xml:space="preserve">ногими авторами, включая </w:t>
      </w:r>
      <w:r w:rsidRPr="000D4FA1">
        <w:rPr>
          <w:rFonts w:ascii="Times New Roman" w:eastAsia="Times New Roman" w:hAnsi="Times New Roman" w:cs="Times New Roman"/>
          <w:sz w:val="28"/>
          <w:szCs w:val="28"/>
          <w:lang w:eastAsia="ru-RU"/>
        </w:rPr>
        <w:t>Amabile</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T</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 подчеркивается важность креативности как составляющей человеческого потенциала</w:t>
      </w:r>
      <w:r w:rsidR="00DD256A" w:rsidRPr="000D4FA1">
        <w:rPr>
          <w:rFonts w:ascii="Times New Roman" w:eastAsia="Times New Roman" w:hAnsi="Times New Roman" w:cs="Times New Roman"/>
          <w:sz w:val="28"/>
          <w:szCs w:val="28"/>
          <w:lang w:val="ru-RU" w:eastAsia="ru-RU"/>
        </w:rPr>
        <w:t xml:space="preserve"> [21]</w:t>
      </w:r>
      <w:r w:rsidRPr="000D4FA1">
        <w:rPr>
          <w:rFonts w:ascii="Times New Roman" w:eastAsia="Times New Roman" w:hAnsi="Times New Roman" w:cs="Times New Roman"/>
          <w:sz w:val="28"/>
          <w:szCs w:val="28"/>
          <w:lang w:val="ru-RU" w:eastAsia="ru-RU"/>
        </w:rPr>
        <w:t>. Организации, которые развивают творческие способности своих сотрудников, способны адаптироваться к изменениям на рынке и внедрять инновации;</w:t>
      </w:r>
    </w:p>
    <w:p w:rsidR="006E2083" w:rsidRPr="000D4FA1" w:rsidRDefault="006E2083" w:rsidP="006C0BBD">
      <w:pPr>
        <w:pStyle w:val="a6"/>
        <w:numPr>
          <w:ilvl w:val="0"/>
          <w:numId w:val="10"/>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lastRenderedPageBreak/>
        <w:t>мотивация и вовлеченность</w:t>
      </w:r>
      <w:r w:rsidR="00DD256A"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sz w:val="28"/>
          <w:szCs w:val="28"/>
          <w:lang w:val="ru-RU" w:eastAsia="ru-RU"/>
        </w:rPr>
        <w:t xml:space="preserve"> </w:t>
      </w:r>
      <w:r w:rsidR="00DD256A" w:rsidRPr="000D4FA1">
        <w:rPr>
          <w:rFonts w:ascii="Times New Roman" w:eastAsia="Times New Roman" w:hAnsi="Times New Roman" w:cs="Times New Roman"/>
          <w:sz w:val="28"/>
          <w:szCs w:val="28"/>
          <w:lang w:val="ru-RU" w:eastAsia="ru-RU"/>
        </w:rPr>
        <w:t>п</w:t>
      </w:r>
      <w:r w:rsidRPr="000D4FA1">
        <w:rPr>
          <w:rFonts w:ascii="Times New Roman" w:eastAsia="Times New Roman" w:hAnsi="Times New Roman" w:cs="Times New Roman"/>
          <w:sz w:val="28"/>
          <w:szCs w:val="28"/>
          <w:lang w:val="ru-RU" w:eastAsia="ru-RU"/>
        </w:rPr>
        <w:t xml:space="preserve">о мнению </w:t>
      </w:r>
      <w:r w:rsidRPr="000D4FA1">
        <w:rPr>
          <w:rFonts w:ascii="Times New Roman" w:eastAsia="Times New Roman" w:hAnsi="Times New Roman" w:cs="Times New Roman"/>
          <w:sz w:val="28"/>
          <w:szCs w:val="28"/>
          <w:lang w:eastAsia="ru-RU"/>
        </w:rPr>
        <w:t>Deci</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E</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L</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Ryan</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R</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w:t>
      </w:r>
      <w:r w:rsidR="00052E2D"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уровень мотивации сотрудников является решающим фактором, влияющим на их продуктивность и готовность развиваться вместе с организацией</w:t>
      </w:r>
      <w:r w:rsidR="00DD256A" w:rsidRPr="000D4FA1">
        <w:rPr>
          <w:rFonts w:ascii="Times New Roman" w:eastAsia="Times New Roman" w:hAnsi="Times New Roman" w:cs="Times New Roman"/>
          <w:sz w:val="28"/>
          <w:szCs w:val="28"/>
          <w:lang w:val="ru-RU" w:eastAsia="ru-RU"/>
        </w:rPr>
        <w:t xml:space="preserve"> [22]</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Устойчивость организации часто связывается с её способностью адаптироваться к изменениям во внешней среде, управлять рисками и поддерживать высокий уровень производительности. </w:t>
      </w:r>
    </w:p>
    <w:p w:rsidR="006E2083" w:rsidRPr="000D4FA1" w:rsidRDefault="006E2083" w:rsidP="006E2083">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Кроме того, человеческий потенциал играет ключевую роль в создании корпоративной культуры, которая поддерживает инновации и изменение. </w:t>
      </w:r>
      <w:r w:rsidRPr="000D4FA1">
        <w:rPr>
          <w:rFonts w:ascii="Times New Roman" w:eastAsia="Times New Roman" w:hAnsi="Times New Roman" w:cs="Times New Roman"/>
          <w:sz w:val="28"/>
          <w:szCs w:val="28"/>
          <w:lang w:eastAsia="ru-RU"/>
        </w:rPr>
        <w:t>Robertson</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I</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T</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Cooper</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C</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L</w:t>
      </w:r>
      <w:r w:rsidRPr="000D4FA1">
        <w:rPr>
          <w:rFonts w:ascii="Times New Roman" w:eastAsia="Times New Roman" w:hAnsi="Times New Roman" w:cs="Times New Roman"/>
          <w:sz w:val="28"/>
          <w:szCs w:val="28"/>
          <w:lang w:val="ru-RU" w:eastAsia="ru-RU"/>
        </w:rPr>
        <w:t>. подчеркивают, что организации с развитым человеческим потенциалом имеют более высокие шансы на успех в условиях глобализации и цифровой трансформации</w:t>
      </w:r>
      <w:r w:rsidR="00052E2D" w:rsidRPr="000D4FA1">
        <w:rPr>
          <w:rFonts w:ascii="Times New Roman" w:eastAsia="Times New Roman" w:hAnsi="Times New Roman" w:cs="Times New Roman"/>
          <w:sz w:val="28"/>
          <w:szCs w:val="28"/>
          <w:lang w:val="ru-RU" w:eastAsia="ru-RU"/>
        </w:rPr>
        <w:t xml:space="preserve"> [23]</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Зарубежные исследования в области управления человеческим капиталом предоставляют широкий спектр подходов и методов для анализа и улучшения человеческого потенциала. В исследованиях </w:t>
      </w:r>
      <w:r w:rsidRPr="000D4FA1">
        <w:rPr>
          <w:rFonts w:ascii="Times New Roman" w:eastAsia="Times New Roman" w:hAnsi="Times New Roman" w:cs="Times New Roman"/>
          <w:sz w:val="28"/>
          <w:szCs w:val="28"/>
          <w:lang w:eastAsia="ru-RU"/>
        </w:rPr>
        <w:t>Pfeffer</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J</w:t>
      </w:r>
      <w:r w:rsidRPr="000D4FA1">
        <w:rPr>
          <w:rFonts w:ascii="Times New Roman" w:eastAsia="Times New Roman" w:hAnsi="Times New Roman" w:cs="Times New Roman"/>
          <w:sz w:val="28"/>
          <w:szCs w:val="28"/>
          <w:lang w:val="ru-RU" w:eastAsia="ru-RU"/>
        </w:rPr>
        <w:t>.  и Loury рассматривается взаимосвязь между управлением человеческим потенциалом и финансовыми показателями компаний. Они показали, что компании, которые инвестируют в развитие сотрудников, демонстрируют более высокие финансовые результаты и стабильность</w:t>
      </w:r>
      <w:r w:rsidR="00052E2D" w:rsidRPr="000D4FA1">
        <w:rPr>
          <w:rFonts w:ascii="Times New Roman" w:eastAsia="Times New Roman" w:hAnsi="Times New Roman" w:cs="Times New Roman"/>
          <w:sz w:val="28"/>
          <w:szCs w:val="28"/>
          <w:lang w:val="ru-RU" w:eastAsia="ru-RU"/>
        </w:rPr>
        <w:t xml:space="preserve"> [24].</w:t>
      </w:r>
    </w:p>
    <w:p w:rsidR="006E2083" w:rsidRPr="000D4FA1" w:rsidRDefault="006E2083" w:rsidP="006E2083">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Исследование Becker также поддерживает эту точку зрения, утверждая, что рост инвестиций в человеческий капитал приводит к повышению производительности труда и устойчивости организации на рынке</w:t>
      </w:r>
      <w:r w:rsidR="00034AF5" w:rsidRPr="000D4FA1">
        <w:rPr>
          <w:rFonts w:ascii="Times New Roman" w:eastAsia="Times New Roman" w:hAnsi="Times New Roman" w:cs="Times New Roman"/>
          <w:sz w:val="28"/>
          <w:szCs w:val="28"/>
          <w:lang w:val="ru-RU" w:eastAsia="ru-RU"/>
        </w:rPr>
        <w:t xml:space="preserve"> [16</w:t>
      </w:r>
      <w:r w:rsidR="00D25A8F" w:rsidRPr="000D4FA1">
        <w:rPr>
          <w:rFonts w:ascii="Times New Roman" w:eastAsia="Times New Roman" w:hAnsi="Times New Roman" w:cs="Times New Roman"/>
          <w:sz w:val="28"/>
          <w:szCs w:val="28"/>
          <w:lang w:val="ru-RU" w:eastAsia="ru-RU"/>
        </w:rPr>
        <w:t>, 42 с.</w:t>
      </w:r>
      <w:r w:rsidR="00034A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w:t>
      </w:r>
    </w:p>
    <w:p w:rsidR="006E2083" w:rsidRPr="000D4FA1" w:rsidRDefault="006E2083" w:rsidP="00D17CE5">
      <w:pPr>
        <w:spacing w:after="0" w:line="240" w:lineRule="auto"/>
        <w:ind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Несмотря на широкое признание важности человеческого потенциала, существует ряд вызовов в его эффективном управлении. Одним из ключевых аспектов является проблема оценки и измерения человеческого потенциала. Исследования </w:t>
      </w:r>
      <w:r w:rsidRPr="000D4FA1">
        <w:rPr>
          <w:rFonts w:ascii="Times New Roman" w:eastAsia="Times New Roman" w:hAnsi="Times New Roman" w:cs="Times New Roman"/>
          <w:sz w:val="28"/>
          <w:szCs w:val="28"/>
          <w:lang w:eastAsia="ru-RU"/>
        </w:rPr>
        <w:t>Armstrong</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 показывают, что большинство существующих методов оценки человеческого капитала не учитывают качественные аспекты, такие как мотивация и креативность, что затрудняет полноценную оценку вклада сотрудников в общую устойчивость организации</w:t>
      </w:r>
      <w:r w:rsidR="00D17CE5" w:rsidRPr="000D4FA1">
        <w:rPr>
          <w:rFonts w:ascii="Times New Roman" w:eastAsia="Times New Roman" w:hAnsi="Times New Roman" w:cs="Times New Roman"/>
          <w:sz w:val="28"/>
          <w:szCs w:val="28"/>
          <w:lang w:val="ru-RU" w:eastAsia="ru-RU"/>
        </w:rPr>
        <w:t xml:space="preserve"> [25].</w:t>
      </w:r>
    </w:p>
    <w:p w:rsidR="00D25A8F" w:rsidRPr="000D4FA1" w:rsidRDefault="00D25A8F" w:rsidP="00D25A8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Матрица проблем оценки и управления человеческим потенциалом в организации представляет собой систематизированный анализ ключевых проблем, связанных с определением, оценкой, управлением и влиянием человеческого потенциала на устойчивость организации. </w:t>
      </w:r>
    </w:p>
    <w:p w:rsidR="00546069" w:rsidRPr="000D4FA1" w:rsidRDefault="00546069" w:rsidP="00546069">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таблице 1 выделены четыре основные области, каждая из которых затрагивает важные аспекты управления человеческими ресурсами, начиная от отсутствия единого определения человеческого потенциала и заканчивая проблемами количественной оценки его влияния на долгосрочную конкурентоспособность организации. </w:t>
      </w:r>
    </w:p>
    <w:p w:rsidR="00D17CE5" w:rsidRPr="000D4FA1" w:rsidRDefault="003E1FF8" w:rsidP="003E1FF8">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Значимость матрицы заключается в том, что она помогает исследователям и практикам структурированно подходить к изучению и решению данных проблем, что, в свою очередь, способствует улучшению управления человеческими ресурсами в профессиональных образовательных учреждениях.</w:t>
      </w:r>
    </w:p>
    <w:p w:rsidR="00D17CE5" w:rsidRPr="000D4FA1" w:rsidRDefault="00D17CE5" w:rsidP="00D17CE5">
      <w:pPr>
        <w:spacing w:after="0" w:line="240" w:lineRule="auto"/>
        <w:ind w:firstLine="360"/>
        <w:jc w:val="both"/>
        <w:rPr>
          <w:rFonts w:ascii="Times New Roman" w:eastAsia="Times New Roman" w:hAnsi="Times New Roman" w:cs="Times New Roman"/>
          <w:sz w:val="28"/>
          <w:szCs w:val="28"/>
          <w:lang w:val="ru-RU" w:eastAsia="ru-RU"/>
        </w:rPr>
      </w:pPr>
    </w:p>
    <w:p w:rsidR="00546069" w:rsidRPr="000D4FA1" w:rsidRDefault="00546069" w:rsidP="00D17CE5">
      <w:pPr>
        <w:spacing w:after="0" w:line="240" w:lineRule="auto"/>
        <w:ind w:firstLine="360"/>
        <w:jc w:val="both"/>
        <w:rPr>
          <w:rFonts w:ascii="Times New Roman" w:eastAsia="Times New Roman" w:hAnsi="Times New Roman" w:cs="Times New Roman"/>
          <w:sz w:val="28"/>
          <w:szCs w:val="28"/>
          <w:lang w:val="ru-RU" w:eastAsia="ru-RU"/>
        </w:rPr>
      </w:pPr>
    </w:p>
    <w:p w:rsidR="006E2083" w:rsidRPr="000D4FA1" w:rsidRDefault="006E2083" w:rsidP="00672CF8">
      <w:pPr>
        <w:spacing w:before="100" w:beforeAutospacing="1" w:after="100" w:afterAutospacing="1"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lastRenderedPageBreak/>
        <w:t>Таблица 1</w:t>
      </w:r>
      <w:r w:rsidR="00672CF8"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 xml:space="preserve"> Матрица проблем оценки и управления человеческим потенциалом в организации</w:t>
      </w:r>
    </w:p>
    <w:tbl>
      <w:tblPr>
        <w:tblStyle w:val="af4"/>
        <w:tblW w:w="0" w:type="auto"/>
        <w:tblLook w:val="04A0"/>
      </w:tblPr>
      <w:tblGrid>
        <w:gridCol w:w="1773"/>
        <w:gridCol w:w="2141"/>
        <w:gridCol w:w="2478"/>
        <w:gridCol w:w="3462"/>
      </w:tblGrid>
      <w:tr w:rsidR="006E2083" w:rsidRPr="000D4FA1" w:rsidTr="00D17CE5">
        <w:trPr>
          <w:trHeight w:val="484"/>
        </w:trPr>
        <w:tc>
          <w:tcPr>
            <w:tcW w:w="1785" w:type="dxa"/>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Проблемы</w:t>
            </w:r>
          </w:p>
        </w:tc>
        <w:tc>
          <w:tcPr>
            <w:tcW w:w="2179" w:type="dxa"/>
            <w:vAlign w:val="center"/>
          </w:tcPr>
          <w:p w:rsidR="006E2083" w:rsidRPr="000D4FA1" w:rsidRDefault="00D17CE5" w:rsidP="00D17CE5">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Аспекты</w:t>
            </w:r>
          </w:p>
        </w:tc>
        <w:tc>
          <w:tcPr>
            <w:tcW w:w="1701" w:type="dxa"/>
            <w:vAlign w:val="center"/>
          </w:tcPr>
          <w:p w:rsidR="006E2083" w:rsidRPr="000D4FA1" w:rsidRDefault="00D17CE5" w:rsidP="00D17CE5">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Последствия</w:t>
            </w:r>
          </w:p>
        </w:tc>
        <w:tc>
          <w:tcPr>
            <w:tcW w:w="3680" w:type="dxa"/>
            <w:vAlign w:val="center"/>
          </w:tcPr>
          <w:p w:rsidR="006E2083" w:rsidRPr="000D4FA1" w:rsidRDefault="00D17CE5" w:rsidP="00D17CE5">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Решения</w:t>
            </w:r>
          </w:p>
        </w:tc>
      </w:tr>
      <w:tr w:rsidR="006E2083" w:rsidRPr="0036668B" w:rsidTr="006E2083">
        <w:tc>
          <w:tcPr>
            <w:tcW w:w="1785" w:type="dxa"/>
            <w:vAlign w:val="center"/>
          </w:tcPr>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Определение человеческого потенциала</w:t>
            </w:r>
          </w:p>
        </w:tc>
        <w:tc>
          <w:tcPr>
            <w:tcW w:w="2179"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Различные трактовки в научной литературе</w:t>
            </w:r>
          </w:p>
        </w:tc>
        <w:tc>
          <w:tcPr>
            <w:tcW w:w="1701"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Отсутствие единого подхода к управлению и оценке потенциала</w:t>
            </w:r>
          </w:p>
        </w:tc>
        <w:tc>
          <w:tcPr>
            <w:tcW w:w="3680"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Разработка более комплексного определения, учитывающего знания, навыки, мотивацию и креативность (Kaplan &amp; Norton, 2004)</w:t>
            </w:r>
          </w:p>
        </w:tc>
      </w:tr>
      <w:tr w:rsidR="006E2083" w:rsidRPr="0036668B" w:rsidTr="006E2083">
        <w:tc>
          <w:tcPr>
            <w:tcW w:w="1785" w:type="dxa"/>
            <w:vAlign w:val="center"/>
          </w:tcPr>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Оценка человеческого потенциала</w:t>
            </w:r>
          </w:p>
        </w:tc>
        <w:tc>
          <w:tcPr>
            <w:tcW w:w="2179"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Трудности количественной оценки качественных характеристик</w:t>
            </w:r>
          </w:p>
        </w:tc>
        <w:tc>
          <w:tcPr>
            <w:tcW w:w="1701"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Недостаточная точность в оценке вклада сотрудников в устойчивость организации</w:t>
            </w:r>
          </w:p>
        </w:tc>
        <w:tc>
          <w:tcPr>
            <w:tcW w:w="3680"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Внедрение методов оценки, основанных на KPI и включающих мотивационные аспекты (Becker, 1993)</w:t>
            </w:r>
          </w:p>
        </w:tc>
      </w:tr>
      <w:tr w:rsidR="006E2083" w:rsidRPr="0036668B" w:rsidTr="006E2083">
        <w:tc>
          <w:tcPr>
            <w:tcW w:w="1785" w:type="dxa"/>
            <w:vAlign w:val="center"/>
          </w:tcPr>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Управление человеческим потенциалом</w:t>
            </w:r>
          </w:p>
        </w:tc>
        <w:tc>
          <w:tcPr>
            <w:tcW w:w="2179"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Недостаток внимания к развитию креативности и инноваций</w:t>
            </w:r>
          </w:p>
        </w:tc>
        <w:tc>
          <w:tcPr>
            <w:tcW w:w="1701"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Ограниченная способность организаций адаптироваться к изменениям рынка</w:t>
            </w:r>
          </w:p>
        </w:tc>
        <w:tc>
          <w:tcPr>
            <w:tcW w:w="3680"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Развитие программ обучения, направленных на стимулирование креативности и инноваций (Amabile, 1996)</w:t>
            </w:r>
          </w:p>
        </w:tc>
      </w:tr>
      <w:tr w:rsidR="006E2083" w:rsidRPr="0036668B" w:rsidTr="006E2083">
        <w:tc>
          <w:tcPr>
            <w:tcW w:w="1785" w:type="dxa"/>
            <w:vAlign w:val="center"/>
          </w:tcPr>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Влияние на устойчивость организации</w:t>
            </w:r>
          </w:p>
        </w:tc>
        <w:tc>
          <w:tcPr>
            <w:tcW w:w="2179"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Неполное понимание связи между потенциалом и устойчивостью</w:t>
            </w:r>
          </w:p>
        </w:tc>
        <w:tc>
          <w:tcPr>
            <w:tcW w:w="1701"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Неспособность организации оставаться конкурентоспособной в долгосрочной перспективе</w:t>
            </w:r>
          </w:p>
        </w:tc>
        <w:tc>
          <w:tcPr>
            <w:tcW w:w="3680" w:type="dxa"/>
            <w:vAlign w:val="center"/>
          </w:tcPr>
          <w:p w:rsidR="006E2083" w:rsidRPr="000D4FA1" w:rsidRDefault="006E2083" w:rsidP="006E2083">
            <w:pPr>
              <w:spacing w:after="0" w:line="240" w:lineRule="auto"/>
              <w:jc w:val="center"/>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Разработка стратегий управления человеческим капиталом, направленных на устойчивое развитие (Barney, 1991)</w:t>
            </w:r>
          </w:p>
        </w:tc>
      </w:tr>
      <w:tr w:rsidR="006E2083" w:rsidRPr="0036668B" w:rsidTr="00D17CE5">
        <w:trPr>
          <w:trHeight w:val="269"/>
        </w:trPr>
        <w:tc>
          <w:tcPr>
            <w:tcW w:w="9345" w:type="dxa"/>
            <w:gridSpan w:val="4"/>
          </w:tcPr>
          <w:p w:rsidR="006E2083" w:rsidRPr="000D4FA1" w:rsidRDefault="00672CF8" w:rsidP="00D17CE5">
            <w:pPr>
              <w:spacing w:before="100" w:beforeAutospacing="1" w:after="100" w:afterAutospacing="1"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Примечание</w:t>
            </w: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Pr="000D4FA1">
              <w:rPr>
                <w:rFonts w:ascii="Times New Roman" w:eastAsia="Times New Roman" w:hAnsi="Times New Roman" w:cs="Times New Roman"/>
                <w:bCs/>
                <w:sz w:val="24"/>
                <w:szCs w:val="24"/>
                <w:lang w:val="ru-RU" w:eastAsia="ru-RU"/>
              </w:rPr>
              <w:t>о</w:t>
            </w:r>
            <w:r w:rsidR="00D17CE5" w:rsidRPr="000D4FA1">
              <w:rPr>
                <w:rFonts w:ascii="Times New Roman" w:eastAsia="Times New Roman" w:hAnsi="Times New Roman" w:cs="Times New Roman"/>
                <w:bCs/>
                <w:sz w:val="24"/>
                <w:szCs w:val="24"/>
                <w:lang w:val="ru-RU" w:eastAsia="ru-RU"/>
              </w:rPr>
              <w:t xml:space="preserve"> автором на основе исследования </w:t>
            </w:r>
            <w:r w:rsidR="00D17CE5" w:rsidRPr="000D4FA1">
              <w:rPr>
                <w:rFonts w:ascii="Times New Roman" w:eastAsia="Times New Roman" w:hAnsi="Times New Roman" w:cs="Times New Roman"/>
                <w:sz w:val="24"/>
                <w:szCs w:val="24"/>
                <w:lang w:val="ru-RU" w:eastAsia="ru-RU"/>
              </w:rPr>
              <w:t>[19,20,21,28]</w:t>
            </w:r>
          </w:p>
        </w:tc>
      </w:tr>
    </w:tbl>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Необходимость использования данной матрицы в рамках исследования обусловлена тем, что она позволяет наглядно представить взаимосвязь между различными аспектами человеческого потенциала и организационной устойчивостью. Она помогает выявить слабые места в управлении человеческим капиталом, такие как недооценка мотивации и креативности, и предлагает практические пути их решения на основе передовых подходов.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Таким образом, матрица становится важным инструментом для разработки более эффективных стратегий управления, что соответствует целям диссертационного исследования по повышению устойчивости образовательных организаций через развитие человеческого потенциала.</w:t>
      </w:r>
    </w:p>
    <w:p w:rsidR="003E1FF8" w:rsidRPr="000D4FA1" w:rsidRDefault="003E1FF8"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Сравнительный анализ подходов к оценке человеческого потенциала демонстрирует четыре основных метода KPI (ключевые показатели эффективности), оценка по компетенциям, количественные и качественные методы. KPI предоставляет четкие и измеримые результаты, что позволяет объективно сравнивать сотрудников по заранее установленным показателям. Однако, этот метод ограничен тем, что не всегда учитывает личностные качества и долгосрочный потенциал работников.</w:t>
      </w:r>
    </w:p>
    <w:p w:rsidR="003E1FF8" w:rsidRPr="000D4FA1" w:rsidRDefault="003E1FF8" w:rsidP="006E2083">
      <w:pPr>
        <w:spacing w:after="0" w:line="240" w:lineRule="auto"/>
        <w:ind w:firstLine="708"/>
        <w:jc w:val="both"/>
        <w:rPr>
          <w:rFonts w:ascii="Times New Roman" w:eastAsia="Times New Roman" w:hAnsi="Times New Roman" w:cs="Times New Roman"/>
          <w:sz w:val="28"/>
          <w:szCs w:val="28"/>
          <w:lang w:val="ru-RU" w:eastAsia="ru-RU"/>
        </w:rPr>
      </w:pPr>
    </w:p>
    <w:p w:rsidR="003E1FF8" w:rsidRPr="000D4FA1" w:rsidRDefault="003E1FF8"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p w:rsidR="006E2083" w:rsidRPr="000D4FA1" w:rsidRDefault="006E2083" w:rsidP="003E1FF8">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Таблица 2</w:t>
      </w:r>
      <w:r w:rsidR="003E1FF8"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Сравнительный анализ подходов к оценке человеческого потенциала</w:t>
      </w:r>
    </w:p>
    <w:p w:rsidR="003E1FF8" w:rsidRPr="000D4FA1" w:rsidRDefault="003E1FF8" w:rsidP="006E2083">
      <w:pPr>
        <w:spacing w:after="0" w:line="240" w:lineRule="auto"/>
        <w:jc w:val="both"/>
        <w:rPr>
          <w:rFonts w:ascii="Times New Roman" w:eastAsia="Times New Roman" w:hAnsi="Times New Roman" w:cs="Times New Roman"/>
          <w:sz w:val="28"/>
          <w:szCs w:val="28"/>
          <w:lang w:val="ru-RU" w:eastAsia="ru-RU"/>
        </w:rPr>
      </w:pPr>
    </w:p>
    <w:tbl>
      <w:tblPr>
        <w:tblStyle w:val="af4"/>
        <w:tblW w:w="9747" w:type="dxa"/>
        <w:tblLook w:val="04A0"/>
      </w:tblPr>
      <w:tblGrid>
        <w:gridCol w:w="1928"/>
        <w:gridCol w:w="2906"/>
        <w:gridCol w:w="2298"/>
        <w:gridCol w:w="2615"/>
      </w:tblGrid>
      <w:tr w:rsidR="006E2083" w:rsidRPr="000D4FA1" w:rsidTr="003E1FF8">
        <w:tc>
          <w:tcPr>
            <w:tcW w:w="1928"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Метод оценки</w:t>
            </w:r>
          </w:p>
        </w:tc>
        <w:tc>
          <w:tcPr>
            <w:tcW w:w="2906"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Описание</w:t>
            </w:r>
          </w:p>
        </w:tc>
        <w:tc>
          <w:tcPr>
            <w:tcW w:w="2298"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 xml:space="preserve">Преимущество </w:t>
            </w:r>
          </w:p>
        </w:tc>
        <w:tc>
          <w:tcPr>
            <w:tcW w:w="2615"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Недостатки</w:t>
            </w:r>
          </w:p>
        </w:tc>
      </w:tr>
      <w:tr w:rsidR="006E2083" w:rsidRPr="0036668B" w:rsidTr="003E1FF8">
        <w:tc>
          <w:tcPr>
            <w:tcW w:w="192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KPI (ключевые показатели эффективности)</w:t>
            </w:r>
          </w:p>
        </w:tc>
        <w:tc>
          <w:tcPr>
            <w:tcW w:w="2906"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Оценка достижения заранее установленных количественных показателей (производительность, эффективность, прибыль и т.д.)</w:t>
            </w:r>
          </w:p>
        </w:tc>
        <w:tc>
          <w:tcPr>
            <w:tcW w:w="229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Четкие и измеримые результаты, можно объективно сравнивать между сотрудниками и с плановыми показателями</w:t>
            </w:r>
          </w:p>
        </w:tc>
        <w:tc>
          <w:tcPr>
            <w:tcW w:w="2615"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 всегда учитываются личностные качества и долгосрочный потенциал сотрудников</w:t>
            </w:r>
          </w:p>
        </w:tc>
      </w:tr>
      <w:tr w:rsidR="006E2083" w:rsidRPr="0036668B" w:rsidTr="003E1FF8">
        <w:tc>
          <w:tcPr>
            <w:tcW w:w="192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Оценка по компетенциям</w:t>
            </w:r>
          </w:p>
        </w:tc>
        <w:tc>
          <w:tcPr>
            <w:tcW w:w="2906"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Оценка сотрудников по их профессиональным и личным компетенциям (коммуникативные навыки, лидерские качества, способность к обучению и т.д.)</w:t>
            </w:r>
          </w:p>
        </w:tc>
        <w:tc>
          <w:tcPr>
            <w:tcW w:w="229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Оцениваются не только результаты, но и личностные качества, важные для будущего роста и развития</w:t>
            </w:r>
          </w:p>
        </w:tc>
        <w:tc>
          <w:tcPr>
            <w:tcW w:w="2615"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Субъективность оценки, зависящая от того, кто оценивает</w:t>
            </w:r>
          </w:p>
        </w:tc>
      </w:tr>
      <w:tr w:rsidR="006E2083" w:rsidRPr="0036668B" w:rsidTr="003E1FF8">
        <w:tc>
          <w:tcPr>
            <w:tcW w:w="192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Количественные методы</w:t>
            </w:r>
          </w:p>
        </w:tc>
        <w:tc>
          <w:tcPr>
            <w:tcW w:w="2906"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Методы, использующие числовые данные (статистические анализы, оценка производительности, тесты, опросы с фиксированными шкалами)</w:t>
            </w:r>
          </w:p>
        </w:tc>
        <w:tc>
          <w:tcPr>
            <w:tcW w:w="2298"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Объективность и возможность использования больших массивов данных для анализа</w:t>
            </w:r>
          </w:p>
        </w:tc>
        <w:tc>
          <w:tcPr>
            <w:tcW w:w="2615" w:type="dxa"/>
            <w:vAlign w:val="center"/>
          </w:tcPr>
          <w:p w:rsidR="006E2083" w:rsidRPr="000D4FA1" w:rsidRDefault="006E2083" w:rsidP="00D17CE5">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 всегда дают полное представление о человеческом потенциале, так как ограничены числами</w:t>
            </w:r>
          </w:p>
        </w:tc>
      </w:tr>
      <w:tr w:rsidR="006E2083" w:rsidRPr="0036668B" w:rsidTr="003E1FF8">
        <w:tc>
          <w:tcPr>
            <w:tcW w:w="9747" w:type="dxa"/>
            <w:gridSpan w:val="4"/>
            <w:vAlign w:val="center"/>
          </w:tcPr>
          <w:p w:rsidR="006E2083" w:rsidRPr="000D4FA1" w:rsidRDefault="00902016"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Примечание</w:t>
            </w:r>
            <w:r w:rsidR="0004140E"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003E1FF8" w:rsidRPr="000D4FA1">
              <w:rPr>
                <w:rFonts w:ascii="Times New Roman" w:eastAsia="Times New Roman" w:hAnsi="Times New Roman" w:cs="Times New Roman"/>
                <w:bCs/>
                <w:sz w:val="24"/>
                <w:szCs w:val="24"/>
                <w:lang w:val="ru-RU" w:eastAsia="ru-RU"/>
              </w:rPr>
              <w:t>о</w:t>
            </w:r>
            <w:r w:rsidR="006E2083" w:rsidRPr="000D4FA1">
              <w:rPr>
                <w:rFonts w:ascii="Times New Roman" w:eastAsia="Times New Roman" w:hAnsi="Times New Roman" w:cs="Times New Roman"/>
                <w:bCs/>
                <w:sz w:val="24"/>
                <w:szCs w:val="24"/>
                <w:lang w:val="ru-RU" w:eastAsia="ru-RU"/>
              </w:rPr>
              <w:t xml:space="preserve"> автором на основе исследования</w:t>
            </w:r>
          </w:p>
        </w:tc>
      </w:tr>
    </w:tbl>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Оценка по компетенциям позволяет оценивать как профессиональные, так и личные навыки сотрудников, что делает её полезной для выявления возможностей их дальнейшего роста. В то же время, этот метод может страдать от субъективности, поскольку оценка часто зависит от мнений других людей.</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Количественные методы предлагают объективность за счет использования числовых данных, что позволяет анализировать большие объемы информации. Однако их недостатком является ограниченность в понимании человеческого потенциала, так как они не охватывают качественные аспекты, такие как мотивация и личные качества. В отличие от этого, качественные методы дают глубокое понимание мотивации, поведения и личности сотрудников через интервью и наблюдения. Однако такие методы зависимы от субъективных оценок и могут быть сложными для точной количественной оценки. Каждая методология имеет свои сильные и слабые стороны, что делает необходимым использование комбинации подходов для всесторонней оценки человеческого потенциала.</w:t>
      </w:r>
    </w:p>
    <w:p w:rsidR="006E2083" w:rsidRPr="000D4FA1" w:rsidRDefault="00065CDB" w:rsidP="00065CDB">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w:t>
      </w:r>
      <w:r w:rsidR="006E2083" w:rsidRPr="000D4FA1">
        <w:rPr>
          <w:rFonts w:ascii="Times New Roman" w:eastAsia="Times New Roman" w:hAnsi="Times New Roman" w:cs="Times New Roman"/>
          <w:sz w:val="28"/>
          <w:szCs w:val="28"/>
          <w:lang w:val="ru-RU" w:eastAsia="ru-RU"/>
        </w:rPr>
        <w:t>исследования</w:t>
      </w:r>
      <w:r w:rsidRPr="000D4FA1">
        <w:rPr>
          <w:rFonts w:ascii="Times New Roman" w:eastAsia="Times New Roman" w:hAnsi="Times New Roman" w:cs="Times New Roman"/>
          <w:sz w:val="28"/>
          <w:szCs w:val="28"/>
          <w:lang w:val="ru-RU" w:eastAsia="ru-RU"/>
        </w:rPr>
        <w:t>х</w:t>
      </w:r>
      <w:r w:rsidR="006E2083" w:rsidRPr="000D4FA1">
        <w:rPr>
          <w:rFonts w:ascii="Times New Roman" w:eastAsia="Times New Roman" w:hAnsi="Times New Roman" w:cs="Times New Roman"/>
          <w:sz w:val="28"/>
          <w:szCs w:val="28"/>
          <w:lang w:val="ru-RU" w:eastAsia="ru-RU"/>
        </w:rPr>
        <w:t>, таки</w:t>
      </w:r>
      <w:r w:rsidRPr="000D4FA1">
        <w:rPr>
          <w:rFonts w:ascii="Times New Roman" w:eastAsia="Times New Roman" w:hAnsi="Times New Roman" w:cs="Times New Roman"/>
          <w:sz w:val="28"/>
          <w:szCs w:val="28"/>
          <w:lang w:val="ru-RU" w:eastAsia="ru-RU"/>
        </w:rPr>
        <w:t xml:space="preserve">х как работы Barney J. </w:t>
      </w:r>
      <w:r w:rsidR="006E2083" w:rsidRPr="000D4FA1">
        <w:rPr>
          <w:rFonts w:ascii="Times New Roman" w:eastAsia="Times New Roman" w:hAnsi="Times New Roman" w:cs="Times New Roman"/>
          <w:sz w:val="28"/>
          <w:szCs w:val="28"/>
          <w:lang w:val="ru-RU" w:eastAsia="ru-RU"/>
        </w:rPr>
        <w:t>и др., предоставляют инструменты для оценки и развития человеческого капитала</w:t>
      </w:r>
      <w:r w:rsidR="00E6207E" w:rsidRPr="000D4FA1">
        <w:rPr>
          <w:rFonts w:ascii="Times New Roman" w:eastAsia="Times New Roman" w:hAnsi="Times New Roman" w:cs="Times New Roman"/>
          <w:sz w:val="28"/>
          <w:szCs w:val="28"/>
          <w:lang w:val="ru-RU" w:eastAsia="ru-RU"/>
        </w:rPr>
        <w:t xml:space="preserve"> [26</w:t>
      </w:r>
      <w:r w:rsidRPr="000D4FA1">
        <w:rPr>
          <w:rFonts w:ascii="Times New Roman" w:eastAsia="Times New Roman" w:hAnsi="Times New Roman" w:cs="Times New Roman"/>
          <w:sz w:val="28"/>
          <w:szCs w:val="28"/>
          <w:lang w:val="ru-RU" w:eastAsia="ru-RU"/>
        </w:rPr>
        <w:t>, 104 с.</w:t>
      </w:r>
      <w:r w:rsidR="00E6207E" w:rsidRPr="000D4FA1">
        <w:rPr>
          <w:rFonts w:ascii="Times New Roman" w:eastAsia="Times New Roman" w:hAnsi="Times New Roman" w:cs="Times New Roman"/>
          <w:sz w:val="28"/>
          <w:szCs w:val="28"/>
          <w:lang w:val="ru-RU" w:eastAsia="ru-RU"/>
        </w:rPr>
        <w:t>].</w:t>
      </w:r>
      <w:r w:rsidR="006E2083" w:rsidRPr="000D4FA1">
        <w:rPr>
          <w:rFonts w:ascii="Times New Roman" w:eastAsia="Times New Roman" w:hAnsi="Times New Roman" w:cs="Times New Roman"/>
          <w:sz w:val="28"/>
          <w:szCs w:val="28"/>
          <w:lang w:val="ru-RU" w:eastAsia="ru-RU"/>
        </w:rPr>
        <w:t xml:space="preserve"> Однако, остаются нерешённые проблемы, связанные с измерением и оценкой </w:t>
      </w:r>
      <w:r w:rsidR="006E2083" w:rsidRPr="000D4FA1">
        <w:rPr>
          <w:rFonts w:ascii="Times New Roman" w:eastAsia="Times New Roman" w:hAnsi="Times New Roman" w:cs="Times New Roman"/>
          <w:sz w:val="28"/>
          <w:szCs w:val="28"/>
          <w:lang w:val="ru-RU" w:eastAsia="ru-RU"/>
        </w:rPr>
        <w:lastRenderedPageBreak/>
        <w:t>вклада человеческого потенциала, что требует дальнейших исследований и разработки новых методик.</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итоге человеческий потенциал является ключевым фактором, определяющим устойчивость организации образования, включая учреждения </w:t>
      </w:r>
      <w:r w:rsidR="0030289A"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 xml:space="preserve">профессионального образования. Анализ различных подходов к понятию человеческого потенциала показал, что это многогранное явление, которое включает не только знания и профессиональные навыки сотрудников, но также их мотивацию, креативность и способность адаптироваться к изменениям.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Современные исследования подтверждают, что эффективное управление человеческим потенциалом может стать важным источником конкурентного преимущества для организаций, способствуя их гибкости, адаптивности и способности внедрять инновации.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Необходимость дальнейшего изучения человеческого потенциала в контексте устойчивости организации заключается в том, что в современных условиях конкуренции и быстрого изменения внешней среды только те организации, которые развивают свои человеческие ресурсы, могут оставаться конкурентоспособными.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Важность данного аспекта особенно велика для </w:t>
      </w:r>
      <w:r w:rsidR="0030289A"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 xml:space="preserve">профессиональных образовательных учреждений, таких как Шымкентский высший медицинский колледж, поскольку от качества подготовки кадров напрямую зависит успех и устойчивость всей системы образования.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Исследование человеческого потенциала помогает лучше понять, как управлять ресурсами организации для повышения её эффективности и устойчивости в долгосрочной перспективе.</w:t>
      </w:r>
    </w:p>
    <w:p w:rsidR="00EC4EE5" w:rsidRPr="000D4FA1" w:rsidRDefault="00FD4A34"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На основе анализа классических и современных научных подходов представляется целесообразным уточнить используемые в исследовании категории «человеческий капитал» и «человеческий потенциал». </w:t>
      </w:r>
    </w:p>
    <w:p w:rsidR="00EC4EE5" w:rsidRPr="000D4FA1" w:rsidRDefault="00FD4A34"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рамках данного исследования человеческий капитал рассматривается как совокупность знаний, профессиональных компетенций, навыков и опыта работников, которые формируются в процессе образования и профессиональной деятельности и непосредственно используются в экономической деятельности организации. </w:t>
      </w:r>
    </w:p>
    <w:p w:rsidR="00EC4EE5" w:rsidRPr="000D4FA1" w:rsidRDefault="00FD4A34"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отличие от этого человеческий потенциал представляет собой более широкую категорию, включающую не только существующие профессиональные компетенции, но и возможности их дальнейшего развития, обучения и адаптации к институциональным и технологическим изменениям. </w:t>
      </w:r>
    </w:p>
    <w:p w:rsidR="00FD4A34" w:rsidRPr="000D4FA1" w:rsidRDefault="00FD4A34"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Таким образом, человеческий потенциал образовательной организации трактуется как интегральная характеристика кадрового ресурса, отражающая уровень профессиональной подготовки, инновационные возможности и способность персонала к дальнейшему профессиональному развитию.</w:t>
      </w:r>
    </w:p>
    <w:p w:rsidR="007C3AFE" w:rsidRPr="000D4FA1" w:rsidRDefault="007C3AFE"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ранее опубликованных исследованиях </w:t>
      </w:r>
      <w:r w:rsidR="006A122F" w:rsidRPr="000D4FA1">
        <w:rPr>
          <w:rFonts w:ascii="Times New Roman" w:eastAsia="Times New Roman" w:hAnsi="Times New Roman" w:cs="Times New Roman"/>
          <w:sz w:val="28"/>
          <w:szCs w:val="28"/>
          <w:lang w:val="ru-RU" w:eastAsia="ru-RU"/>
        </w:rPr>
        <w:t xml:space="preserve">по данной теме </w:t>
      </w:r>
      <w:r w:rsidRPr="000D4FA1">
        <w:rPr>
          <w:rFonts w:ascii="Times New Roman" w:eastAsia="Times New Roman" w:hAnsi="Times New Roman" w:cs="Times New Roman"/>
          <w:sz w:val="28"/>
          <w:szCs w:val="28"/>
          <w:lang w:val="ru-RU" w:eastAsia="ru-RU"/>
        </w:rPr>
        <w:t xml:space="preserve">рассматривались отдельные аспекты формирования человеческого потенциала и его роли в развитии образовательных организаций. В частности, в работе анализировались </w:t>
      </w:r>
      <w:r w:rsidRPr="000D4FA1">
        <w:rPr>
          <w:rFonts w:ascii="Times New Roman" w:eastAsia="Times New Roman" w:hAnsi="Times New Roman" w:cs="Times New Roman"/>
          <w:sz w:val="28"/>
          <w:szCs w:val="28"/>
          <w:lang w:val="ru-RU" w:eastAsia="ru-RU"/>
        </w:rPr>
        <w:lastRenderedPageBreak/>
        <w:t>вопросы влияния человеческого капитала на эффективность функционирования образовательных учреждений и их способность адаптироваться к изменениям социально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экономической среды</w:t>
      </w:r>
      <w:r w:rsidR="006A122F" w:rsidRPr="000D4FA1">
        <w:rPr>
          <w:rFonts w:ascii="Times New Roman" w:eastAsia="Times New Roman" w:hAnsi="Times New Roman" w:cs="Times New Roman"/>
          <w:sz w:val="28"/>
          <w:szCs w:val="28"/>
          <w:lang w:val="ru-RU" w:eastAsia="ru-RU"/>
        </w:rPr>
        <w:t>.</w:t>
      </w:r>
      <w:r w:rsidR="00E3054E" w:rsidRPr="000D4FA1">
        <w:rPr>
          <w:rFonts w:ascii="Times New Roman" w:eastAsia="Times New Roman" w:hAnsi="Times New Roman" w:cs="Times New Roman"/>
          <w:sz w:val="28"/>
          <w:szCs w:val="28"/>
          <w:lang w:val="ru-RU" w:eastAsia="ru-RU"/>
        </w:rPr>
        <w:t xml:space="preserve"> </w:t>
      </w:r>
    </w:p>
    <w:p w:rsidR="00E3054E" w:rsidRPr="000D4FA1" w:rsidRDefault="00E3054E" w:rsidP="00E3054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Было показано, что уровень профессиональной подготовки преподавателей, участие в программах повышения квалификации и развитие институциональных механизмов управления персоналом оказывают существенное влияние на качество образовательного процесса и устойчивость образовательных организаций. Полученные результаты позволяют сформировать теоретическую основу для дальнейшего изучения взаимосвязи между развитием человеческого потенциала и устойчивостью организаций технического и профессионального образования [27].</w:t>
      </w:r>
    </w:p>
    <w:p w:rsidR="002A761D" w:rsidRPr="000D4FA1" w:rsidRDefault="002A761D" w:rsidP="002A761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Авторская дефиниция человеческого потенциала сформулирована на основе синтеза классических и современных подходов. В качестве теоретической основы использованы положения теории человеческого капитала (G.Becker; Th.Schultz), рассматривающей знания и навыки как источник экономической ценности, а также подходы ресурсной теории (J. Barney), подчеркивающие роль человеческих ресурсов как стратегического актива организации.</w:t>
      </w:r>
    </w:p>
    <w:p w:rsidR="002A761D" w:rsidRPr="000D4FA1" w:rsidRDefault="002A761D" w:rsidP="002A761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Современные исследования дополняют данное понимание за счет включения таких характеристик, как адаптивность, learning agility и цифровые компетенции (</w:t>
      </w:r>
      <w:r w:rsidR="00020595" w:rsidRPr="000D4FA1">
        <w:rPr>
          <w:rFonts w:ascii="Times New Roman" w:eastAsia="Times New Roman" w:hAnsi="Times New Roman" w:cs="Times New Roman"/>
          <w:sz w:val="28"/>
          <w:szCs w:val="28"/>
          <w:lang w:eastAsia="ru-RU"/>
        </w:rPr>
        <w:t>G</w:t>
      </w:r>
      <w:r w:rsidR="0002059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Sumadireja</w:t>
      </w:r>
      <w:r w:rsidR="00020595" w:rsidRPr="000D4FA1">
        <w:rPr>
          <w:rFonts w:ascii="Times New Roman" w:eastAsia="Times New Roman" w:hAnsi="Times New Roman" w:cs="Times New Roman"/>
          <w:sz w:val="28"/>
          <w:szCs w:val="28"/>
          <w:lang w:val="ru-RU" w:eastAsia="ru-RU"/>
        </w:rPr>
        <w:t xml:space="preserve">, </w:t>
      </w:r>
      <w:r w:rsidR="00020595" w:rsidRPr="000D4FA1">
        <w:rPr>
          <w:rFonts w:ascii="Times New Roman" w:eastAsia="Times New Roman" w:hAnsi="Times New Roman" w:cs="Times New Roman"/>
          <w:sz w:val="28"/>
          <w:szCs w:val="28"/>
          <w:lang w:eastAsia="ru-RU"/>
        </w:rPr>
        <w:t>K</w:t>
      </w:r>
      <w:r w:rsidR="0002059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Shatila). Это позволяет рассматривать человеческий потенциал не только как накопленный ресурс, но и как динамическую способность к развитию и адаптации.</w:t>
      </w:r>
    </w:p>
    <w:p w:rsidR="002A761D" w:rsidRPr="000D4FA1" w:rsidRDefault="002A761D" w:rsidP="002A761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Таким образом, авторская дефиниция базируется на интеграции классических и современных научных подходов, что усиливает теоретическую обоснованность исследования и обеспечивает её соответствие современным требованиям научного анализа.</w:t>
      </w:r>
    </w:p>
    <w:p w:rsidR="00E3054E" w:rsidRPr="000D4FA1" w:rsidRDefault="00E3054E"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C0BBD">
      <w:pPr>
        <w:pStyle w:val="a6"/>
        <w:numPr>
          <w:ilvl w:val="1"/>
          <w:numId w:val="11"/>
        </w:numPr>
        <w:spacing w:after="0" w:line="240" w:lineRule="auto"/>
        <w:ind w:left="0" w:firstLine="0"/>
        <w:jc w:val="both"/>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 xml:space="preserve">Устойчивость организаций в контексте </w:t>
      </w:r>
      <w:r w:rsidR="0030289A" w:rsidRPr="000D4FA1">
        <w:rPr>
          <w:rFonts w:ascii="Times New Roman" w:eastAsia="Times New Roman" w:hAnsi="Times New Roman" w:cs="Times New Roman"/>
          <w:b/>
          <w:sz w:val="28"/>
          <w:szCs w:val="28"/>
          <w:lang w:val="ru-RU" w:eastAsia="ru-RU"/>
        </w:rPr>
        <w:t xml:space="preserve">технического и </w:t>
      </w:r>
      <w:r w:rsidRPr="000D4FA1">
        <w:rPr>
          <w:rFonts w:ascii="Times New Roman" w:eastAsia="Times New Roman" w:hAnsi="Times New Roman" w:cs="Times New Roman"/>
          <w:b/>
          <w:sz w:val="28"/>
          <w:szCs w:val="28"/>
          <w:lang w:val="ru-RU" w:eastAsia="ru-RU"/>
        </w:rPr>
        <w:t>профессионального образования</w:t>
      </w:r>
    </w:p>
    <w:p w:rsidR="00065CDB" w:rsidRPr="000D4FA1" w:rsidRDefault="00065CDB" w:rsidP="00065CDB">
      <w:pPr>
        <w:pStyle w:val="a6"/>
        <w:spacing w:after="0" w:line="240" w:lineRule="auto"/>
        <w:ind w:left="0"/>
        <w:jc w:val="both"/>
        <w:rPr>
          <w:rFonts w:ascii="Times New Roman" w:eastAsia="Times New Roman" w:hAnsi="Times New Roman" w:cs="Times New Roman"/>
          <w:b/>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условиях глобальных изменений на рынке труда и требований к квалификации кадров, устойчивость организаций </w:t>
      </w:r>
      <w:r w:rsidR="0030289A"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 xml:space="preserve">профессионального образования становится важнейшим фактором их успешного функционирования. </w:t>
      </w:r>
      <w:r w:rsidR="009C3821" w:rsidRPr="000D4FA1">
        <w:rPr>
          <w:rFonts w:ascii="Times New Roman" w:eastAsia="Times New Roman" w:hAnsi="Times New Roman" w:cs="Times New Roman"/>
          <w:sz w:val="28"/>
          <w:szCs w:val="28"/>
          <w:lang w:val="ru-RU" w:eastAsia="ru-RU"/>
        </w:rPr>
        <w:t>Технические и п</w:t>
      </w:r>
      <w:r w:rsidRPr="000D4FA1">
        <w:rPr>
          <w:rFonts w:ascii="Times New Roman" w:eastAsia="Times New Roman" w:hAnsi="Times New Roman" w:cs="Times New Roman"/>
          <w:sz w:val="28"/>
          <w:szCs w:val="28"/>
          <w:lang w:val="ru-RU" w:eastAsia="ru-RU"/>
        </w:rPr>
        <w:t xml:space="preserve">рофессиональные образовательные учреждения, такие как колледжи и технические школы, играют ключевую роль в подготовке специалистов, готовых к вызовам рынка. </w:t>
      </w:r>
    </w:p>
    <w:p w:rsidR="00065CDB" w:rsidRPr="000D4FA1" w:rsidRDefault="006E2083" w:rsidP="00E6207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Однако, как отмечает Berger D., Lux C</w:t>
      </w:r>
      <w:r w:rsidR="0057104C" w:rsidRPr="000D4FA1">
        <w:rPr>
          <w:rFonts w:ascii="Times New Roman" w:eastAsia="Times New Roman" w:hAnsi="Times New Roman" w:cs="Times New Roman"/>
          <w:sz w:val="28"/>
          <w:szCs w:val="28"/>
          <w:lang w:val="ru-RU" w:eastAsia="ru-RU"/>
        </w:rPr>
        <w:t>.</w:t>
      </w:r>
      <w:r w:rsidR="006A122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одной из основных проблем для таких учреждений является их способность адаптироваться к быстро меняющимся условиям экономики, что напрямую связано с их устойчивостью</w:t>
      </w:r>
      <w:r w:rsidR="00E6207E" w:rsidRPr="000D4FA1">
        <w:rPr>
          <w:rFonts w:ascii="Times New Roman" w:eastAsia="Times New Roman" w:hAnsi="Times New Roman" w:cs="Times New Roman"/>
          <w:sz w:val="28"/>
          <w:szCs w:val="28"/>
          <w:lang w:val="ru-RU" w:eastAsia="ru-RU"/>
        </w:rPr>
        <w:t xml:space="preserve"> [2</w:t>
      </w:r>
      <w:r w:rsidR="00E3054E" w:rsidRPr="000D4FA1">
        <w:rPr>
          <w:rFonts w:ascii="Times New Roman" w:eastAsia="Times New Roman" w:hAnsi="Times New Roman" w:cs="Times New Roman"/>
          <w:sz w:val="28"/>
          <w:szCs w:val="28"/>
          <w:lang w:val="ru-RU" w:eastAsia="ru-RU"/>
        </w:rPr>
        <w:t>8</w:t>
      </w:r>
      <w:r w:rsidR="00E6207E"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w:t>
      </w:r>
    </w:p>
    <w:p w:rsidR="006E2083" w:rsidRPr="000D4FA1" w:rsidRDefault="006E2083" w:rsidP="00E6207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Устойчивость в данном контексте означает способность организации сохранять свою эффективность и стабильность в условиях изменений внешней среды и внутренних процессов Mitchell &amp; Hall </w:t>
      </w:r>
      <w:r w:rsidR="00E6207E" w:rsidRPr="000D4FA1">
        <w:rPr>
          <w:rFonts w:ascii="Times New Roman" w:eastAsia="Times New Roman" w:hAnsi="Times New Roman" w:cs="Times New Roman"/>
          <w:sz w:val="28"/>
          <w:szCs w:val="28"/>
          <w:lang w:val="ru-RU" w:eastAsia="ru-RU"/>
        </w:rPr>
        <w:t>[2</w:t>
      </w:r>
      <w:r w:rsidR="006444FC" w:rsidRPr="000D4FA1">
        <w:rPr>
          <w:rFonts w:ascii="Times New Roman" w:eastAsia="Times New Roman" w:hAnsi="Times New Roman" w:cs="Times New Roman"/>
          <w:sz w:val="28"/>
          <w:szCs w:val="28"/>
          <w:lang w:val="ru-RU" w:eastAsia="ru-RU"/>
        </w:rPr>
        <w:t>9</w:t>
      </w:r>
      <w:r w:rsidR="00E6207E" w:rsidRPr="000D4FA1">
        <w:rPr>
          <w:rFonts w:ascii="Times New Roman" w:eastAsia="Times New Roman" w:hAnsi="Times New Roman" w:cs="Times New Roman"/>
          <w:sz w:val="28"/>
          <w:szCs w:val="28"/>
          <w:lang w:val="ru-RU" w:eastAsia="ru-RU"/>
        </w:rPr>
        <w:t>].</w:t>
      </w:r>
    </w:p>
    <w:p w:rsidR="005C60A7" w:rsidRPr="000D4FA1" w:rsidRDefault="006E2083"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 xml:space="preserve">Термин «устойчивость» в контексте организаций используется для обозначения способности предприятия или образовательного учреждения адаптироваться к изменениям внешней и внутренней среды, оставаясь при этом эффективным и конкурентоспособным. </w:t>
      </w:r>
    </w:p>
    <w:p w:rsidR="005C60A7" w:rsidRPr="000D4FA1" w:rsidRDefault="005C60A7"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научной литературе устойчивость образовательных организаций рассматривается как комплексная характеристика, отражающая способность системы образования адаптироваться к изменениям внешней и внутренней среды при сохранении эффективности функционирования и результата обучения. В работах российских исследователей данное понятие трактуется через призму стратегического управления, непрерывности развития и адаптивности управленческих механизмов.</w:t>
      </w:r>
    </w:p>
    <w:p w:rsidR="005C60A7" w:rsidRPr="000D4FA1" w:rsidRDefault="005C60A7"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Автор Р.И.Гарипов рассматривает устойчивое развитие образовательной организации как управляемый процесс, основанный на рациональном использовании стратегического потенциала учреждения и его способности реагировать на трансформации социально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экономических условий и требований рынка труда. Устойчивость, по мнению автора, обеспечивается благодаря целенаправленному формированию управленческих механизмов, позволяющих образовательной организации не только сохранять стабильность, но и развиваться</w:t>
      </w:r>
      <w:r w:rsidR="00F07861" w:rsidRPr="000D4FA1">
        <w:rPr>
          <w:rFonts w:ascii="Times New Roman" w:eastAsia="Times New Roman" w:hAnsi="Times New Roman" w:cs="Times New Roman"/>
          <w:sz w:val="28"/>
          <w:szCs w:val="28"/>
          <w:lang w:val="ru-RU" w:eastAsia="ru-RU"/>
        </w:rPr>
        <w:t xml:space="preserve"> [</w:t>
      </w:r>
      <w:r w:rsidR="006444FC" w:rsidRPr="000D4FA1">
        <w:rPr>
          <w:rFonts w:ascii="Times New Roman" w:eastAsia="Times New Roman" w:hAnsi="Times New Roman" w:cs="Times New Roman"/>
          <w:sz w:val="28"/>
          <w:szCs w:val="28"/>
          <w:lang w:val="ru-RU" w:eastAsia="ru-RU"/>
        </w:rPr>
        <w:t>30</w:t>
      </w:r>
      <w:r w:rsidR="00F07861" w:rsidRPr="000D4FA1">
        <w:rPr>
          <w:rFonts w:ascii="Times New Roman" w:eastAsia="Times New Roman" w:hAnsi="Times New Roman" w:cs="Times New Roman"/>
          <w:sz w:val="28"/>
          <w:szCs w:val="28"/>
          <w:lang w:val="ru-RU" w:eastAsia="ru-RU"/>
        </w:rPr>
        <w:t>].</w:t>
      </w:r>
    </w:p>
    <w:p w:rsidR="005C60A7" w:rsidRPr="000D4FA1" w:rsidRDefault="00F07861"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w:t>
      </w:r>
      <w:r w:rsidR="005C60A7" w:rsidRPr="000D4FA1">
        <w:rPr>
          <w:rFonts w:ascii="Times New Roman" w:eastAsia="Times New Roman" w:hAnsi="Times New Roman" w:cs="Times New Roman"/>
          <w:sz w:val="28"/>
          <w:szCs w:val="28"/>
          <w:lang w:val="ru-RU" w:eastAsia="ru-RU"/>
        </w:rPr>
        <w:t>О.Котлярова акцентирует внимание на устойчивости в контексте развития системы непрерывного образования. Автор подчеркивает, что устойчивость проявляется через способность образовательных структур обеспечивать преемственность, качество и доступность образовательных услуг в условиях изменений, связанных с цифровизацией, демографическими сдвигами и модернизацией содержания образования</w:t>
      </w:r>
      <w:r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1</w:t>
      </w:r>
      <w:r w:rsidRPr="000D4FA1">
        <w:rPr>
          <w:rFonts w:ascii="Times New Roman" w:eastAsia="Times New Roman" w:hAnsi="Times New Roman" w:cs="Times New Roman"/>
          <w:sz w:val="28"/>
          <w:szCs w:val="28"/>
          <w:lang w:val="ru-RU" w:eastAsia="ru-RU"/>
        </w:rPr>
        <w:t>].</w:t>
      </w:r>
    </w:p>
    <w:p w:rsidR="005C60A7" w:rsidRPr="000D4FA1" w:rsidRDefault="00F07861"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исследованиях М.</w:t>
      </w:r>
      <w:r w:rsidR="005C60A7" w:rsidRPr="000D4FA1">
        <w:rPr>
          <w:rFonts w:ascii="Times New Roman" w:eastAsia="Times New Roman" w:hAnsi="Times New Roman" w:cs="Times New Roman"/>
          <w:sz w:val="28"/>
          <w:szCs w:val="28"/>
          <w:lang w:val="ru-RU" w:eastAsia="ru-RU"/>
        </w:rPr>
        <w:t>А.Михайлова устойчивость образования связывается с адаптационными возможностями системы к современным вызовам, включая технологические изменения, пандемийные ограничения, динамику социального запроса и необходимость обновления управленческих и педагогических практик. Образовательные организации рассматриваются как социальные институты, способные перестраивать свои процессы и модели работы, не снижая результативности</w:t>
      </w:r>
      <w:r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2</w:t>
      </w:r>
      <w:r w:rsidRPr="000D4FA1">
        <w:rPr>
          <w:rFonts w:ascii="Times New Roman" w:eastAsia="Times New Roman" w:hAnsi="Times New Roman" w:cs="Times New Roman"/>
          <w:sz w:val="28"/>
          <w:szCs w:val="28"/>
          <w:lang w:val="ru-RU" w:eastAsia="ru-RU"/>
        </w:rPr>
        <w:t xml:space="preserve">]. </w:t>
      </w:r>
    </w:p>
    <w:p w:rsidR="005C60A7" w:rsidRPr="000D4FA1" w:rsidRDefault="005C60A7"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Кроме того, работы, посвящённые адаптивному </w:t>
      </w:r>
      <w:r w:rsidR="00F07861" w:rsidRPr="000D4FA1">
        <w:rPr>
          <w:rFonts w:ascii="Times New Roman" w:eastAsia="Times New Roman" w:hAnsi="Times New Roman" w:cs="Times New Roman"/>
          <w:sz w:val="28"/>
          <w:szCs w:val="28"/>
          <w:lang w:val="ru-RU" w:eastAsia="ru-RU"/>
        </w:rPr>
        <w:t xml:space="preserve">управлению вузами и колледжами, </w:t>
      </w:r>
      <w:r w:rsidRPr="000D4FA1">
        <w:rPr>
          <w:rFonts w:ascii="Times New Roman" w:eastAsia="Times New Roman" w:hAnsi="Times New Roman" w:cs="Times New Roman"/>
          <w:sz w:val="28"/>
          <w:szCs w:val="28"/>
          <w:lang w:val="ru-RU" w:eastAsia="ru-RU"/>
        </w:rPr>
        <w:t xml:space="preserve">например, исследования </w:t>
      </w:r>
      <w:r w:rsidR="00F07861" w:rsidRPr="000D4FA1">
        <w:rPr>
          <w:rFonts w:ascii="Times New Roman" w:eastAsia="Times New Roman" w:hAnsi="Times New Roman" w:cs="Times New Roman"/>
          <w:sz w:val="28"/>
          <w:szCs w:val="28"/>
          <w:lang w:val="ru-RU" w:eastAsia="ru-RU"/>
        </w:rPr>
        <w:t xml:space="preserve">М. </w:t>
      </w:r>
      <w:r w:rsidRPr="000D4FA1">
        <w:rPr>
          <w:rFonts w:ascii="Times New Roman" w:eastAsia="Times New Roman" w:hAnsi="Times New Roman" w:cs="Times New Roman"/>
          <w:sz w:val="28"/>
          <w:szCs w:val="28"/>
          <w:lang w:val="ru-RU" w:eastAsia="ru-RU"/>
        </w:rPr>
        <w:t>Коваленко</w:t>
      </w:r>
      <w:r w:rsidR="00471A9E" w:rsidRPr="000D4FA1">
        <w:rPr>
          <w:rFonts w:ascii="Times New Roman" w:eastAsia="Times New Roman" w:hAnsi="Times New Roman" w:cs="Times New Roman"/>
          <w:sz w:val="28"/>
          <w:szCs w:val="28"/>
          <w:lang w:val="ru-RU" w:eastAsia="ru-RU"/>
        </w:rPr>
        <w:t xml:space="preserve"> и др.</w:t>
      </w:r>
      <w:r w:rsidRPr="000D4FA1">
        <w:rPr>
          <w:rFonts w:ascii="Times New Roman" w:eastAsia="Times New Roman" w:hAnsi="Times New Roman" w:cs="Times New Roman"/>
          <w:sz w:val="28"/>
          <w:szCs w:val="28"/>
          <w:lang w:val="ru-RU" w:eastAsia="ru-RU"/>
        </w:rPr>
        <w:t>, подтверждают, что устойчивость образовательных учреждений напрямую зависит от гибкости управленческих решений, взаимодействия с внешними партнёрами и готовности обновлять образовательные программы в соответствии с требованиями экономики и общества</w:t>
      </w:r>
      <w:r w:rsidR="00F07861"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3</w:t>
      </w:r>
      <w:r w:rsidR="00F07861" w:rsidRPr="000D4FA1">
        <w:rPr>
          <w:rFonts w:ascii="Times New Roman" w:eastAsia="Times New Roman" w:hAnsi="Times New Roman" w:cs="Times New Roman"/>
          <w:sz w:val="28"/>
          <w:szCs w:val="28"/>
          <w:lang w:val="ru-RU" w:eastAsia="ru-RU"/>
        </w:rPr>
        <w:t>].</w:t>
      </w:r>
    </w:p>
    <w:p w:rsidR="005C60A7" w:rsidRPr="000D4FA1" w:rsidRDefault="005C60A7" w:rsidP="005C60A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Таким образом, анализ </w:t>
      </w:r>
      <w:r w:rsidR="00F07861" w:rsidRPr="000D4FA1">
        <w:rPr>
          <w:rFonts w:ascii="Times New Roman" w:eastAsia="Times New Roman" w:hAnsi="Times New Roman" w:cs="Times New Roman"/>
          <w:sz w:val="28"/>
          <w:szCs w:val="28"/>
          <w:lang w:val="ru-RU" w:eastAsia="ru-RU"/>
        </w:rPr>
        <w:t>российских</w:t>
      </w:r>
      <w:r w:rsidRPr="000D4FA1">
        <w:rPr>
          <w:rFonts w:ascii="Times New Roman" w:eastAsia="Times New Roman" w:hAnsi="Times New Roman" w:cs="Times New Roman"/>
          <w:sz w:val="28"/>
          <w:szCs w:val="28"/>
          <w:lang w:val="ru-RU" w:eastAsia="ru-RU"/>
        </w:rPr>
        <w:t xml:space="preserve"> исследова</w:t>
      </w:r>
      <w:r w:rsidR="00F07861" w:rsidRPr="000D4FA1">
        <w:rPr>
          <w:rFonts w:ascii="Times New Roman" w:eastAsia="Times New Roman" w:hAnsi="Times New Roman" w:cs="Times New Roman"/>
          <w:sz w:val="28"/>
          <w:szCs w:val="28"/>
          <w:lang w:val="ru-RU" w:eastAsia="ru-RU"/>
        </w:rPr>
        <w:t>телей</w:t>
      </w:r>
      <w:r w:rsidRPr="000D4FA1">
        <w:rPr>
          <w:rFonts w:ascii="Times New Roman" w:eastAsia="Times New Roman" w:hAnsi="Times New Roman" w:cs="Times New Roman"/>
          <w:sz w:val="28"/>
          <w:szCs w:val="28"/>
          <w:lang w:val="ru-RU" w:eastAsia="ru-RU"/>
        </w:rPr>
        <w:t xml:space="preserve"> показывает, что устойчивость образовательной организации интерпретируется как её способность эффективно функционировать и развиваться в условиях изменений, поддерживая качество подготовки кадров, конкурентоспособность и соответствие социально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экономическим запросам. Это позволяет рассматривать устойчивость не только как состояние стабильности, но и как </w:t>
      </w:r>
      <w:r w:rsidRPr="000D4FA1">
        <w:rPr>
          <w:rFonts w:ascii="Times New Roman" w:eastAsia="Times New Roman" w:hAnsi="Times New Roman" w:cs="Times New Roman"/>
          <w:sz w:val="28"/>
          <w:szCs w:val="28"/>
          <w:lang w:val="ru-RU" w:eastAsia="ru-RU"/>
        </w:rPr>
        <w:lastRenderedPageBreak/>
        <w:t>динамическую характеристику, основанную на адаптации, стратегическом управлении и инновационности образовательных процессов.</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работ</w:t>
      </w:r>
      <w:r w:rsidR="00471A9E" w:rsidRPr="000D4FA1">
        <w:rPr>
          <w:rFonts w:ascii="Times New Roman" w:eastAsia="Times New Roman" w:hAnsi="Times New Roman" w:cs="Times New Roman"/>
          <w:sz w:val="28"/>
          <w:szCs w:val="28"/>
          <w:lang w:val="ru-RU" w:eastAsia="ru-RU"/>
        </w:rPr>
        <w:t>е</w:t>
      </w:r>
      <w:r w:rsidRPr="000D4FA1">
        <w:rPr>
          <w:rFonts w:ascii="Times New Roman" w:eastAsia="Times New Roman" w:hAnsi="Times New Roman" w:cs="Times New Roman"/>
          <w:sz w:val="28"/>
          <w:szCs w:val="28"/>
          <w:lang w:val="ru-RU" w:eastAsia="ru-RU"/>
        </w:rPr>
        <w:t xml:space="preserve"> </w:t>
      </w:r>
      <w:r w:rsidR="00471A9E" w:rsidRPr="000D4FA1">
        <w:rPr>
          <w:rFonts w:ascii="Times New Roman" w:eastAsia="Times New Roman" w:hAnsi="Times New Roman" w:cs="Times New Roman"/>
          <w:sz w:val="28"/>
          <w:szCs w:val="28"/>
          <w:lang w:val="ru-RU" w:eastAsia="ru-RU"/>
        </w:rPr>
        <w:t xml:space="preserve">Ge Zhang, Pengfei Chen, Si Xu., где устойчивость образовательных организаций интерпретируется в широком контексте </w:t>
      </w:r>
      <w:r w:rsidR="00471A9E" w:rsidRPr="000D4FA1">
        <w:rPr>
          <w:rFonts w:ascii="Times New Roman" w:eastAsia="Times New Roman" w:hAnsi="Times New Roman" w:cs="Times New Roman"/>
          <w:iCs/>
          <w:sz w:val="28"/>
          <w:szCs w:val="28"/>
          <w:lang w:val="ru-RU" w:eastAsia="ru-RU"/>
        </w:rPr>
        <w:t>экономических, социальных и управленческих аспектов устойчивого развития учебных заведений</w:t>
      </w:r>
      <w:r w:rsidR="00471A9E" w:rsidRPr="000D4FA1">
        <w:rPr>
          <w:rFonts w:ascii="Times New Roman" w:eastAsia="Times New Roman" w:hAnsi="Times New Roman" w:cs="Times New Roman"/>
          <w:sz w:val="28"/>
          <w:szCs w:val="28"/>
          <w:lang w:val="ru-RU" w:eastAsia="ru-RU"/>
        </w:rPr>
        <w:t>, включая адаптацию к изменениям среды, роли человеческих ресурсов и стратегической адаптации [3</w:t>
      </w:r>
      <w:r w:rsidR="007433F3" w:rsidRPr="000D4FA1">
        <w:rPr>
          <w:rFonts w:ascii="Times New Roman" w:eastAsia="Times New Roman" w:hAnsi="Times New Roman" w:cs="Times New Roman"/>
          <w:sz w:val="28"/>
          <w:szCs w:val="28"/>
          <w:lang w:val="ru-RU" w:eastAsia="ru-RU"/>
        </w:rPr>
        <w:t>4</w:t>
      </w:r>
      <w:r w:rsidR="00E6207E"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Под устойчивостью в </w:t>
      </w:r>
      <w:r w:rsidR="009C3821" w:rsidRPr="000D4FA1">
        <w:rPr>
          <w:rFonts w:ascii="Times New Roman" w:eastAsia="Times New Roman" w:hAnsi="Times New Roman" w:cs="Times New Roman"/>
          <w:sz w:val="28"/>
          <w:szCs w:val="28"/>
          <w:lang w:val="ru-RU" w:eastAsia="ru-RU"/>
        </w:rPr>
        <w:t xml:space="preserve">техническом и </w:t>
      </w:r>
      <w:r w:rsidRPr="000D4FA1">
        <w:rPr>
          <w:rFonts w:ascii="Times New Roman" w:eastAsia="Times New Roman" w:hAnsi="Times New Roman" w:cs="Times New Roman"/>
          <w:sz w:val="28"/>
          <w:szCs w:val="28"/>
          <w:lang w:val="ru-RU" w:eastAsia="ru-RU"/>
        </w:rPr>
        <w:t>профессиональном образовании также понимается способность системы поддерживать высокое качество подготовки специалистов и адаптироваться к изменяющимся потребностям экономики.</w:t>
      </w:r>
    </w:p>
    <w:p w:rsidR="00603EFB" w:rsidRPr="000D4FA1" w:rsidRDefault="006E2083"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Согласно исследованиям </w:t>
      </w:r>
      <w:r w:rsidR="00E932EE" w:rsidRPr="000D4FA1">
        <w:rPr>
          <w:rFonts w:ascii="Times New Roman" w:eastAsia="Times New Roman" w:hAnsi="Times New Roman" w:cs="Times New Roman"/>
          <w:sz w:val="28"/>
          <w:szCs w:val="28"/>
          <w:lang w:eastAsia="ru-RU"/>
        </w:rPr>
        <w:t>Lewis</w:t>
      </w:r>
      <w:r w:rsidR="00E932EE" w:rsidRPr="000D4FA1">
        <w:rPr>
          <w:rFonts w:ascii="Times New Roman" w:eastAsia="Times New Roman" w:hAnsi="Times New Roman" w:cs="Times New Roman"/>
          <w:sz w:val="28"/>
          <w:szCs w:val="28"/>
          <w:lang w:val="ru-RU" w:eastAsia="ru-RU"/>
        </w:rPr>
        <w:t xml:space="preserve"> </w:t>
      </w:r>
      <w:r w:rsidR="00E932EE" w:rsidRPr="000D4FA1">
        <w:rPr>
          <w:rFonts w:ascii="Times New Roman" w:eastAsia="Times New Roman" w:hAnsi="Times New Roman" w:cs="Times New Roman"/>
          <w:sz w:val="28"/>
          <w:szCs w:val="28"/>
          <w:lang w:eastAsia="ru-RU"/>
        </w:rPr>
        <w:t>J</w:t>
      </w:r>
      <w:r w:rsidR="00E932EE" w:rsidRPr="000D4FA1">
        <w:rPr>
          <w:rFonts w:ascii="Times New Roman" w:eastAsia="Times New Roman" w:hAnsi="Times New Roman" w:cs="Times New Roman"/>
          <w:sz w:val="28"/>
          <w:szCs w:val="28"/>
          <w:lang w:val="ru-RU" w:eastAsia="ru-RU"/>
        </w:rPr>
        <w:t xml:space="preserve">., </w:t>
      </w:r>
      <w:r w:rsidR="00E932EE" w:rsidRPr="000D4FA1">
        <w:rPr>
          <w:rFonts w:ascii="Times New Roman" w:eastAsia="Times New Roman" w:hAnsi="Times New Roman" w:cs="Times New Roman"/>
          <w:sz w:val="28"/>
          <w:szCs w:val="28"/>
          <w:lang w:eastAsia="ru-RU"/>
        </w:rPr>
        <w:t>Taylor</w:t>
      </w:r>
      <w:r w:rsidR="00E932EE" w:rsidRPr="000D4FA1">
        <w:rPr>
          <w:rFonts w:ascii="Times New Roman" w:eastAsia="Times New Roman" w:hAnsi="Times New Roman" w:cs="Times New Roman"/>
          <w:sz w:val="28"/>
          <w:szCs w:val="28"/>
          <w:lang w:val="ru-RU" w:eastAsia="ru-RU"/>
        </w:rPr>
        <w:t xml:space="preserve"> </w:t>
      </w:r>
      <w:r w:rsidR="00E932EE" w:rsidRPr="000D4FA1">
        <w:rPr>
          <w:rFonts w:ascii="Times New Roman" w:eastAsia="Times New Roman" w:hAnsi="Times New Roman" w:cs="Times New Roman"/>
          <w:sz w:val="28"/>
          <w:szCs w:val="28"/>
          <w:lang w:eastAsia="ru-RU"/>
        </w:rPr>
        <w:t>M</w:t>
      </w:r>
      <w:r w:rsidR="00E932EE"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устойчивость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учреждений зависит от множества факторов</w:t>
      </w:r>
      <w:r w:rsidR="00AD106C" w:rsidRPr="000D4FA1">
        <w:rPr>
          <w:rFonts w:ascii="Times New Roman" w:eastAsia="Times New Roman" w:hAnsi="Times New Roman" w:cs="Times New Roman"/>
          <w:sz w:val="28"/>
          <w:szCs w:val="28"/>
          <w:lang w:val="ru-RU" w:eastAsia="ru-RU"/>
        </w:rPr>
        <w:t>.</w:t>
      </w:r>
      <w:r w:rsidR="00E6207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Среди ключевых можно выделить:</w:t>
      </w:r>
      <w:r w:rsidR="00E6207E" w:rsidRPr="000D4FA1">
        <w:rPr>
          <w:rFonts w:ascii="Times New Roman" w:eastAsia="Times New Roman" w:hAnsi="Times New Roman" w:cs="Times New Roman"/>
          <w:sz w:val="28"/>
          <w:szCs w:val="28"/>
          <w:lang w:val="ru-RU" w:eastAsia="ru-RU"/>
        </w:rPr>
        <w:t xml:space="preserve"> к</w:t>
      </w:r>
      <w:r w:rsidRPr="000D4FA1">
        <w:rPr>
          <w:rFonts w:ascii="Times New Roman" w:eastAsia="Times New Roman" w:hAnsi="Times New Roman" w:cs="Times New Roman"/>
          <w:sz w:val="28"/>
          <w:szCs w:val="28"/>
          <w:lang w:val="ru-RU" w:eastAsia="ru-RU"/>
        </w:rPr>
        <w:t>валификация и профессиональные навыки педагогов напрямую влияют н</w:t>
      </w:r>
      <w:r w:rsidR="00603EFB" w:rsidRPr="000D4FA1">
        <w:rPr>
          <w:rFonts w:ascii="Times New Roman" w:eastAsia="Times New Roman" w:hAnsi="Times New Roman" w:cs="Times New Roman"/>
          <w:sz w:val="28"/>
          <w:szCs w:val="28"/>
          <w:lang w:val="ru-RU" w:eastAsia="ru-RU"/>
        </w:rPr>
        <w:t>а качество подготовки студентов [3</w:t>
      </w:r>
      <w:r w:rsidR="007433F3" w:rsidRPr="000D4FA1">
        <w:rPr>
          <w:rFonts w:ascii="Times New Roman" w:eastAsia="Times New Roman" w:hAnsi="Times New Roman" w:cs="Times New Roman"/>
          <w:sz w:val="28"/>
          <w:szCs w:val="28"/>
          <w:lang w:val="ru-RU" w:eastAsia="ru-RU"/>
        </w:rPr>
        <w:t>5</w:t>
      </w:r>
      <w:r w:rsidR="00603EFB"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w:t>
      </w:r>
    </w:p>
    <w:p w:rsidR="006E2083" w:rsidRPr="000D4FA1" w:rsidRDefault="006E2083"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Как отмечает </w:t>
      </w:r>
      <w:r w:rsidR="00E932EE" w:rsidRPr="000D4FA1">
        <w:rPr>
          <w:rFonts w:ascii="Times New Roman" w:eastAsia="Times New Roman" w:hAnsi="Times New Roman" w:cs="Times New Roman"/>
          <w:sz w:val="28"/>
          <w:szCs w:val="28"/>
          <w:lang w:eastAsia="ru-RU"/>
        </w:rPr>
        <w:t>Becker</w:t>
      </w:r>
      <w:r w:rsidR="00E932EE" w:rsidRPr="000D4FA1">
        <w:rPr>
          <w:rFonts w:ascii="Times New Roman" w:eastAsia="Times New Roman" w:hAnsi="Times New Roman" w:cs="Times New Roman"/>
          <w:sz w:val="28"/>
          <w:szCs w:val="28"/>
          <w:lang w:val="ru-RU" w:eastAsia="ru-RU"/>
        </w:rPr>
        <w:t xml:space="preserve"> </w:t>
      </w:r>
      <w:r w:rsidR="00E932EE" w:rsidRPr="000D4FA1">
        <w:rPr>
          <w:rFonts w:ascii="Times New Roman" w:eastAsia="Times New Roman" w:hAnsi="Times New Roman" w:cs="Times New Roman"/>
          <w:sz w:val="28"/>
          <w:szCs w:val="28"/>
          <w:lang w:eastAsia="ru-RU"/>
        </w:rPr>
        <w:t>G</w:t>
      </w:r>
      <w:r w:rsidR="00E932EE"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повышение квалификации преподавателей способствует укреплению устойчивости образовательных программ, поскольку преподаватели могут гибко реагировать на изменения в стандартах профессиональной подготовки</w:t>
      </w:r>
      <w:r w:rsidR="00472493"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6</w:t>
      </w:r>
      <w:r w:rsidR="00603EFB" w:rsidRPr="000D4FA1">
        <w:rPr>
          <w:rFonts w:ascii="Times New Roman" w:eastAsia="Times New Roman" w:hAnsi="Times New Roman" w:cs="Times New Roman"/>
          <w:sz w:val="28"/>
          <w:szCs w:val="28"/>
          <w:lang w:val="ru-RU" w:eastAsia="ru-RU"/>
        </w:rPr>
        <w:t>,52 с.</w:t>
      </w:r>
      <w:r w:rsidR="00472493" w:rsidRPr="000D4FA1">
        <w:rPr>
          <w:rFonts w:ascii="Times New Roman" w:eastAsia="Times New Roman" w:hAnsi="Times New Roman" w:cs="Times New Roman"/>
          <w:sz w:val="28"/>
          <w:szCs w:val="28"/>
          <w:lang w:val="ru-RU" w:eastAsia="ru-RU"/>
        </w:rPr>
        <w:t>].</w:t>
      </w:r>
    </w:p>
    <w:p w:rsidR="006E2083" w:rsidRPr="000D4FA1" w:rsidRDefault="006E2083"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Финансовая поддержка, будь то государственная помощь или частное финансирование, является критическим фактором устойчивости. В исследованиях Gray A. подчеркивается, что достаточное финансирование позволяет образовательным учреждениям инвестировать в инфраструктуру и технологии, которые необходимы для адаптации к современным требованиям образования</w:t>
      </w:r>
      <w:r w:rsidR="00472493"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7</w:t>
      </w:r>
      <w:r w:rsidR="00472493" w:rsidRPr="000D4FA1">
        <w:rPr>
          <w:rFonts w:ascii="Times New Roman" w:eastAsia="Times New Roman" w:hAnsi="Times New Roman" w:cs="Times New Roman"/>
          <w:sz w:val="28"/>
          <w:szCs w:val="28"/>
          <w:lang w:val="ru-RU" w:eastAsia="ru-RU"/>
        </w:rPr>
        <w:t>].</w:t>
      </w:r>
    </w:p>
    <w:p w:rsidR="006E2083" w:rsidRPr="000D4FA1" w:rsidRDefault="006E2083"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Введение новых образовательных технологий и программ, таких как дистанционное обучение, способствует повышению гибкости и адаптивности организаций. В исследованиях </w:t>
      </w:r>
      <w:r w:rsidR="00AA5DF0" w:rsidRPr="000D4FA1">
        <w:rPr>
          <w:rFonts w:ascii="Times New Roman" w:eastAsia="Times New Roman" w:hAnsi="Times New Roman" w:cs="Times New Roman"/>
          <w:sz w:val="28"/>
          <w:szCs w:val="28"/>
          <w:lang w:val="ru-RU" w:eastAsia="ru-RU"/>
        </w:rPr>
        <w:t xml:space="preserve">М.М. Абдусаламова </w:t>
      </w:r>
      <w:r w:rsidR="00E809ED" w:rsidRPr="000D4FA1">
        <w:rPr>
          <w:rFonts w:ascii="Times New Roman" w:eastAsia="Times New Roman" w:hAnsi="Times New Roman" w:cs="Times New Roman"/>
          <w:sz w:val="28"/>
          <w:szCs w:val="28"/>
          <w:lang w:val="ru-RU" w:eastAsia="ru-RU"/>
        </w:rPr>
        <w:t>о</w:t>
      </w:r>
      <w:r w:rsidRPr="000D4FA1">
        <w:rPr>
          <w:rFonts w:ascii="Times New Roman" w:eastAsia="Times New Roman" w:hAnsi="Times New Roman" w:cs="Times New Roman"/>
          <w:sz w:val="28"/>
          <w:szCs w:val="28"/>
          <w:lang w:val="ru-RU" w:eastAsia="ru-RU"/>
        </w:rPr>
        <w:t xml:space="preserve">тмечается, что </w:t>
      </w:r>
      <w:r w:rsidR="009C3821" w:rsidRPr="000D4FA1">
        <w:rPr>
          <w:rFonts w:ascii="Times New Roman" w:eastAsia="Times New Roman" w:hAnsi="Times New Roman" w:cs="Times New Roman"/>
          <w:sz w:val="28"/>
          <w:szCs w:val="28"/>
          <w:lang w:val="ru-RU" w:eastAsia="ru-RU"/>
        </w:rPr>
        <w:t xml:space="preserve">технические и </w:t>
      </w:r>
      <w:r w:rsidRPr="000D4FA1">
        <w:rPr>
          <w:rFonts w:ascii="Times New Roman" w:eastAsia="Times New Roman" w:hAnsi="Times New Roman" w:cs="Times New Roman"/>
          <w:sz w:val="28"/>
          <w:szCs w:val="28"/>
          <w:lang w:val="ru-RU" w:eastAsia="ru-RU"/>
        </w:rPr>
        <w:t>профессиональные колледжи, которые активно внедряют инновационные методы обучения, более устойчивы к внешним изменениям</w:t>
      </w:r>
      <w:r w:rsidR="00472493" w:rsidRPr="000D4FA1">
        <w:rPr>
          <w:rFonts w:ascii="Times New Roman" w:eastAsia="Times New Roman" w:hAnsi="Times New Roman" w:cs="Times New Roman"/>
          <w:sz w:val="28"/>
          <w:szCs w:val="28"/>
          <w:lang w:val="ru-RU" w:eastAsia="ru-RU"/>
        </w:rPr>
        <w:t xml:space="preserve"> [3</w:t>
      </w:r>
      <w:r w:rsidR="007433F3" w:rsidRPr="000D4FA1">
        <w:rPr>
          <w:rFonts w:ascii="Times New Roman" w:eastAsia="Times New Roman" w:hAnsi="Times New Roman" w:cs="Times New Roman"/>
          <w:sz w:val="28"/>
          <w:szCs w:val="28"/>
          <w:lang w:val="ru-RU" w:eastAsia="ru-RU"/>
        </w:rPr>
        <w:t>8</w:t>
      </w:r>
      <w:r w:rsidR="00472493" w:rsidRPr="000D4FA1">
        <w:rPr>
          <w:rFonts w:ascii="Times New Roman" w:eastAsia="Times New Roman" w:hAnsi="Times New Roman" w:cs="Times New Roman"/>
          <w:sz w:val="28"/>
          <w:szCs w:val="28"/>
          <w:lang w:val="ru-RU" w:eastAsia="ru-RU"/>
        </w:rPr>
        <w:t>].</w:t>
      </w:r>
      <w:r w:rsidR="006B6208" w:rsidRPr="000D4FA1">
        <w:rPr>
          <w:rFonts w:ascii="Times New Roman" w:eastAsia="Times New Roman" w:hAnsi="Times New Roman" w:cs="Times New Roman"/>
          <w:sz w:val="28"/>
          <w:szCs w:val="28"/>
          <w:lang w:val="ru-RU" w:eastAsia="ru-RU"/>
        </w:rPr>
        <w:t xml:space="preserve"> </w:t>
      </w:r>
    </w:p>
    <w:p w:rsidR="002A4E1B" w:rsidRPr="000D4FA1" w:rsidRDefault="002A4E1B"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Государственная поддержка реформ системы образования и механизмов аккредитации способствует повышению качества профессионального обучения и укреплению устойчивости образовательных учреждений, что отражено в международных обзорах политик образования [3</w:t>
      </w:r>
      <w:r w:rsidR="007433F3" w:rsidRPr="000D4FA1">
        <w:rPr>
          <w:rFonts w:ascii="Times New Roman" w:eastAsia="Times New Roman" w:hAnsi="Times New Roman" w:cs="Times New Roman"/>
          <w:sz w:val="28"/>
          <w:szCs w:val="28"/>
          <w:lang w:val="ru-RU" w:eastAsia="ru-RU"/>
        </w:rPr>
        <w:t>9</w:t>
      </w:r>
      <w:r w:rsidRPr="000D4FA1">
        <w:rPr>
          <w:rFonts w:ascii="Times New Roman" w:eastAsia="Times New Roman" w:hAnsi="Times New Roman" w:cs="Times New Roman"/>
          <w:sz w:val="28"/>
          <w:szCs w:val="28"/>
          <w:lang w:val="ru-RU" w:eastAsia="ru-RU"/>
        </w:rPr>
        <w:t xml:space="preserve">].  </w:t>
      </w:r>
    </w:p>
    <w:p w:rsidR="002A4E1B" w:rsidRPr="000D4FA1" w:rsidRDefault="002A4E1B"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Государственная политика играет ключевую роль в обеспечении устойчивости технических и профессиональных образовательных учреждений: формирование стратегических направлений, механизмов государственной поддержки и модернизации системы образования способствует повышению качества и адаптации программ к требованиям рынка труда </w:t>
      </w:r>
      <w:r w:rsidR="00472493" w:rsidRPr="000D4FA1">
        <w:rPr>
          <w:rFonts w:ascii="Times New Roman" w:eastAsia="Times New Roman" w:hAnsi="Times New Roman" w:cs="Times New Roman"/>
          <w:sz w:val="28"/>
          <w:szCs w:val="28"/>
          <w:lang w:val="ru-RU" w:eastAsia="ru-RU"/>
        </w:rPr>
        <w:t>[</w:t>
      </w:r>
      <w:r w:rsidR="007433F3" w:rsidRPr="000D4FA1">
        <w:rPr>
          <w:rFonts w:ascii="Times New Roman" w:eastAsia="Times New Roman" w:hAnsi="Times New Roman" w:cs="Times New Roman"/>
          <w:sz w:val="28"/>
          <w:szCs w:val="28"/>
          <w:lang w:val="ru-RU" w:eastAsia="ru-RU"/>
        </w:rPr>
        <w:t>40</w:t>
      </w:r>
      <w:r w:rsidR="00472493" w:rsidRPr="000D4FA1">
        <w:rPr>
          <w:rFonts w:ascii="Times New Roman" w:eastAsia="Times New Roman" w:hAnsi="Times New Roman" w:cs="Times New Roman"/>
          <w:sz w:val="28"/>
          <w:szCs w:val="28"/>
          <w:lang w:val="ru-RU" w:eastAsia="ru-RU"/>
        </w:rPr>
        <w:t xml:space="preserve">]. </w:t>
      </w:r>
      <w:r w:rsidR="006E2083" w:rsidRPr="000D4FA1">
        <w:rPr>
          <w:rFonts w:ascii="Times New Roman" w:eastAsia="Times New Roman" w:hAnsi="Times New Roman" w:cs="Times New Roman"/>
          <w:sz w:val="28"/>
          <w:szCs w:val="28"/>
          <w:lang w:val="ru-RU" w:eastAsia="ru-RU"/>
        </w:rPr>
        <w:t xml:space="preserve"> </w:t>
      </w:r>
    </w:p>
    <w:p w:rsidR="00E87156" w:rsidRPr="000D4FA1" w:rsidRDefault="00E87156"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Казахстане, как и в других странах, существуют государственные инициативы и программы, направленные на повышение качества технического и профессионального образования, что способствует устойчивости организаций и их адаптации к требованиям рынка труда [4</w:t>
      </w:r>
      <w:r w:rsidR="007433F3" w:rsidRPr="000D4FA1">
        <w:rPr>
          <w:rFonts w:ascii="Times New Roman" w:eastAsia="Times New Roman" w:hAnsi="Times New Roman" w:cs="Times New Roman"/>
          <w:sz w:val="28"/>
          <w:szCs w:val="28"/>
          <w:lang w:val="ru-RU" w:eastAsia="ru-RU"/>
        </w:rPr>
        <w:t>1</w:t>
      </w:r>
      <w:r w:rsidRPr="000D4FA1">
        <w:rPr>
          <w:rFonts w:ascii="Times New Roman" w:eastAsia="Times New Roman" w:hAnsi="Times New Roman" w:cs="Times New Roman"/>
          <w:sz w:val="28"/>
          <w:szCs w:val="28"/>
          <w:lang w:val="ru-RU" w:eastAsia="ru-RU"/>
        </w:rPr>
        <w:t>].</w:t>
      </w:r>
    </w:p>
    <w:p w:rsidR="006E2083" w:rsidRPr="000D4FA1" w:rsidRDefault="00E87156"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 xml:space="preserve">Исследования показывают, что выпускники профессионального образования демонстрируют более высокие показатели занятости, что свидетельствует о положительном влиянии адаптации образовательных программ на результаты трудоустройства </w:t>
      </w:r>
      <w:r w:rsidR="00472493" w:rsidRPr="000D4FA1">
        <w:rPr>
          <w:rFonts w:ascii="Times New Roman" w:eastAsia="Times New Roman" w:hAnsi="Times New Roman" w:cs="Times New Roman"/>
          <w:sz w:val="28"/>
          <w:szCs w:val="28"/>
          <w:lang w:val="ru-RU" w:eastAsia="ru-RU"/>
        </w:rPr>
        <w:t>[</w:t>
      </w:r>
      <w:r w:rsidR="00AA5DF0" w:rsidRPr="000D4FA1">
        <w:rPr>
          <w:rFonts w:ascii="Times New Roman" w:eastAsia="Times New Roman" w:hAnsi="Times New Roman" w:cs="Times New Roman"/>
          <w:sz w:val="28"/>
          <w:szCs w:val="28"/>
          <w:lang w:val="ru-RU" w:eastAsia="ru-RU"/>
        </w:rPr>
        <w:t>4</w:t>
      </w:r>
      <w:r w:rsidR="007433F3" w:rsidRPr="000D4FA1">
        <w:rPr>
          <w:rFonts w:ascii="Times New Roman" w:eastAsia="Times New Roman" w:hAnsi="Times New Roman" w:cs="Times New Roman"/>
          <w:sz w:val="28"/>
          <w:szCs w:val="28"/>
          <w:lang w:val="ru-RU" w:eastAsia="ru-RU"/>
        </w:rPr>
        <w:t>2</w:t>
      </w:r>
      <w:r w:rsidR="00472493" w:rsidRPr="000D4FA1">
        <w:rPr>
          <w:rFonts w:ascii="Times New Roman" w:eastAsia="Times New Roman" w:hAnsi="Times New Roman" w:cs="Times New Roman"/>
          <w:sz w:val="28"/>
          <w:szCs w:val="28"/>
          <w:lang w:val="ru-RU" w:eastAsia="ru-RU"/>
        </w:rPr>
        <w:t>].</w:t>
      </w:r>
      <w:r w:rsidR="006E2083" w:rsidRPr="000D4FA1">
        <w:rPr>
          <w:rFonts w:ascii="Times New Roman" w:eastAsia="Times New Roman" w:hAnsi="Times New Roman" w:cs="Times New Roman"/>
          <w:sz w:val="28"/>
          <w:szCs w:val="28"/>
          <w:lang w:val="ru-RU" w:eastAsia="ru-RU"/>
        </w:rPr>
        <w:t xml:space="preserve"> </w:t>
      </w:r>
      <w:r w:rsidR="009C3821" w:rsidRPr="000D4FA1">
        <w:rPr>
          <w:rFonts w:ascii="Times New Roman" w:eastAsia="Times New Roman" w:hAnsi="Times New Roman" w:cs="Times New Roman"/>
          <w:sz w:val="28"/>
          <w:szCs w:val="28"/>
          <w:lang w:val="ru-RU" w:eastAsia="ru-RU"/>
        </w:rPr>
        <w:t>Технические и п</w:t>
      </w:r>
      <w:r w:rsidR="006E2083" w:rsidRPr="000D4FA1">
        <w:rPr>
          <w:rFonts w:ascii="Times New Roman" w:eastAsia="Times New Roman" w:hAnsi="Times New Roman" w:cs="Times New Roman"/>
          <w:sz w:val="28"/>
          <w:szCs w:val="28"/>
          <w:lang w:val="ru-RU" w:eastAsia="ru-RU"/>
        </w:rPr>
        <w:t>рофессиональные колледжи должны быть гибкими, чтобы обновлять учебные планы в соответствии с требованиями работодателей и новыми стандартами подготовки специалистов.</w:t>
      </w:r>
    </w:p>
    <w:p w:rsidR="00E87156" w:rsidRPr="000D4FA1" w:rsidRDefault="00E87156" w:rsidP="00E87156">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Анализ показывает, что образовательные технологии и адаптационные мероприятия позволяют повысить готовность выпускников к требованиям работодателей и, соответственно, их шансы на успешное трудоустройство </w:t>
      </w:r>
      <w:r w:rsidR="00BF574E" w:rsidRPr="000D4FA1">
        <w:rPr>
          <w:rFonts w:ascii="Times New Roman" w:eastAsia="Times New Roman" w:hAnsi="Times New Roman" w:cs="Times New Roman"/>
          <w:sz w:val="28"/>
          <w:szCs w:val="28"/>
          <w:lang w:val="ru-RU" w:eastAsia="ru-RU"/>
        </w:rPr>
        <w:t>[4</w:t>
      </w:r>
      <w:r w:rsidR="007433F3" w:rsidRPr="000D4FA1">
        <w:rPr>
          <w:rFonts w:ascii="Times New Roman" w:eastAsia="Times New Roman" w:hAnsi="Times New Roman" w:cs="Times New Roman"/>
          <w:sz w:val="28"/>
          <w:szCs w:val="28"/>
          <w:lang w:val="ru-RU" w:eastAsia="ru-RU"/>
        </w:rPr>
        <w:t>3</w:t>
      </w:r>
      <w:r w:rsidR="00BF574E" w:rsidRPr="000D4FA1">
        <w:rPr>
          <w:rFonts w:ascii="Times New Roman" w:eastAsia="Times New Roman" w:hAnsi="Times New Roman" w:cs="Times New Roman"/>
          <w:sz w:val="28"/>
          <w:szCs w:val="28"/>
          <w:lang w:val="ru-RU" w:eastAsia="ru-RU"/>
        </w:rPr>
        <w:t>].</w:t>
      </w:r>
    </w:p>
    <w:p w:rsidR="006E2083" w:rsidRPr="000D4FA1" w:rsidRDefault="00BF574E"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Человеческий капитал, включающий квалифицированных преподавателей, административных сотрудников и обучающихся, является важным ресурсом для устойчивости образовательной организации</w:t>
      </w:r>
      <w:r w:rsidR="0088514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В контексте технического и профессионального образования устойчивость системы связывают с развитием человеческого капитала и адаптацией образовательных программ к требованиям рынка труда, что повышает способность организаций реагировать на изменения внешней среды и сохранять конкурентоспособность </w:t>
      </w:r>
      <w:r w:rsidR="00BA603A" w:rsidRPr="000D4FA1">
        <w:rPr>
          <w:rFonts w:ascii="Times New Roman" w:eastAsia="Times New Roman" w:hAnsi="Times New Roman" w:cs="Times New Roman"/>
          <w:sz w:val="28"/>
          <w:szCs w:val="28"/>
          <w:lang w:val="ru-RU" w:eastAsia="ru-RU"/>
        </w:rPr>
        <w:t>[</w:t>
      </w:r>
      <w:r w:rsidR="007433F3" w:rsidRPr="000D4FA1">
        <w:rPr>
          <w:rFonts w:ascii="Times New Roman" w:eastAsia="Times New Roman" w:hAnsi="Times New Roman" w:cs="Times New Roman"/>
          <w:sz w:val="28"/>
          <w:szCs w:val="28"/>
          <w:lang w:val="ru-RU" w:eastAsia="ru-RU"/>
        </w:rPr>
        <w:t>44</w:t>
      </w:r>
      <w:r w:rsidR="00BA603A" w:rsidRPr="000D4FA1">
        <w:rPr>
          <w:rFonts w:ascii="Times New Roman" w:eastAsia="Times New Roman" w:hAnsi="Times New Roman" w:cs="Times New Roman"/>
          <w:sz w:val="28"/>
          <w:szCs w:val="28"/>
          <w:lang w:val="ru-RU" w:eastAsia="ru-RU"/>
        </w:rPr>
        <w:t>]</w:t>
      </w:r>
      <w:r w:rsidR="00472493" w:rsidRPr="000D4FA1">
        <w:rPr>
          <w:rFonts w:ascii="Times New Roman" w:eastAsia="Times New Roman" w:hAnsi="Times New Roman" w:cs="Times New Roman"/>
          <w:sz w:val="28"/>
          <w:szCs w:val="28"/>
          <w:lang w:val="ru-RU" w:eastAsia="ru-RU"/>
        </w:rPr>
        <w:t>.</w:t>
      </w:r>
    </w:p>
    <w:p w:rsidR="00885145" w:rsidRPr="000D4FA1" w:rsidRDefault="00885145" w:rsidP="00885145">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Исследование Dougherty,</w:t>
      </w:r>
      <w:r w:rsidR="00A00AD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S.M. анализирует влияние профессионального образования на накопление человеческого капитала и карьерные результаты выпускников, что поддерживает анализ о важности человеческого капитала [4</w:t>
      </w:r>
      <w:r w:rsidR="007433F3" w:rsidRPr="000D4FA1">
        <w:rPr>
          <w:rFonts w:ascii="Times New Roman" w:eastAsia="Times New Roman" w:hAnsi="Times New Roman" w:cs="Times New Roman"/>
          <w:sz w:val="28"/>
          <w:szCs w:val="28"/>
          <w:lang w:val="ru-RU" w:eastAsia="ru-RU"/>
        </w:rPr>
        <w:t>5</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Несмотря на важность устойчивости, многие образовательные учреждения сталкиваются с рядом проблем и вызовов. Например, многих зарубежных </w:t>
      </w:r>
      <w:r w:rsidR="00A00AD5" w:rsidRPr="000D4FA1">
        <w:rPr>
          <w:rFonts w:ascii="Times New Roman" w:eastAsia="Times New Roman" w:hAnsi="Times New Roman" w:cs="Times New Roman"/>
          <w:sz w:val="28"/>
          <w:szCs w:val="28"/>
          <w:lang w:val="ru-RU" w:eastAsia="ru-RU"/>
        </w:rPr>
        <w:t>работах выделяются</w:t>
      </w:r>
      <w:r w:rsidRPr="000D4FA1">
        <w:rPr>
          <w:rFonts w:ascii="Times New Roman" w:eastAsia="Times New Roman" w:hAnsi="Times New Roman" w:cs="Times New Roman"/>
          <w:sz w:val="28"/>
          <w:szCs w:val="28"/>
          <w:lang w:val="ru-RU" w:eastAsia="ru-RU"/>
        </w:rPr>
        <w:t xml:space="preserve"> следующие проблемы:</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w:t>
      </w:r>
      <w:r w:rsidR="00A00AD5" w:rsidRPr="000D4FA1">
        <w:rPr>
          <w:rFonts w:ascii="Times New Roman" w:eastAsia="Times New Roman" w:hAnsi="Times New Roman" w:cs="Times New Roman"/>
          <w:sz w:val="28"/>
          <w:szCs w:val="28"/>
          <w:lang w:val="ru-RU" w:eastAsia="ru-RU"/>
        </w:rPr>
        <w:t>н</w:t>
      </w:r>
      <w:r w:rsidRPr="000D4FA1">
        <w:rPr>
          <w:rFonts w:ascii="Times New Roman" w:eastAsia="Times New Roman" w:hAnsi="Times New Roman" w:cs="Times New Roman"/>
          <w:sz w:val="28"/>
          <w:szCs w:val="28"/>
          <w:lang w:val="ru-RU" w:eastAsia="ru-RU"/>
        </w:rPr>
        <w:t>едостаточное финансирование и устаревшая инфраструктура;</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w:t>
      </w:r>
      <w:r w:rsidR="00A00AD5" w:rsidRPr="000D4FA1">
        <w:rPr>
          <w:rFonts w:ascii="Times New Roman" w:eastAsia="Times New Roman" w:hAnsi="Times New Roman" w:cs="Times New Roman"/>
          <w:sz w:val="28"/>
          <w:szCs w:val="28"/>
          <w:lang w:val="ru-RU" w:eastAsia="ru-RU"/>
        </w:rPr>
        <w:t>о</w:t>
      </w:r>
      <w:r w:rsidRPr="000D4FA1">
        <w:rPr>
          <w:rFonts w:ascii="Times New Roman" w:eastAsia="Times New Roman" w:hAnsi="Times New Roman" w:cs="Times New Roman"/>
          <w:sz w:val="28"/>
          <w:szCs w:val="28"/>
          <w:lang w:val="ru-RU" w:eastAsia="ru-RU"/>
        </w:rPr>
        <w:t>тсутствие современных образовательных технологий;</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w:t>
      </w:r>
      <w:r w:rsidR="00A00AD5" w:rsidRPr="000D4FA1">
        <w:rPr>
          <w:rFonts w:ascii="Times New Roman" w:eastAsia="Times New Roman" w:hAnsi="Times New Roman" w:cs="Times New Roman"/>
          <w:sz w:val="28"/>
          <w:szCs w:val="28"/>
          <w:lang w:val="ru-RU" w:eastAsia="ru-RU"/>
        </w:rPr>
        <w:t>н</w:t>
      </w:r>
      <w:r w:rsidRPr="000D4FA1">
        <w:rPr>
          <w:rFonts w:ascii="Times New Roman" w:eastAsia="Times New Roman" w:hAnsi="Times New Roman" w:cs="Times New Roman"/>
          <w:sz w:val="28"/>
          <w:szCs w:val="28"/>
          <w:lang w:val="ru-RU" w:eastAsia="ru-RU"/>
        </w:rPr>
        <w:t xml:space="preserve">едостаточная квалификация преподавателей.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Выявленные вопросы могут ослабить способность организации адаптироваться к новым условиям и угрожают её долгосрочной устойчивости.</w:t>
      </w:r>
    </w:p>
    <w:p w:rsidR="00D05F9E" w:rsidRPr="000D4FA1" w:rsidRDefault="00885145"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Многие зарубежные образовательные учреждения разрабатывают успешные модели повышения устойчивости через государственно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частное партнёрство, вовлечение работодателей и модернизацию программ профессионального образования </w:t>
      </w:r>
      <w:r w:rsidR="00472493" w:rsidRPr="000D4FA1">
        <w:rPr>
          <w:rFonts w:ascii="Times New Roman" w:eastAsia="Times New Roman" w:hAnsi="Times New Roman" w:cs="Times New Roman"/>
          <w:sz w:val="28"/>
          <w:szCs w:val="28"/>
          <w:lang w:val="ru-RU" w:eastAsia="ru-RU"/>
        </w:rPr>
        <w:t>[</w:t>
      </w:r>
      <w:r w:rsidR="00D05F9E" w:rsidRPr="000D4FA1">
        <w:rPr>
          <w:rFonts w:ascii="Times New Roman" w:eastAsia="Times New Roman" w:hAnsi="Times New Roman" w:cs="Times New Roman"/>
          <w:sz w:val="28"/>
          <w:szCs w:val="28"/>
          <w:lang w:val="ru-RU" w:eastAsia="ru-RU"/>
        </w:rPr>
        <w:t>4</w:t>
      </w:r>
      <w:r w:rsidR="007433F3" w:rsidRPr="000D4FA1">
        <w:rPr>
          <w:rFonts w:ascii="Times New Roman" w:eastAsia="Times New Roman" w:hAnsi="Times New Roman" w:cs="Times New Roman"/>
          <w:sz w:val="28"/>
          <w:szCs w:val="28"/>
          <w:lang w:val="ru-RU" w:eastAsia="ru-RU"/>
        </w:rPr>
        <w:t>6</w:t>
      </w:r>
      <w:r w:rsidR="00472493" w:rsidRPr="000D4FA1">
        <w:rPr>
          <w:rFonts w:ascii="Times New Roman" w:eastAsia="Times New Roman" w:hAnsi="Times New Roman" w:cs="Times New Roman"/>
          <w:sz w:val="28"/>
          <w:szCs w:val="28"/>
          <w:lang w:val="ru-RU" w:eastAsia="ru-RU"/>
        </w:rPr>
        <w:t xml:space="preserve">]. </w:t>
      </w:r>
      <w:r w:rsidR="006E2083" w:rsidRPr="000D4FA1">
        <w:rPr>
          <w:rFonts w:ascii="Times New Roman" w:eastAsia="Times New Roman" w:hAnsi="Times New Roman" w:cs="Times New Roman"/>
          <w:sz w:val="28"/>
          <w:szCs w:val="28"/>
          <w:lang w:val="ru-RU" w:eastAsia="ru-RU"/>
        </w:rPr>
        <w:t xml:space="preserve"> </w:t>
      </w:r>
    </w:p>
    <w:p w:rsidR="00D05F9E" w:rsidRPr="000D4FA1" w:rsidRDefault="00D05F9E"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европейском контексте государственно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частное партнёрство считается ключевым механизмом устойчивого развития технического и профессионального образования через адаптацию программ под требования рынка и вовлечение работодателей [4</w:t>
      </w:r>
      <w:r w:rsidR="007433F3" w:rsidRPr="000D4FA1">
        <w:rPr>
          <w:rFonts w:ascii="Times New Roman" w:eastAsia="Times New Roman" w:hAnsi="Times New Roman" w:cs="Times New Roman"/>
          <w:sz w:val="28"/>
          <w:szCs w:val="28"/>
          <w:lang w:val="ru-RU" w:eastAsia="ru-RU"/>
        </w:rPr>
        <w:t>7</w:t>
      </w:r>
      <w:r w:rsidRPr="000D4FA1">
        <w:rPr>
          <w:rFonts w:ascii="Times New Roman" w:eastAsia="Times New Roman" w:hAnsi="Times New Roman" w:cs="Times New Roman"/>
          <w:sz w:val="28"/>
          <w:szCs w:val="28"/>
          <w:lang w:val="ru-RU" w:eastAsia="ru-RU"/>
        </w:rPr>
        <w:t xml:space="preserve">].  </w:t>
      </w:r>
    </w:p>
    <w:p w:rsidR="006E2083" w:rsidRPr="000D4FA1" w:rsidRDefault="00D05F9E"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Исследования показывают, что вовлечение частного сектора и работодателей в разработку учебных планов и управление программами способствует инновациям и устойчивости профессионального образования [4</w:t>
      </w:r>
      <w:r w:rsidR="007433F3" w:rsidRPr="000D4FA1">
        <w:rPr>
          <w:rFonts w:ascii="Times New Roman" w:eastAsia="Times New Roman" w:hAnsi="Times New Roman" w:cs="Times New Roman"/>
          <w:sz w:val="28"/>
          <w:szCs w:val="28"/>
          <w:lang w:val="ru-RU" w:eastAsia="ru-RU"/>
        </w:rPr>
        <w:t>8</w:t>
      </w:r>
      <w:r w:rsidRPr="000D4FA1">
        <w:rPr>
          <w:rFonts w:ascii="Times New Roman" w:eastAsia="Times New Roman" w:hAnsi="Times New Roman" w:cs="Times New Roman"/>
          <w:sz w:val="28"/>
          <w:szCs w:val="28"/>
          <w:lang w:val="ru-RU" w:eastAsia="ru-RU"/>
        </w:rPr>
        <w:t xml:space="preserve">].  </w:t>
      </w:r>
    </w:p>
    <w:p w:rsidR="00D05F9E" w:rsidRPr="000D4FA1" w:rsidRDefault="00D05F9E" w:rsidP="00D05F9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Анализ межстрановых практик PPP свидетельствует о положительном влиянии участия бизнеса в управлении и модернизации образовательных программ на устойчивость VET</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организаций [</w:t>
      </w:r>
      <w:r w:rsidR="007433F3" w:rsidRPr="000D4FA1">
        <w:rPr>
          <w:rFonts w:ascii="Times New Roman" w:eastAsia="Times New Roman" w:hAnsi="Times New Roman" w:cs="Times New Roman"/>
          <w:sz w:val="28"/>
          <w:szCs w:val="28"/>
          <w:lang w:val="ru-RU" w:eastAsia="ru-RU"/>
        </w:rPr>
        <w:t>49</w:t>
      </w:r>
      <w:r w:rsidRPr="000D4FA1">
        <w:rPr>
          <w:rFonts w:ascii="Times New Roman" w:eastAsia="Times New Roman" w:hAnsi="Times New Roman" w:cs="Times New Roman"/>
          <w:sz w:val="28"/>
          <w:szCs w:val="28"/>
          <w:lang w:val="ru-RU" w:eastAsia="ru-RU"/>
        </w:rPr>
        <w:t xml:space="preserve">].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kk-KZ" w:eastAsia="ru-RU"/>
        </w:rPr>
        <w:lastRenderedPageBreak/>
        <w:t xml:space="preserve">Такие </w:t>
      </w:r>
      <w:r w:rsidRPr="000D4FA1">
        <w:rPr>
          <w:rFonts w:ascii="Times New Roman" w:eastAsia="Times New Roman" w:hAnsi="Times New Roman" w:cs="Times New Roman"/>
          <w:sz w:val="28"/>
          <w:szCs w:val="28"/>
          <w:lang w:val="ru-RU" w:eastAsia="ru-RU"/>
        </w:rPr>
        <w:t>модели могут быть полезными для образовательных учреждений Казахстана и других стран СНГ, так как они демонстрируют эффективность гибкого подхода к управлению человеческим капиталом и инновациями.</w:t>
      </w:r>
    </w:p>
    <w:p w:rsidR="00CF7476" w:rsidRPr="000D4FA1" w:rsidRDefault="002C1B82" w:rsidP="002B3956">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Во многих зарубежных исследованиях устойчивость образовательных учреждений связывается с государственно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частным партнёрством</w:t>
      </w:r>
      <w:r w:rsidR="006A122F" w:rsidRPr="000D4FA1">
        <w:rPr>
          <w:rFonts w:ascii="Times New Roman" w:eastAsia="Times New Roman" w:hAnsi="Times New Roman" w:cs="Times New Roman"/>
          <w:sz w:val="28"/>
          <w:szCs w:val="28"/>
          <w:lang w:val="ru-RU" w:eastAsia="ru-RU"/>
        </w:rPr>
        <w:t xml:space="preserve"> (ГЧП)</w:t>
      </w:r>
      <w:r w:rsidRPr="000D4FA1">
        <w:rPr>
          <w:rFonts w:ascii="Times New Roman" w:eastAsia="Times New Roman" w:hAnsi="Times New Roman" w:cs="Times New Roman"/>
          <w:sz w:val="28"/>
          <w:szCs w:val="28"/>
          <w:lang w:val="ru-RU" w:eastAsia="ru-RU"/>
        </w:rPr>
        <w:t>, модернизацией учебных программ и активным участием работодателей в формировании содержательных образовательных траекторий. Так, исследования в США показывают преимущества дуальной системы через PPP</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механизмы для соответствия требованиям рынка труда, а в Европе и других странах аналитические обзоры моделей участия частного сектора подтверждают положительное влияние таких подходов на качество программ и результ</w:t>
      </w:r>
      <w:r w:rsidR="00CF7476" w:rsidRPr="000D4FA1">
        <w:rPr>
          <w:rFonts w:ascii="Times New Roman" w:eastAsia="Times New Roman" w:hAnsi="Times New Roman" w:cs="Times New Roman"/>
          <w:sz w:val="28"/>
          <w:szCs w:val="28"/>
          <w:lang w:val="ru-RU" w:eastAsia="ru-RU"/>
        </w:rPr>
        <w:t>аты трудоустройства выпускников.</w:t>
      </w:r>
    </w:p>
    <w:p w:rsidR="002B3956" w:rsidRPr="000D4FA1" w:rsidRDefault="002C1B82" w:rsidP="002B3956">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w:t>
      </w:r>
      <w:r w:rsidR="002B3956" w:rsidRPr="000D4FA1">
        <w:rPr>
          <w:rFonts w:ascii="Times New Roman" w:eastAsia="Times New Roman" w:hAnsi="Times New Roman" w:cs="Times New Roman"/>
          <w:sz w:val="28"/>
          <w:szCs w:val="28"/>
          <w:lang w:val="ru-RU" w:eastAsia="ru-RU"/>
        </w:rPr>
        <w:t xml:space="preserve">Таблица 3 ключевые факторы устойчивости в </w:t>
      </w:r>
      <w:r w:rsidR="009C3821" w:rsidRPr="000D4FA1">
        <w:rPr>
          <w:rFonts w:ascii="Times New Roman" w:eastAsia="Times New Roman" w:hAnsi="Times New Roman" w:cs="Times New Roman"/>
          <w:sz w:val="28"/>
          <w:szCs w:val="28"/>
          <w:lang w:val="ru-RU" w:eastAsia="ru-RU"/>
        </w:rPr>
        <w:t xml:space="preserve">техническом и </w:t>
      </w:r>
      <w:r w:rsidR="002B3956" w:rsidRPr="000D4FA1">
        <w:rPr>
          <w:rFonts w:ascii="Times New Roman" w:eastAsia="Times New Roman" w:hAnsi="Times New Roman" w:cs="Times New Roman"/>
          <w:sz w:val="28"/>
          <w:szCs w:val="28"/>
          <w:lang w:val="ru-RU" w:eastAsia="ru-RU"/>
        </w:rPr>
        <w:t xml:space="preserve">профессиональном образовании отражает пять основных аспектов, которые влияют на способность образовательных учреждений оставаться устойчивыми и адаптивными в условиях изменений внешней среды. Данные факторы включают качество преподавательского состава, финансовую стабильность, инновации в образовательных программах, адаптивность к изменениям на рынке труда и человеческий капитал. </w:t>
      </w:r>
    </w:p>
    <w:p w:rsidR="00CF7476" w:rsidRPr="000D4FA1" w:rsidRDefault="00CF7476" w:rsidP="00CF7476">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Также в таблице указаны ключевые проблемы и вызовы, с которыми сталкиваются технические и профессиональные образовательные организации при управлении этими факторами. Среди них нехватка квалифицированных кадров, недостаток финансирования, медленное внедрение инноваций и задержки в обновлении учебных программ в соответствии с потребностями рынка. Выявленные проблемы подчеркивают необходимость комплексного подхода к управлению и стратегического планирования для обеспечения долгосрочной устойчивости образовательных учреждений.</w:t>
      </w:r>
    </w:p>
    <w:p w:rsidR="00472493" w:rsidRPr="000D4FA1" w:rsidRDefault="00472493"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902016">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3</w:t>
      </w:r>
      <w:r w:rsidR="00902016"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Ключевы</w:t>
      </w:r>
      <w:r w:rsidR="00BA603A" w:rsidRPr="000D4FA1">
        <w:rPr>
          <w:rFonts w:ascii="Times New Roman" w:eastAsia="Times New Roman" w:hAnsi="Times New Roman" w:cs="Times New Roman"/>
          <w:sz w:val="28"/>
          <w:szCs w:val="28"/>
          <w:lang w:val="ru-RU" w:eastAsia="ru-RU"/>
        </w:rPr>
        <w:t>е</w:t>
      </w:r>
      <w:r w:rsidRPr="000D4FA1">
        <w:rPr>
          <w:rFonts w:ascii="Times New Roman" w:eastAsia="Times New Roman" w:hAnsi="Times New Roman" w:cs="Times New Roman"/>
          <w:sz w:val="28"/>
          <w:szCs w:val="28"/>
          <w:lang w:val="ru-RU" w:eastAsia="ru-RU"/>
        </w:rPr>
        <w:t xml:space="preserve"> фактор</w:t>
      </w:r>
      <w:r w:rsidR="00BA603A" w:rsidRPr="000D4FA1">
        <w:rPr>
          <w:rFonts w:ascii="Times New Roman" w:eastAsia="Times New Roman" w:hAnsi="Times New Roman" w:cs="Times New Roman"/>
          <w:sz w:val="28"/>
          <w:szCs w:val="28"/>
          <w:lang w:val="ru-RU" w:eastAsia="ru-RU"/>
        </w:rPr>
        <w:t>ы</w:t>
      </w:r>
      <w:r w:rsidRPr="000D4FA1">
        <w:rPr>
          <w:rFonts w:ascii="Times New Roman" w:eastAsia="Times New Roman" w:hAnsi="Times New Roman" w:cs="Times New Roman"/>
          <w:sz w:val="28"/>
          <w:szCs w:val="28"/>
          <w:lang w:val="ru-RU" w:eastAsia="ru-RU"/>
        </w:rPr>
        <w:t xml:space="preserve"> устойчивости в </w:t>
      </w:r>
      <w:r w:rsidR="009C3821" w:rsidRPr="000D4FA1">
        <w:rPr>
          <w:rFonts w:ascii="Times New Roman" w:eastAsia="Times New Roman" w:hAnsi="Times New Roman" w:cs="Times New Roman"/>
          <w:sz w:val="28"/>
          <w:szCs w:val="28"/>
          <w:lang w:val="ru-RU" w:eastAsia="ru-RU"/>
        </w:rPr>
        <w:t xml:space="preserve">техническом и </w:t>
      </w:r>
      <w:r w:rsidRPr="000D4FA1">
        <w:rPr>
          <w:rFonts w:ascii="Times New Roman" w:eastAsia="Times New Roman" w:hAnsi="Times New Roman" w:cs="Times New Roman"/>
          <w:sz w:val="28"/>
          <w:szCs w:val="28"/>
          <w:lang w:val="ru-RU" w:eastAsia="ru-RU"/>
        </w:rPr>
        <w:t>профессиональном образовании</w:t>
      </w:r>
    </w:p>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tbl>
      <w:tblPr>
        <w:tblStyle w:val="af4"/>
        <w:tblW w:w="9639" w:type="dxa"/>
        <w:tblInd w:w="108" w:type="dxa"/>
        <w:tblLook w:val="04A0"/>
      </w:tblPr>
      <w:tblGrid>
        <w:gridCol w:w="2613"/>
        <w:gridCol w:w="3908"/>
        <w:gridCol w:w="3118"/>
      </w:tblGrid>
      <w:tr w:rsidR="00D05F9E" w:rsidRPr="000D4FA1" w:rsidTr="00F56C04">
        <w:tc>
          <w:tcPr>
            <w:tcW w:w="2613"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Факторы устойчивости</w:t>
            </w:r>
          </w:p>
        </w:tc>
        <w:tc>
          <w:tcPr>
            <w:tcW w:w="3908"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Описание</w:t>
            </w:r>
          </w:p>
        </w:tc>
        <w:tc>
          <w:tcPr>
            <w:tcW w:w="3118"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Проблемы и вызовы</w:t>
            </w:r>
          </w:p>
        </w:tc>
      </w:tr>
      <w:tr w:rsidR="00D05F9E" w:rsidRPr="0036668B" w:rsidTr="00F56C04">
        <w:tc>
          <w:tcPr>
            <w:tcW w:w="2613"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Качество преподавательского состава</w:t>
            </w:r>
          </w:p>
        </w:tc>
        <w:tc>
          <w:tcPr>
            <w:tcW w:w="390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Высокая квалификация преподавателей, регулярное повышение квалификации.</w:t>
            </w:r>
          </w:p>
        </w:tc>
        <w:tc>
          <w:tcPr>
            <w:tcW w:w="311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Недостаток квалифицированных преподавателей и текучесть кадров.</w:t>
            </w:r>
          </w:p>
        </w:tc>
      </w:tr>
      <w:tr w:rsidR="00D05F9E" w:rsidRPr="0036668B" w:rsidTr="00F56C04">
        <w:tc>
          <w:tcPr>
            <w:tcW w:w="2613"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Финансовая стабильность</w:t>
            </w:r>
          </w:p>
        </w:tc>
        <w:tc>
          <w:tcPr>
            <w:tcW w:w="390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Достаточное финансирование для модернизации инфраструктуры и образовательных технологий.</w:t>
            </w:r>
          </w:p>
        </w:tc>
        <w:tc>
          <w:tcPr>
            <w:tcW w:w="311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Нехватка финансовых ресурсов для модернизации и внедрения новых технологий.</w:t>
            </w:r>
          </w:p>
        </w:tc>
      </w:tr>
      <w:tr w:rsidR="00D05F9E" w:rsidRPr="0036668B" w:rsidTr="00F56C04">
        <w:tc>
          <w:tcPr>
            <w:tcW w:w="2613"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Инновации в образовательных </w:t>
            </w:r>
            <w:r w:rsidRPr="000D4FA1">
              <w:rPr>
                <w:rFonts w:ascii="Times New Roman" w:eastAsia="Times New Roman" w:hAnsi="Times New Roman" w:cs="Times New Roman"/>
                <w:sz w:val="28"/>
                <w:szCs w:val="28"/>
                <w:lang w:val="ru-RU" w:eastAsia="ru-RU"/>
              </w:rPr>
              <w:lastRenderedPageBreak/>
              <w:t>программах</w:t>
            </w:r>
          </w:p>
        </w:tc>
        <w:tc>
          <w:tcPr>
            <w:tcW w:w="390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 xml:space="preserve">Внедрение дистанционного обучения, новых методик и </w:t>
            </w:r>
            <w:r w:rsidRPr="000D4FA1">
              <w:rPr>
                <w:rFonts w:ascii="Times New Roman" w:eastAsia="Times New Roman" w:hAnsi="Times New Roman" w:cs="Times New Roman"/>
                <w:sz w:val="28"/>
                <w:szCs w:val="28"/>
                <w:lang w:val="ru-RU" w:eastAsia="ru-RU"/>
              </w:rPr>
              <w:lastRenderedPageBreak/>
              <w:t>технологий.</w:t>
            </w:r>
          </w:p>
        </w:tc>
        <w:tc>
          <w:tcPr>
            <w:tcW w:w="3118"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Медленное внедрение инноваций из</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за </w:t>
            </w:r>
            <w:r w:rsidRPr="000D4FA1">
              <w:rPr>
                <w:rFonts w:ascii="Times New Roman" w:eastAsia="Times New Roman" w:hAnsi="Times New Roman" w:cs="Times New Roman"/>
                <w:sz w:val="28"/>
                <w:szCs w:val="28"/>
                <w:lang w:val="ru-RU" w:eastAsia="ru-RU"/>
              </w:rPr>
              <w:lastRenderedPageBreak/>
              <w:t>отсутствия необходимой инфраструктуры.</w:t>
            </w:r>
          </w:p>
        </w:tc>
      </w:tr>
      <w:tr w:rsidR="00D05F9E" w:rsidRPr="0036668B" w:rsidTr="006A122F">
        <w:tc>
          <w:tcPr>
            <w:tcW w:w="9639" w:type="dxa"/>
            <w:gridSpan w:val="3"/>
            <w:vAlign w:val="center"/>
          </w:tcPr>
          <w:p w:rsidR="006E2083" w:rsidRPr="000D4FA1" w:rsidRDefault="00902016"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lastRenderedPageBreak/>
              <w:t xml:space="preserve">            </w:t>
            </w:r>
            <w:r w:rsidR="006E2083" w:rsidRPr="000D4FA1">
              <w:rPr>
                <w:rFonts w:ascii="Times New Roman" w:eastAsia="Times New Roman" w:hAnsi="Times New Roman" w:cs="Times New Roman"/>
                <w:bCs/>
                <w:sz w:val="24"/>
                <w:szCs w:val="24"/>
                <w:lang w:val="ru-RU" w:eastAsia="ru-RU"/>
              </w:rPr>
              <w:t>Примечание</w:t>
            </w:r>
            <w:r w:rsidR="0004140E"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Pr="000D4FA1">
              <w:rPr>
                <w:rFonts w:ascii="Times New Roman" w:eastAsia="Times New Roman" w:hAnsi="Times New Roman" w:cs="Times New Roman"/>
                <w:bCs/>
                <w:sz w:val="24"/>
                <w:szCs w:val="24"/>
                <w:lang w:val="ru-RU" w:eastAsia="ru-RU"/>
              </w:rPr>
              <w:t>о</w:t>
            </w:r>
            <w:r w:rsidR="006E2083" w:rsidRPr="000D4FA1">
              <w:rPr>
                <w:rFonts w:ascii="Times New Roman" w:eastAsia="Times New Roman" w:hAnsi="Times New Roman" w:cs="Times New Roman"/>
                <w:bCs/>
                <w:sz w:val="24"/>
                <w:szCs w:val="24"/>
                <w:lang w:val="ru-RU" w:eastAsia="ru-RU"/>
              </w:rPr>
              <w:t xml:space="preserve"> автором на основе исследования</w:t>
            </w:r>
          </w:p>
        </w:tc>
      </w:tr>
    </w:tbl>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Наиболее полезным зарубежным опытом для обеспечения устойчивости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организаций является модель, основанная на государственно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частном партнерстве (ГЧП), инновациях в образовательных программах и гибкости управления человеческим капиталом. Они демонстрируют наибольшую успешность в развитых странах, таких как США, Великобритания и Германия.</w:t>
      </w:r>
    </w:p>
    <w:p w:rsidR="00792223" w:rsidRPr="000D4FA1" w:rsidRDefault="00792223" w:rsidP="0079222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По исследованиям государственно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частное партнёрство выступает ключевым механизмом устойчивого развития системы профессионального образования, обеспечивая её связь с потребностями рынка труда. Вовлечение работодателей способствует актуализации образовательных программ и повышает их практическую направленность</w:t>
      </w:r>
      <w:r w:rsidR="001808AE" w:rsidRPr="000D4FA1">
        <w:rPr>
          <w:rFonts w:ascii="Times New Roman" w:eastAsia="Times New Roman" w:hAnsi="Times New Roman" w:cs="Times New Roman"/>
          <w:sz w:val="28"/>
          <w:szCs w:val="28"/>
          <w:lang w:val="ru-RU" w:eastAsia="ru-RU"/>
        </w:rPr>
        <w:t xml:space="preserve"> [</w:t>
      </w:r>
      <w:r w:rsidR="007433F3" w:rsidRPr="000D4FA1">
        <w:rPr>
          <w:rFonts w:ascii="Times New Roman" w:eastAsia="Times New Roman" w:hAnsi="Times New Roman" w:cs="Times New Roman"/>
          <w:sz w:val="28"/>
          <w:szCs w:val="28"/>
          <w:lang w:val="ru-RU" w:eastAsia="ru-RU"/>
        </w:rPr>
        <w:t>50</w:t>
      </w:r>
      <w:r w:rsidR="001808AE" w:rsidRPr="000D4FA1">
        <w:rPr>
          <w:rFonts w:ascii="Times New Roman" w:eastAsia="Times New Roman" w:hAnsi="Times New Roman" w:cs="Times New Roman"/>
          <w:sz w:val="28"/>
          <w:szCs w:val="28"/>
          <w:lang w:val="ru-RU" w:eastAsia="ru-RU"/>
        </w:rPr>
        <w:t xml:space="preserve">].  </w:t>
      </w:r>
    </w:p>
    <w:p w:rsidR="00792223" w:rsidRPr="000D4FA1" w:rsidRDefault="00792223" w:rsidP="0079222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По утверждению PPP усиливает релевантность программ профессионального образования, улучшает трудоустройство выпускников и повышает адаптивность образовательных </w:t>
      </w:r>
      <w:proofErr w:type="gramStart"/>
      <w:r w:rsidRPr="000D4FA1">
        <w:rPr>
          <w:rFonts w:ascii="Times New Roman" w:eastAsia="Times New Roman" w:hAnsi="Times New Roman" w:cs="Times New Roman"/>
          <w:sz w:val="28"/>
          <w:szCs w:val="28"/>
          <w:lang w:val="ru-RU" w:eastAsia="ru-RU"/>
        </w:rPr>
        <w:t>систем</w:t>
      </w:r>
      <w:proofErr w:type="gramEnd"/>
      <w:r w:rsidRPr="000D4FA1">
        <w:rPr>
          <w:rFonts w:ascii="Times New Roman" w:eastAsia="Times New Roman" w:hAnsi="Times New Roman" w:cs="Times New Roman"/>
          <w:sz w:val="28"/>
          <w:szCs w:val="28"/>
          <w:lang w:val="ru-RU" w:eastAsia="ru-RU"/>
        </w:rPr>
        <w:t xml:space="preserve"> и совместная разработка учебных планов с работодателями является значимым фактором устойчивости учреждений TVET</w:t>
      </w:r>
      <w:r w:rsidR="001808AE" w:rsidRPr="000D4FA1">
        <w:rPr>
          <w:rFonts w:ascii="Times New Roman" w:eastAsia="Times New Roman" w:hAnsi="Times New Roman" w:cs="Times New Roman"/>
          <w:sz w:val="28"/>
          <w:szCs w:val="28"/>
          <w:lang w:val="ru-RU" w:eastAsia="ru-RU"/>
        </w:rPr>
        <w:t xml:space="preserve"> [5</w:t>
      </w:r>
      <w:r w:rsidR="007433F3" w:rsidRPr="000D4FA1">
        <w:rPr>
          <w:rFonts w:ascii="Times New Roman" w:eastAsia="Times New Roman" w:hAnsi="Times New Roman" w:cs="Times New Roman"/>
          <w:sz w:val="28"/>
          <w:szCs w:val="28"/>
          <w:lang w:val="ru-RU" w:eastAsia="ru-RU"/>
        </w:rPr>
        <w:t>1</w:t>
      </w:r>
      <w:r w:rsidR="001808AE" w:rsidRPr="000D4FA1">
        <w:rPr>
          <w:rFonts w:ascii="Times New Roman" w:eastAsia="Times New Roman" w:hAnsi="Times New Roman" w:cs="Times New Roman"/>
          <w:sz w:val="28"/>
          <w:szCs w:val="28"/>
          <w:lang w:val="ru-RU" w:eastAsia="ru-RU"/>
        </w:rPr>
        <w:t xml:space="preserve">].  </w:t>
      </w:r>
    </w:p>
    <w:p w:rsidR="00792223" w:rsidRPr="000D4FA1" w:rsidRDefault="00792223" w:rsidP="0079222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Модели партнёрства между государством и бизнесом в США, основанные на элементах дуальной системы, способствуют лучшему соответствию подготовки требованиям современных отраслей экономики (Remington 2018). Участие компаний в проектировании программ повышает их актуальность и устойчивость к изменениям рынка труда</w:t>
      </w:r>
      <w:r w:rsidR="001808AE" w:rsidRPr="000D4FA1">
        <w:rPr>
          <w:rFonts w:ascii="Times New Roman" w:eastAsia="Times New Roman" w:hAnsi="Times New Roman" w:cs="Times New Roman"/>
          <w:sz w:val="28"/>
          <w:szCs w:val="28"/>
          <w:lang w:val="ru-RU" w:eastAsia="ru-RU"/>
        </w:rPr>
        <w:t xml:space="preserve"> [5</w:t>
      </w:r>
      <w:r w:rsidR="007433F3" w:rsidRPr="000D4FA1">
        <w:rPr>
          <w:rFonts w:ascii="Times New Roman" w:eastAsia="Times New Roman" w:hAnsi="Times New Roman" w:cs="Times New Roman"/>
          <w:sz w:val="28"/>
          <w:szCs w:val="28"/>
          <w:lang w:val="ru-RU" w:eastAsia="ru-RU"/>
        </w:rPr>
        <w:t>2</w:t>
      </w:r>
      <w:r w:rsidR="001808AE" w:rsidRPr="000D4FA1">
        <w:rPr>
          <w:rFonts w:ascii="Times New Roman" w:eastAsia="Times New Roman" w:hAnsi="Times New Roman" w:cs="Times New Roman"/>
          <w:sz w:val="28"/>
          <w:szCs w:val="28"/>
          <w:lang w:val="ru-RU" w:eastAsia="ru-RU"/>
        </w:rPr>
        <w:t xml:space="preserve">].  </w:t>
      </w:r>
    </w:p>
    <w:p w:rsidR="00792223" w:rsidRPr="000D4FA1" w:rsidRDefault="001808AE" w:rsidP="001808A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w:t>
      </w:r>
      <w:r w:rsidR="00792223" w:rsidRPr="000D4FA1">
        <w:rPr>
          <w:rFonts w:ascii="Times New Roman" w:eastAsia="Times New Roman" w:hAnsi="Times New Roman" w:cs="Times New Roman"/>
          <w:sz w:val="28"/>
          <w:szCs w:val="28"/>
          <w:lang w:val="ru-RU" w:eastAsia="ru-RU"/>
        </w:rPr>
        <w:t>Государственно</w:t>
      </w:r>
      <w:r w:rsidR="007B767F" w:rsidRPr="000D4FA1">
        <w:rPr>
          <w:rFonts w:ascii="Times New Roman" w:eastAsia="Times New Roman" w:hAnsi="Times New Roman" w:cs="Times New Roman"/>
          <w:sz w:val="28"/>
          <w:szCs w:val="28"/>
          <w:lang w:val="ru-RU" w:eastAsia="ru-RU"/>
        </w:rPr>
        <w:t>–</w:t>
      </w:r>
      <w:r w:rsidR="00792223" w:rsidRPr="000D4FA1">
        <w:rPr>
          <w:rFonts w:ascii="Times New Roman" w:eastAsia="Times New Roman" w:hAnsi="Times New Roman" w:cs="Times New Roman"/>
          <w:sz w:val="28"/>
          <w:szCs w:val="28"/>
          <w:lang w:val="ru-RU" w:eastAsia="ru-RU"/>
        </w:rPr>
        <w:t>частное партнёрство рассматривается как стратегический инструмент поддержания устойчивости систем профессионального образова</w:t>
      </w:r>
      <w:r w:rsidRPr="000D4FA1">
        <w:rPr>
          <w:rFonts w:ascii="Times New Roman" w:eastAsia="Times New Roman" w:hAnsi="Times New Roman" w:cs="Times New Roman"/>
          <w:sz w:val="28"/>
          <w:szCs w:val="28"/>
          <w:lang w:val="ru-RU" w:eastAsia="ru-RU"/>
        </w:rPr>
        <w:t xml:space="preserve">ния в долгосрочной перспективе. </w:t>
      </w:r>
      <w:r w:rsidR="00792223" w:rsidRPr="000D4FA1">
        <w:rPr>
          <w:rFonts w:ascii="Times New Roman" w:eastAsia="Times New Roman" w:hAnsi="Times New Roman" w:cs="Times New Roman"/>
          <w:sz w:val="28"/>
          <w:szCs w:val="28"/>
          <w:lang w:val="ru-RU" w:eastAsia="ru-RU"/>
        </w:rPr>
        <w:t>Институциональное участие бизнеса укрепляет финансирование, обновляет содержание обучения и повышает устойчивость образовательных учреждений</w:t>
      </w:r>
      <w:r w:rsidR="00A00AD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[5</w:t>
      </w:r>
      <w:r w:rsidR="007433F3" w:rsidRPr="000D4FA1">
        <w:rPr>
          <w:rFonts w:ascii="Times New Roman" w:eastAsia="Times New Roman" w:hAnsi="Times New Roman" w:cs="Times New Roman"/>
          <w:sz w:val="28"/>
          <w:szCs w:val="28"/>
          <w:lang w:val="ru-RU" w:eastAsia="ru-RU"/>
        </w:rPr>
        <w:t>3</w:t>
      </w:r>
      <w:r w:rsidRPr="000D4FA1">
        <w:rPr>
          <w:rFonts w:ascii="Times New Roman" w:eastAsia="Times New Roman" w:hAnsi="Times New Roman" w:cs="Times New Roman"/>
          <w:sz w:val="28"/>
          <w:szCs w:val="28"/>
          <w:lang w:val="ru-RU" w:eastAsia="ru-RU"/>
        </w:rPr>
        <w:t xml:space="preserve">].  </w:t>
      </w:r>
    </w:p>
    <w:p w:rsidR="004365F3" w:rsidRPr="000D4FA1" w:rsidRDefault="004365F3" w:rsidP="0079222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Германия – одна из стран, где успешно внедрена дуальная система профессионального образования, сочетающая теоретическую подготовку с практикой на предприятиях. Благодаря участию работодателей и интеграции практических элементов в учебные планы эта модель помогает студентам развивать компетенции, востребованные рынком труда, и делает образовательные учреждения более гибкими и адаптивными к изменениям экономической среды </w:t>
      </w:r>
    </w:p>
    <w:p w:rsidR="004365F3" w:rsidRPr="000D4FA1" w:rsidRDefault="004365F3" w:rsidP="0079222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Немецкая дуальная система профессионального образования сочетает обучение на предприятии и в школе, что позволяет обучающимся развивать профессиональные компетенции, адекватные требованиям современной экономики, и облегчает их переход к работе </w:t>
      </w:r>
      <w:r w:rsidR="00472493"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5</w:t>
      </w:r>
      <w:r w:rsidR="007433F3" w:rsidRPr="000D4FA1">
        <w:rPr>
          <w:rFonts w:ascii="Times New Roman" w:eastAsia="Times New Roman" w:hAnsi="Times New Roman" w:cs="Times New Roman"/>
          <w:sz w:val="28"/>
          <w:szCs w:val="28"/>
          <w:lang w:val="ru-RU" w:eastAsia="ru-RU"/>
        </w:rPr>
        <w:t>4</w:t>
      </w:r>
      <w:r w:rsidR="00472493"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w:t>
      </w:r>
    </w:p>
    <w:p w:rsidR="006E2083" w:rsidRPr="000D4FA1" w:rsidRDefault="004365F3" w:rsidP="004365F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Элементы дуальной системы Германии – чередование обучения в школе и на предприятии, партнёрство между государством, бизнесом и </w:t>
      </w:r>
      <w:r w:rsidRPr="000D4FA1">
        <w:rPr>
          <w:rFonts w:ascii="Times New Roman" w:eastAsia="Times New Roman" w:hAnsi="Times New Roman" w:cs="Times New Roman"/>
          <w:sz w:val="28"/>
          <w:szCs w:val="28"/>
          <w:lang w:val="ru-RU" w:eastAsia="ru-RU"/>
        </w:rPr>
        <w:lastRenderedPageBreak/>
        <w:t>образовательными учреждениями – способствуют подготовке квалифицированных специалистов и укреплению адаптивности образовательной системы [5</w:t>
      </w:r>
      <w:r w:rsidR="007433F3" w:rsidRPr="000D4FA1">
        <w:rPr>
          <w:rFonts w:ascii="Times New Roman" w:eastAsia="Times New Roman" w:hAnsi="Times New Roman" w:cs="Times New Roman"/>
          <w:sz w:val="28"/>
          <w:szCs w:val="28"/>
          <w:lang w:val="ru-RU" w:eastAsia="ru-RU"/>
        </w:rPr>
        <w:t>5</w:t>
      </w:r>
      <w:r w:rsidRPr="000D4FA1">
        <w:rPr>
          <w:rFonts w:ascii="Times New Roman" w:eastAsia="Times New Roman" w:hAnsi="Times New Roman" w:cs="Times New Roman"/>
          <w:sz w:val="28"/>
          <w:szCs w:val="28"/>
          <w:lang w:val="ru-RU" w:eastAsia="ru-RU"/>
        </w:rPr>
        <w:t>].</w:t>
      </w:r>
    </w:p>
    <w:p w:rsidR="000136BA" w:rsidRPr="000D4FA1" w:rsidRDefault="000136BA"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Анализ немецкой дуальной системы показывает, что сочетание обучения в колледже и практики на предприятии создаёт предпосылки для адаптации образовательных программ к требованиям экономики, укрепляя связь между образованием и работодателями и улучшая устойчивость учебных моделей [5</w:t>
      </w:r>
      <w:r w:rsidR="007433F3" w:rsidRPr="000D4FA1">
        <w:rPr>
          <w:rFonts w:ascii="Times New Roman" w:eastAsia="Times New Roman" w:hAnsi="Times New Roman" w:cs="Times New Roman"/>
          <w:sz w:val="28"/>
          <w:szCs w:val="28"/>
          <w:lang w:val="ru-RU" w:eastAsia="ru-RU"/>
        </w:rPr>
        <w:t>6</w:t>
      </w:r>
      <w:r w:rsidRPr="000D4FA1">
        <w:rPr>
          <w:rFonts w:ascii="Times New Roman" w:eastAsia="Times New Roman" w:hAnsi="Times New Roman" w:cs="Times New Roman"/>
          <w:sz w:val="28"/>
          <w:szCs w:val="28"/>
          <w:lang w:val="ru-RU" w:eastAsia="ru-RU"/>
        </w:rPr>
        <w:t xml:space="preserve">]. </w:t>
      </w:r>
    </w:p>
    <w:p w:rsidR="006E2083" w:rsidRPr="000D4FA1" w:rsidRDefault="000136BA" w:rsidP="0047249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Во многих западных странах, таких как Канада и Финляндия, государственные и институциональные программы поддержки профессионального развития преподавателей предназначены для регулярного обновления профессиональных компетенций, что повышает способность образовательных организаций адаптироваться к изменениям в образовательной среде и экономике. Анализ зарубежной практики показывает, что структурированные системы профессионального развития, включающие поддержку сообществ учителей и регулярные курсы повышения квалификации, укрепляют устойчивость образовательных учреждений и способствуют инновациям в учебных программах.</w:t>
      </w:r>
    </w:p>
    <w:p w:rsidR="000136BA" w:rsidRPr="000D4FA1" w:rsidRDefault="000136BA" w:rsidP="000136BA">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Авторы показывают, что в Канаде профессиональное развитие преподавателей включает всестороннюю поддержку, сеть профессиональных сообществ и обучение на рабочем месте, что повышает их способности адаптироваться к изменениям в системе образования и п</w:t>
      </w:r>
      <w:r w:rsidR="00AB6B2C" w:rsidRPr="000D4FA1">
        <w:rPr>
          <w:rFonts w:ascii="Times New Roman" w:eastAsia="Times New Roman" w:hAnsi="Times New Roman" w:cs="Times New Roman"/>
          <w:sz w:val="28"/>
          <w:szCs w:val="28"/>
          <w:lang w:val="ru-RU" w:eastAsia="ru-RU"/>
        </w:rPr>
        <w:t>овышает устойчивость институтов</w:t>
      </w:r>
      <w:r w:rsidRPr="000D4FA1">
        <w:rPr>
          <w:rFonts w:ascii="Times New Roman" w:eastAsia="Times New Roman" w:hAnsi="Times New Roman" w:cs="Times New Roman"/>
          <w:sz w:val="28"/>
          <w:szCs w:val="28"/>
          <w:lang w:val="ru-RU" w:eastAsia="ru-RU"/>
        </w:rPr>
        <w:t xml:space="preserve"> [5</w:t>
      </w:r>
      <w:r w:rsidR="007433F3" w:rsidRPr="000D4FA1">
        <w:rPr>
          <w:rFonts w:ascii="Times New Roman" w:eastAsia="Times New Roman" w:hAnsi="Times New Roman" w:cs="Times New Roman"/>
          <w:sz w:val="28"/>
          <w:szCs w:val="28"/>
          <w:lang w:val="ru-RU" w:eastAsia="ru-RU"/>
        </w:rPr>
        <w:t>7</w:t>
      </w:r>
      <w:r w:rsidRPr="000D4FA1">
        <w:rPr>
          <w:rFonts w:ascii="Times New Roman" w:eastAsia="Times New Roman" w:hAnsi="Times New Roman" w:cs="Times New Roman"/>
          <w:sz w:val="28"/>
          <w:szCs w:val="28"/>
          <w:lang w:val="ru-RU" w:eastAsia="ru-RU"/>
        </w:rPr>
        <w:t>].</w:t>
      </w:r>
    </w:p>
    <w:p w:rsidR="00AB6B2C" w:rsidRPr="000D4FA1" w:rsidRDefault="000136BA" w:rsidP="00AB6B2C">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Автор Niemi H. </w:t>
      </w:r>
      <w:r w:rsidR="00A00AD5" w:rsidRPr="000D4FA1">
        <w:rPr>
          <w:rFonts w:ascii="Times New Roman" w:eastAsia="Times New Roman" w:hAnsi="Times New Roman" w:cs="Times New Roman"/>
          <w:sz w:val="28"/>
          <w:szCs w:val="28"/>
          <w:lang w:val="ru-RU" w:eastAsia="ru-RU"/>
        </w:rPr>
        <w:t>а</w:t>
      </w:r>
      <w:r w:rsidRPr="000D4FA1">
        <w:rPr>
          <w:rFonts w:ascii="Times New Roman" w:eastAsia="Times New Roman" w:hAnsi="Times New Roman" w:cs="Times New Roman"/>
          <w:sz w:val="28"/>
          <w:szCs w:val="28"/>
          <w:lang w:val="ru-RU" w:eastAsia="ru-RU"/>
        </w:rPr>
        <w:t xml:space="preserve">нализирует финскую систему непрерывного профессионального развития преподавателей, где развитие компетенций рассматривается как непрерывный процесс и поддерживается институциональными структурами </w:t>
      </w:r>
      <w:r w:rsidR="00AB6B2C" w:rsidRPr="000D4FA1">
        <w:rPr>
          <w:rFonts w:ascii="Times New Roman" w:eastAsia="Times New Roman" w:hAnsi="Times New Roman" w:cs="Times New Roman"/>
          <w:sz w:val="28"/>
          <w:szCs w:val="28"/>
          <w:lang w:val="ru-RU" w:eastAsia="ru-RU"/>
        </w:rPr>
        <w:t>[5</w:t>
      </w:r>
      <w:r w:rsidR="007433F3" w:rsidRPr="000D4FA1">
        <w:rPr>
          <w:rFonts w:ascii="Times New Roman" w:eastAsia="Times New Roman" w:hAnsi="Times New Roman" w:cs="Times New Roman"/>
          <w:sz w:val="28"/>
          <w:szCs w:val="28"/>
          <w:lang w:val="ru-RU" w:eastAsia="ru-RU"/>
        </w:rPr>
        <w:t>8</w:t>
      </w:r>
      <w:r w:rsidR="00AB6B2C" w:rsidRPr="000D4FA1">
        <w:rPr>
          <w:rFonts w:ascii="Times New Roman" w:eastAsia="Times New Roman" w:hAnsi="Times New Roman" w:cs="Times New Roman"/>
          <w:sz w:val="28"/>
          <w:szCs w:val="28"/>
          <w:lang w:val="ru-RU" w:eastAsia="ru-RU"/>
        </w:rPr>
        <w:t>].</w:t>
      </w:r>
    </w:p>
    <w:p w:rsidR="000136BA" w:rsidRPr="000D4FA1" w:rsidRDefault="00AB6B2C" w:rsidP="00AB6B2C">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w:t>
      </w:r>
      <w:r w:rsidR="000136BA" w:rsidRPr="000D4FA1">
        <w:rPr>
          <w:rFonts w:ascii="Times New Roman" w:eastAsia="Times New Roman" w:hAnsi="Times New Roman" w:cs="Times New Roman"/>
          <w:sz w:val="28"/>
          <w:szCs w:val="28"/>
          <w:lang w:val="ru-RU" w:eastAsia="ru-RU"/>
        </w:rPr>
        <w:t>о данным OECD, система профессионального развития преподавателей является краеугольным камнем финской VET</w:t>
      </w:r>
      <w:r w:rsidR="007B767F" w:rsidRPr="000D4FA1">
        <w:rPr>
          <w:rFonts w:ascii="Times New Roman" w:eastAsia="Times New Roman" w:hAnsi="Times New Roman" w:cs="Times New Roman"/>
          <w:sz w:val="28"/>
          <w:szCs w:val="28"/>
          <w:lang w:val="ru-RU" w:eastAsia="ru-RU"/>
        </w:rPr>
        <w:t>–</w:t>
      </w:r>
      <w:r w:rsidR="000136BA" w:rsidRPr="000D4FA1">
        <w:rPr>
          <w:rFonts w:ascii="Times New Roman" w:eastAsia="Times New Roman" w:hAnsi="Times New Roman" w:cs="Times New Roman"/>
          <w:sz w:val="28"/>
          <w:szCs w:val="28"/>
          <w:lang w:val="ru-RU" w:eastAsia="ru-RU"/>
        </w:rPr>
        <w:t>системы: учителя регулярно обновляют свои навыки, участвуют в планировании PD</w:t>
      </w:r>
      <w:r w:rsidR="007B767F" w:rsidRPr="000D4FA1">
        <w:rPr>
          <w:rFonts w:ascii="Times New Roman" w:eastAsia="Times New Roman" w:hAnsi="Times New Roman" w:cs="Times New Roman"/>
          <w:sz w:val="28"/>
          <w:szCs w:val="28"/>
          <w:lang w:val="ru-RU" w:eastAsia="ru-RU"/>
        </w:rPr>
        <w:t>–</w:t>
      </w:r>
      <w:r w:rsidR="000136BA" w:rsidRPr="000D4FA1">
        <w:rPr>
          <w:rFonts w:ascii="Times New Roman" w:eastAsia="Times New Roman" w:hAnsi="Times New Roman" w:cs="Times New Roman"/>
          <w:sz w:val="28"/>
          <w:szCs w:val="28"/>
          <w:lang w:val="ru-RU" w:eastAsia="ru-RU"/>
        </w:rPr>
        <w:t>мероприятий и поддерживают контакты с рынком труда, что укрепляет адаптивность образовательной системы</w:t>
      </w:r>
      <w:r w:rsidRPr="000D4FA1">
        <w:rPr>
          <w:rFonts w:ascii="Times New Roman" w:eastAsia="Times New Roman" w:hAnsi="Times New Roman" w:cs="Times New Roman"/>
          <w:sz w:val="28"/>
          <w:szCs w:val="28"/>
          <w:lang w:val="ru-RU" w:eastAsia="ru-RU"/>
        </w:rPr>
        <w:t xml:space="preserve"> [5</w:t>
      </w:r>
      <w:r w:rsidR="007433F3" w:rsidRPr="000D4FA1">
        <w:rPr>
          <w:rFonts w:ascii="Times New Roman" w:eastAsia="Times New Roman" w:hAnsi="Times New Roman" w:cs="Times New Roman"/>
          <w:sz w:val="28"/>
          <w:szCs w:val="28"/>
          <w:lang w:val="ru-RU" w:eastAsia="ru-RU"/>
        </w:rPr>
        <w:t>9</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Таким образом, зарубежный опыт, ориентированный на ГЧП, инновации в учебных программах и развитие человеческого капитала, является наиболее полезным для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учреждений в Казахстане и других странах СНГ, стремящихся повысить свою устойчивость и адаптивность к изменениям.</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Казахстане действуют несколько государственных программ, направленных на поддержку и развитие системы образования, в том числе </w:t>
      </w:r>
      <w:r w:rsidR="009C3821"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 xml:space="preserve">профессионального образования. </w:t>
      </w:r>
    </w:p>
    <w:p w:rsidR="00107B1B" w:rsidRPr="000D4FA1" w:rsidRDefault="00107B1B" w:rsidP="00107B1B">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t>Программы поддержки в Казахстане</w:t>
      </w:r>
      <w:r w:rsidRPr="000D4FA1">
        <w:rPr>
          <w:rFonts w:ascii="Times New Roman" w:eastAsia="Times New Roman" w:hAnsi="Times New Roman" w:cs="Times New Roman"/>
          <w:sz w:val="28"/>
          <w:szCs w:val="28"/>
          <w:lang w:val="ru-RU" w:eastAsia="ru-RU"/>
        </w:rPr>
        <w:t xml:space="preserve"> (таб.4) включает в себя 4 ключевых государственных программ, направленных на развитие системы образования в стране. Каждая программа имеет свои цели и направления, которые способствуют модернизации технического и профессионального образования и повышению его качества.</w:t>
      </w:r>
    </w:p>
    <w:p w:rsidR="00107B1B" w:rsidRPr="000D4FA1" w:rsidRDefault="00107B1B"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4</w:t>
      </w:r>
      <w:r w:rsidR="00902016"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Государственные программы развити</w:t>
      </w:r>
      <w:r w:rsidR="00EE6001" w:rsidRPr="000D4FA1">
        <w:rPr>
          <w:rFonts w:ascii="Times New Roman" w:eastAsia="Times New Roman" w:hAnsi="Times New Roman" w:cs="Times New Roman"/>
          <w:sz w:val="28"/>
          <w:szCs w:val="28"/>
          <w:lang w:val="ru-RU" w:eastAsia="ru-RU"/>
        </w:rPr>
        <w:t>я</w:t>
      </w:r>
      <w:r w:rsidRPr="000D4FA1">
        <w:rPr>
          <w:rFonts w:ascii="Times New Roman" w:eastAsia="Times New Roman" w:hAnsi="Times New Roman" w:cs="Times New Roman"/>
          <w:sz w:val="28"/>
          <w:szCs w:val="28"/>
          <w:lang w:val="ru-RU" w:eastAsia="ru-RU"/>
        </w:rPr>
        <w:t xml:space="preserve"> и поддержки системы образования в Казахстане </w:t>
      </w:r>
    </w:p>
    <w:tbl>
      <w:tblPr>
        <w:tblStyle w:val="af4"/>
        <w:tblW w:w="9747" w:type="dxa"/>
        <w:tblLook w:val="04A0"/>
      </w:tblPr>
      <w:tblGrid>
        <w:gridCol w:w="1955"/>
        <w:gridCol w:w="4251"/>
        <w:gridCol w:w="3541"/>
      </w:tblGrid>
      <w:tr w:rsidR="006E2083" w:rsidRPr="000D4FA1" w:rsidTr="00177575">
        <w:tc>
          <w:tcPr>
            <w:tcW w:w="1955"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Государственная программа</w:t>
            </w:r>
          </w:p>
        </w:tc>
        <w:tc>
          <w:tcPr>
            <w:tcW w:w="4251"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Основные цели</w:t>
            </w:r>
          </w:p>
        </w:tc>
        <w:tc>
          <w:tcPr>
            <w:tcW w:w="3541"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Ключевые направления</w:t>
            </w:r>
          </w:p>
        </w:tc>
      </w:tr>
      <w:tr w:rsidR="00177575" w:rsidRPr="000D4FA1" w:rsidTr="00177575">
        <w:tc>
          <w:tcPr>
            <w:tcW w:w="1955" w:type="dxa"/>
            <w:vAlign w:val="center"/>
          </w:tcPr>
          <w:p w:rsidR="00177575" w:rsidRPr="000D4FA1" w:rsidRDefault="00177575" w:rsidP="00B80F8B">
            <w:pPr>
              <w:spacing w:after="0" w:line="240" w:lineRule="auto"/>
              <w:jc w:val="center"/>
              <w:rPr>
                <w:rFonts w:ascii="Times New Roman" w:eastAsia="Times New Roman" w:hAnsi="Times New Roman" w:cs="Times New Roman"/>
                <w:bCs/>
                <w:i/>
                <w:sz w:val="24"/>
                <w:szCs w:val="24"/>
                <w:lang w:val="ru-RU" w:eastAsia="ru-RU"/>
              </w:rPr>
            </w:pPr>
            <w:r w:rsidRPr="000D4FA1">
              <w:rPr>
                <w:rFonts w:ascii="Times New Roman" w:eastAsia="Times New Roman" w:hAnsi="Times New Roman" w:cs="Times New Roman"/>
                <w:bCs/>
                <w:i/>
                <w:sz w:val="24"/>
                <w:szCs w:val="24"/>
                <w:lang w:val="ru-RU" w:eastAsia="ru-RU"/>
              </w:rPr>
              <w:t>1</w:t>
            </w:r>
          </w:p>
        </w:tc>
        <w:tc>
          <w:tcPr>
            <w:tcW w:w="4251" w:type="dxa"/>
            <w:vAlign w:val="center"/>
          </w:tcPr>
          <w:p w:rsidR="00177575" w:rsidRPr="000D4FA1" w:rsidRDefault="00177575" w:rsidP="00B80F8B">
            <w:pPr>
              <w:spacing w:after="0" w:line="240" w:lineRule="auto"/>
              <w:jc w:val="center"/>
              <w:rPr>
                <w:rFonts w:ascii="Times New Roman" w:eastAsia="Times New Roman" w:hAnsi="Times New Roman" w:cs="Times New Roman"/>
                <w:bCs/>
                <w:i/>
                <w:sz w:val="24"/>
                <w:szCs w:val="24"/>
                <w:lang w:val="ru-RU" w:eastAsia="ru-RU"/>
              </w:rPr>
            </w:pPr>
            <w:r w:rsidRPr="000D4FA1">
              <w:rPr>
                <w:rFonts w:ascii="Times New Roman" w:eastAsia="Times New Roman" w:hAnsi="Times New Roman" w:cs="Times New Roman"/>
                <w:bCs/>
                <w:i/>
                <w:sz w:val="24"/>
                <w:szCs w:val="24"/>
                <w:lang w:val="ru-RU" w:eastAsia="ru-RU"/>
              </w:rPr>
              <w:t>2</w:t>
            </w:r>
          </w:p>
        </w:tc>
        <w:tc>
          <w:tcPr>
            <w:tcW w:w="3541" w:type="dxa"/>
            <w:vAlign w:val="center"/>
          </w:tcPr>
          <w:p w:rsidR="00177575" w:rsidRPr="000D4FA1" w:rsidRDefault="00177575" w:rsidP="00B80F8B">
            <w:pPr>
              <w:spacing w:after="0" w:line="240" w:lineRule="auto"/>
              <w:jc w:val="center"/>
              <w:rPr>
                <w:rFonts w:ascii="Times New Roman" w:eastAsia="Times New Roman" w:hAnsi="Times New Roman" w:cs="Times New Roman"/>
                <w:bCs/>
                <w:i/>
                <w:sz w:val="24"/>
                <w:szCs w:val="24"/>
                <w:lang w:val="ru-RU" w:eastAsia="ru-RU"/>
              </w:rPr>
            </w:pPr>
            <w:r w:rsidRPr="000D4FA1">
              <w:rPr>
                <w:rFonts w:ascii="Times New Roman" w:eastAsia="Times New Roman" w:hAnsi="Times New Roman" w:cs="Times New Roman"/>
                <w:bCs/>
                <w:i/>
                <w:sz w:val="24"/>
                <w:szCs w:val="24"/>
                <w:lang w:val="ru-RU" w:eastAsia="ru-RU"/>
              </w:rPr>
              <w:t>3</w:t>
            </w:r>
          </w:p>
        </w:tc>
      </w:tr>
      <w:tr w:rsidR="006E2083" w:rsidRPr="0036668B" w:rsidTr="00177575">
        <w:trPr>
          <w:trHeight w:val="1140"/>
        </w:trPr>
        <w:tc>
          <w:tcPr>
            <w:tcW w:w="1955" w:type="dxa"/>
            <w:vAlign w:val="center"/>
          </w:tcPr>
          <w:p w:rsidR="006E2083" w:rsidRPr="000D4FA1" w:rsidRDefault="00B80F8B"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w:t>
            </w:r>
            <w:r w:rsidR="006E2083" w:rsidRPr="000D4FA1">
              <w:rPr>
                <w:rFonts w:ascii="Times New Roman" w:eastAsia="Times New Roman" w:hAnsi="Times New Roman" w:cs="Times New Roman"/>
                <w:sz w:val="24"/>
                <w:szCs w:val="24"/>
                <w:lang w:val="ru-RU" w:eastAsia="ru-RU"/>
              </w:rPr>
              <w:t>азвития образования и науки на 2020–2025 годы</w:t>
            </w:r>
          </w:p>
        </w:tc>
        <w:tc>
          <w:tcPr>
            <w:tcW w:w="425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Модернизация системы образования, улучшение качества и доступности образования, внедрение новых технологий.</w:t>
            </w:r>
          </w:p>
        </w:tc>
        <w:tc>
          <w:tcPr>
            <w:tcW w:w="354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Повышение качества образования, доступность образования, цифровизация, развитие кадрового потенциала.</w:t>
            </w:r>
          </w:p>
        </w:tc>
      </w:tr>
      <w:tr w:rsidR="006E2083" w:rsidRPr="0036668B" w:rsidTr="00177575">
        <w:tc>
          <w:tcPr>
            <w:tcW w:w="1955"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«Цифровой Казахстан»</w:t>
            </w:r>
          </w:p>
        </w:tc>
        <w:tc>
          <w:tcPr>
            <w:tcW w:w="425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Цифровизация образовательных учреждений, внедрение цифровых технологий и развитие цифровой грамотности.</w:t>
            </w:r>
          </w:p>
        </w:tc>
        <w:tc>
          <w:tcPr>
            <w:tcW w:w="354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Создание условий для онлайн</w:t>
            </w:r>
            <w:r w:rsidR="007B767F" w:rsidRPr="000D4FA1">
              <w:rPr>
                <w:rFonts w:ascii="Times New Roman" w:eastAsia="Times New Roman" w:hAnsi="Times New Roman" w:cs="Times New Roman"/>
                <w:sz w:val="24"/>
                <w:szCs w:val="24"/>
                <w:lang w:val="ru-RU" w:eastAsia="ru-RU"/>
              </w:rPr>
              <w:t>–</w:t>
            </w:r>
            <w:r w:rsidRPr="000D4FA1">
              <w:rPr>
                <w:rFonts w:ascii="Times New Roman" w:eastAsia="Times New Roman" w:hAnsi="Times New Roman" w:cs="Times New Roman"/>
                <w:sz w:val="24"/>
                <w:szCs w:val="24"/>
                <w:lang w:val="ru-RU" w:eastAsia="ru-RU"/>
              </w:rPr>
              <w:t>обучения, цифровизация учебных программ.</w:t>
            </w:r>
          </w:p>
        </w:tc>
      </w:tr>
      <w:tr w:rsidR="006E2083" w:rsidRPr="0036668B" w:rsidTr="00177575">
        <w:tc>
          <w:tcPr>
            <w:tcW w:w="1955"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Программа «Еңбек» (2017–2021 гг.)</w:t>
            </w:r>
          </w:p>
        </w:tc>
        <w:tc>
          <w:tcPr>
            <w:tcW w:w="425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Обучение и переобучение граждан для повышения конкурентоспособности на рынке труда, развитие предпринимательских навыков.</w:t>
            </w:r>
          </w:p>
        </w:tc>
        <w:tc>
          <w:tcPr>
            <w:tcW w:w="3541" w:type="dxa"/>
            <w:vAlign w:val="center"/>
          </w:tcPr>
          <w:p w:rsidR="006E2083" w:rsidRPr="000D4FA1" w:rsidRDefault="006E2083"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Гранты на обучение и переобучение, развитие предпринимательства.</w:t>
            </w:r>
          </w:p>
        </w:tc>
      </w:tr>
      <w:tr w:rsidR="00AB6B2C" w:rsidRPr="0036668B" w:rsidTr="00177575">
        <w:tc>
          <w:tcPr>
            <w:tcW w:w="1955" w:type="dxa"/>
            <w:vAlign w:val="center"/>
          </w:tcPr>
          <w:p w:rsidR="00AB6B2C" w:rsidRPr="000D4FA1" w:rsidRDefault="00AB6B2C"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Программа «Жас маман»</w:t>
            </w:r>
          </w:p>
        </w:tc>
        <w:tc>
          <w:tcPr>
            <w:tcW w:w="4251" w:type="dxa"/>
            <w:vAlign w:val="center"/>
          </w:tcPr>
          <w:p w:rsidR="00AB6B2C" w:rsidRPr="000D4FA1" w:rsidRDefault="00AB6B2C"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Увеличение качества подготовки рабочих кадров и укрепление связи системы ТиПО с реальным сектором экономики.</w:t>
            </w:r>
          </w:p>
        </w:tc>
        <w:tc>
          <w:tcPr>
            <w:tcW w:w="3541" w:type="dxa"/>
            <w:vAlign w:val="center"/>
          </w:tcPr>
          <w:p w:rsidR="00AB6B2C" w:rsidRPr="000D4FA1" w:rsidRDefault="00AB6B2C" w:rsidP="00AB6B2C">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Развитие дуального обучения; вовлечение предприятий в образовательный процесс; повышение квалификации преподавателей; стажировки для студентов на производствах; адаптация образовательных программ к требованиям рынка труда.</w:t>
            </w:r>
          </w:p>
          <w:p w:rsidR="00AB6B2C" w:rsidRPr="000D4FA1" w:rsidRDefault="00AB6B2C" w:rsidP="00B80F8B">
            <w:pPr>
              <w:spacing w:after="0" w:line="240" w:lineRule="auto"/>
              <w:rPr>
                <w:rFonts w:ascii="Times New Roman" w:eastAsia="Times New Roman" w:hAnsi="Times New Roman" w:cs="Times New Roman"/>
                <w:sz w:val="24"/>
                <w:szCs w:val="24"/>
                <w:lang w:val="ru-RU" w:eastAsia="ru-RU"/>
              </w:rPr>
            </w:pPr>
          </w:p>
        </w:tc>
      </w:tr>
      <w:tr w:rsidR="006E2083" w:rsidRPr="0036668B" w:rsidTr="00177575">
        <w:tc>
          <w:tcPr>
            <w:tcW w:w="9747" w:type="dxa"/>
            <w:gridSpan w:val="3"/>
            <w:vAlign w:val="center"/>
          </w:tcPr>
          <w:p w:rsidR="006E2083" w:rsidRPr="000D4FA1" w:rsidRDefault="00902016" w:rsidP="00B8787D">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Примечание</w:t>
            </w: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Pr="000D4FA1">
              <w:rPr>
                <w:rFonts w:ascii="Times New Roman" w:eastAsia="Times New Roman" w:hAnsi="Times New Roman" w:cs="Times New Roman"/>
                <w:bCs/>
                <w:sz w:val="24"/>
                <w:szCs w:val="24"/>
                <w:lang w:val="ru-RU" w:eastAsia="ru-RU"/>
              </w:rPr>
              <w:t>о</w:t>
            </w:r>
            <w:r w:rsidR="006E2083" w:rsidRPr="000D4FA1">
              <w:rPr>
                <w:rFonts w:ascii="Times New Roman" w:eastAsia="Times New Roman" w:hAnsi="Times New Roman" w:cs="Times New Roman"/>
                <w:bCs/>
                <w:sz w:val="24"/>
                <w:szCs w:val="24"/>
                <w:lang w:val="ru-RU" w:eastAsia="ru-RU"/>
              </w:rPr>
              <w:t xml:space="preserve"> автором на основе </w:t>
            </w:r>
            <w:r w:rsidR="0004140E" w:rsidRPr="000D4FA1">
              <w:rPr>
                <w:rFonts w:ascii="Times New Roman" w:eastAsia="Times New Roman" w:hAnsi="Times New Roman" w:cs="Times New Roman"/>
                <w:bCs/>
                <w:sz w:val="24"/>
                <w:szCs w:val="24"/>
                <w:lang w:val="ru-RU" w:eastAsia="ru-RU"/>
              </w:rPr>
              <w:t>источника</w:t>
            </w:r>
            <w:r w:rsidR="00472493" w:rsidRPr="000D4FA1">
              <w:rPr>
                <w:rFonts w:ascii="Times New Roman" w:eastAsia="Times New Roman" w:hAnsi="Times New Roman" w:cs="Times New Roman"/>
                <w:bCs/>
                <w:sz w:val="24"/>
                <w:szCs w:val="24"/>
                <w:lang w:val="ru-RU" w:eastAsia="ru-RU"/>
              </w:rPr>
              <w:t xml:space="preserve"> </w:t>
            </w:r>
            <w:r w:rsidR="00B8787D" w:rsidRPr="000D4FA1">
              <w:rPr>
                <w:rFonts w:ascii="Times New Roman" w:eastAsia="Times New Roman" w:hAnsi="Times New Roman" w:cs="Times New Roman"/>
                <w:sz w:val="24"/>
                <w:szCs w:val="24"/>
                <w:lang w:val="ru-RU" w:eastAsia="ru-RU"/>
              </w:rPr>
              <w:t>[</w:t>
            </w:r>
            <w:r w:rsidR="007433F3" w:rsidRPr="000D4FA1">
              <w:rPr>
                <w:rFonts w:ascii="Times New Roman" w:eastAsia="Times New Roman" w:hAnsi="Times New Roman" w:cs="Times New Roman"/>
                <w:sz w:val="24"/>
                <w:szCs w:val="24"/>
                <w:lang w:val="ru-RU" w:eastAsia="ru-RU"/>
              </w:rPr>
              <w:t>60</w:t>
            </w:r>
            <w:r w:rsidR="00B8787D" w:rsidRPr="000D4FA1">
              <w:rPr>
                <w:rFonts w:ascii="Times New Roman" w:eastAsia="Times New Roman" w:hAnsi="Times New Roman" w:cs="Times New Roman"/>
                <w:sz w:val="24"/>
                <w:szCs w:val="24"/>
                <w:lang w:val="ru-RU" w:eastAsia="ru-RU"/>
              </w:rPr>
              <w:t>]</w:t>
            </w:r>
          </w:p>
        </w:tc>
      </w:tr>
    </w:tbl>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Программа </w:t>
      </w:r>
      <w:r w:rsidRPr="000D4FA1">
        <w:rPr>
          <w:rFonts w:ascii="Times New Roman" w:eastAsia="Times New Roman" w:hAnsi="Times New Roman" w:cs="Times New Roman"/>
          <w:bCs/>
          <w:sz w:val="28"/>
          <w:szCs w:val="28"/>
          <w:lang w:val="ru-RU" w:eastAsia="ru-RU"/>
        </w:rPr>
        <w:t>развития образования и науки на 2020–2025 годы</w:t>
      </w:r>
      <w:r w:rsidRPr="000D4FA1">
        <w:rPr>
          <w:rFonts w:ascii="Times New Roman" w:eastAsia="Times New Roman" w:hAnsi="Times New Roman" w:cs="Times New Roman"/>
          <w:sz w:val="28"/>
          <w:szCs w:val="28"/>
          <w:lang w:val="ru-RU" w:eastAsia="ru-RU"/>
        </w:rPr>
        <w:t xml:space="preserve"> </w:t>
      </w:r>
      <w:r w:rsidR="00594A86" w:rsidRPr="000D4FA1">
        <w:rPr>
          <w:rFonts w:ascii="Times New Roman" w:eastAsia="Times New Roman" w:hAnsi="Times New Roman" w:cs="Times New Roman"/>
          <w:sz w:val="28"/>
          <w:szCs w:val="28"/>
          <w:lang w:val="ru-RU" w:eastAsia="ru-RU"/>
        </w:rPr>
        <w:t xml:space="preserve">была </w:t>
      </w:r>
      <w:r w:rsidRPr="000D4FA1">
        <w:rPr>
          <w:rFonts w:ascii="Times New Roman" w:eastAsia="Times New Roman" w:hAnsi="Times New Roman" w:cs="Times New Roman"/>
          <w:sz w:val="28"/>
          <w:szCs w:val="28"/>
          <w:lang w:val="ru-RU" w:eastAsia="ru-RU"/>
        </w:rPr>
        <w:t xml:space="preserve">ориентирована на улучшение качества и доступности образования, цифровизацию образовательных процессов и развитие кадрового потенциала. </w:t>
      </w:r>
      <w:r w:rsidRPr="000D4FA1">
        <w:rPr>
          <w:rFonts w:ascii="Times New Roman" w:eastAsia="Times New Roman" w:hAnsi="Times New Roman" w:cs="Times New Roman"/>
          <w:bCs/>
          <w:sz w:val="28"/>
          <w:szCs w:val="28"/>
          <w:lang w:val="ru-RU" w:eastAsia="ru-RU"/>
        </w:rPr>
        <w:t>Программа «Цифровой Казахстан»</w:t>
      </w:r>
      <w:r w:rsidRPr="000D4FA1">
        <w:rPr>
          <w:rFonts w:ascii="Times New Roman" w:eastAsia="Times New Roman" w:hAnsi="Times New Roman" w:cs="Times New Roman"/>
          <w:sz w:val="28"/>
          <w:szCs w:val="28"/>
          <w:lang w:val="ru-RU" w:eastAsia="ru-RU"/>
        </w:rPr>
        <w:t xml:space="preserve"> нацелена на цифровизацию учебных заведений, создавая условия для дистанционного и онлайн</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обучения. </w:t>
      </w:r>
      <w:r w:rsidRPr="000D4FA1">
        <w:rPr>
          <w:rFonts w:ascii="Times New Roman" w:eastAsia="Times New Roman" w:hAnsi="Times New Roman" w:cs="Times New Roman"/>
          <w:bCs/>
          <w:sz w:val="28"/>
          <w:szCs w:val="28"/>
          <w:lang w:val="ru-RU" w:eastAsia="ru-RU"/>
        </w:rPr>
        <w:t>Программа «Еңбек»</w:t>
      </w:r>
      <w:r w:rsidRPr="000D4FA1">
        <w:rPr>
          <w:rFonts w:ascii="Times New Roman" w:eastAsia="Times New Roman" w:hAnsi="Times New Roman" w:cs="Times New Roman"/>
          <w:sz w:val="28"/>
          <w:szCs w:val="28"/>
          <w:lang w:val="ru-RU" w:eastAsia="ru-RU"/>
        </w:rPr>
        <w:t xml:space="preserve"> помогает обучению и переобучению граждан, предлагая гранты на профессиональные курсы, что повышает их конкурентоспособность на рынке труда. </w:t>
      </w:r>
      <w:r w:rsidRPr="000D4FA1">
        <w:rPr>
          <w:rFonts w:ascii="Times New Roman" w:eastAsia="Times New Roman" w:hAnsi="Times New Roman" w:cs="Times New Roman"/>
          <w:bCs/>
          <w:sz w:val="28"/>
          <w:szCs w:val="28"/>
          <w:lang w:val="ru-RU" w:eastAsia="ru-RU"/>
        </w:rPr>
        <w:t>Программа «Жас маман»</w:t>
      </w:r>
      <w:r w:rsidRPr="000D4FA1">
        <w:rPr>
          <w:rFonts w:ascii="Times New Roman" w:eastAsia="Times New Roman" w:hAnsi="Times New Roman" w:cs="Times New Roman"/>
          <w:sz w:val="28"/>
          <w:szCs w:val="28"/>
          <w:lang w:val="ru-RU" w:eastAsia="ru-RU"/>
        </w:rPr>
        <w:t xml:space="preserve"> модернизирует материально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техническую базу колледжей и вузов для подготовки кадров, соответствующих требованиям рынка.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t>Программа дуального обучения</w:t>
      </w:r>
      <w:r w:rsidRPr="000D4FA1">
        <w:rPr>
          <w:rFonts w:ascii="Times New Roman" w:eastAsia="Times New Roman" w:hAnsi="Times New Roman" w:cs="Times New Roman"/>
          <w:sz w:val="28"/>
          <w:szCs w:val="28"/>
          <w:lang w:val="ru-RU" w:eastAsia="ru-RU"/>
        </w:rPr>
        <w:t xml:space="preserve"> способствует сочетанию теоретического обучения с практикой на предприятиях, что увеличивает трудоустройство выпускников и их профессиональные навыки.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Программы поддержки помогают улучшить качество и доступность </w:t>
      </w:r>
      <w:r w:rsidR="009C3821"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профессионального образования, способствуют развитию кадрового потенциала, а также укрепляют связь между образовательными учреждениями и рынком труда в Казахстане.</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 xml:space="preserve">Дуальная система образования оказывает значительное положительное влияние на подготовку кадров и устойчивость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учреждений. Данный подход сочетает в себе теоретическое обучение в учебных заведениях с практическими навыками, которые студенты получают, работая на предприятиях. Вот ключевые аспекты влияния дуальной системы образования:</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Дуальная система образования обеспечивает практическую направленность обучения. Студенты получают возможность применять теоретические знания в реальных рабочих условиях, что делает их подготовку более эффективной и целенаправленной. Особенно важно для таких отраслей, как инженерия, медицина и технические специальности, где практические навыки играют ключевую роль.</w:t>
      </w:r>
    </w:p>
    <w:p w:rsidR="002F1BD7" w:rsidRPr="000D4FA1" w:rsidRDefault="002F1BD7" w:rsidP="0050346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Одним из ключевых направлений развития системы ТиПО является расширение сотрудничества с бизнесом через внедрение дуального обучения, создание попечительских и индустриальных советов и предоставление академической самостоятельности колледжам для разработки обновленных образовательных программ с участием работодателей, однако сохраняется проблема недостаточной интеграции с реальным сектором экономики, что сдерживает потенциал ТиПО как драйвера подготовки квалифицированных кадров</w:t>
      </w:r>
      <w:r w:rsidR="0050346E" w:rsidRPr="000D4FA1">
        <w:rPr>
          <w:rFonts w:ascii="Times New Roman" w:eastAsia="Times New Roman" w:hAnsi="Times New Roman" w:cs="Times New Roman"/>
          <w:sz w:val="28"/>
          <w:szCs w:val="28"/>
          <w:lang w:val="ru-RU" w:eastAsia="ru-RU"/>
        </w:rPr>
        <w:t xml:space="preserve"> [</w:t>
      </w:r>
      <w:r w:rsidR="00594A86" w:rsidRPr="000D4FA1">
        <w:rPr>
          <w:rFonts w:ascii="Times New Roman" w:eastAsia="Times New Roman" w:hAnsi="Times New Roman" w:cs="Times New Roman"/>
          <w:sz w:val="28"/>
          <w:szCs w:val="28"/>
          <w:lang w:val="ru-RU" w:eastAsia="ru-RU"/>
        </w:rPr>
        <w:t>2, п.3</w:t>
      </w:r>
      <w:r w:rsidR="0050346E" w:rsidRPr="000D4FA1">
        <w:rPr>
          <w:rFonts w:ascii="Times New Roman" w:eastAsia="Times New Roman" w:hAnsi="Times New Roman" w:cs="Times New Roman"/>
          <w:sz w:val="28"/>
          <w:szCs w:val="28"/>
          <w:lang w:val="ru-RU" w:eastAsia="ru-RU"/>
        </w:rPr>
        <w:t>]</w:t>
      </w:r>
      <w:r w:rsidR="00594A86" w:rsidRPr="000D4FA1">
        <w:rPr>
          <w:rFonts w:ascii="Times New Roman" w:eastAsia="Times New Roman" w:hAnsi="Times New Roman" w:cs="Times New Roman"/>
          <w:sz w:val="28"/>
          <w:szCs w:val="28"/>
          <w:lang w:val="ru-RU" w:eastAsia="ru-RU"/>
        </w:rPr>
        <w:t>.</w:t>
      </w:r>
    </w:p>
    <w:p w:rsidR="00B8787D" w:rsidRPr="000D4FA1" w:rsidRDefault="00B8787D"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Международный обзор подтверждает, что модель дуального обучения является предметом активного анализа с точки зрения её адаптации в различных экономических и образовательных контекстах </w:t>
      </w:r>
      <w:r w:rsidR="00472493"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6</w:t>
      </w:r>
      <w:r w:rsidR="007433F3" w:rsidRPr="000D4FA1">
        <w:rPr>
          <w:rFonts w:ascii="Times New Roman" w:eastAsia="Times New Roman" w:hAnsi="Times New Roman" w:cs="Times New Roman"/>
          <w:sz w:val="28"/>
          <w:szCs w:val="28"/>
          <w:lang w:val="ru-RU" w:eastAsia="ru-RU"/>
        </w:rPr>
        <w:t>1</w:t>
      </w:r>
      <w:r w:rsidRPr="000D4FA1">
        <w:rPr>
          <w:rFonts w:ascii="Times New Roman" w:eastAsia="Times New Roman" w:hAnsi="Times New Roman" w:cs="Times New Roman"/>
          <w:sz w:val="28"/>
          <w:szCs w:val="28"/>
          <w:lang w:val="ru-RU" w:eastAsia="ru-RU"/>
        </w:rPr>
        <w:t>,6</w:t>
      </w:r>
      <w:r w:rsidR="007433F3" w:rsidRPr="000D4FA1">
        <w:rPr>
          <w:rFonts w:ascii="Times New Roman" w:eastAsia="Times New Roman" w:hAnsi="Times New Roman" w:cs="Times New Roman"/>
          <w:sz w:val="28"/>
          <w:szCs w:val="28"/>
          <w:lang w:val="ru-RU" w:eastAsia="ru-RU"/>
        </w:rPr>
        <w:t>2</w:t>
      </w:r>
      <w:r w:rsidR="00472493" w:rsidRPr="000D4FA1">
        <w:rPr>
          <w:rFonts w:ascii="Times New Roman" w:eastAsia="Times New Roman" w:hAnsi="Times New Roman" w:cs="Times New Roman"/>
          <w:sz w:val="28"/>
          <w:szCs w:val="28"/>
          <w:lang w:val="ru-RU" w:eastAsia="ru-RU"/>
        </w:rPr>
        <w:t xml:space="preserve">].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Дуальная система способствует гибкому и своевременному обновлению учебных программ в соответствии с запросами работодателей. Компании, участвующие в образовательных программах, помогают учебным заведениям корректировать содержание курсов для соответствия текущим требованиям рынка труда, что снижает разрыв между образовательными стандартами и реальными профессиональными навыками, необходимыми для работы.</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Студенты, участвующие в дуальной системе, более мотивированы к обучению, так как видят конкретные результаты своих усилий в реальной рабочей среде. Преподаватели также получают возможность обновлять свои знания и навыки, интегрируя современные технологии и процессы, с которыми сталкиваются предприятия и это повышает общий уровень преподавания и обучения.</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Казахстане дуальная система образования начала активно развиваться в последние десятилетия благодаря сотрудничеству между учебными заведениями и работодателями, а также государственной поддержке. </w:t>
      </w:r>
    </w:p>
    <w:p w:rsidR="006E2083" w:rsidRPr="000D4FA1" w:rsidRDefault="006E2083" w:rsidP="00D11882">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Программа «Жас маман» была запущена в 2019 году как часть более широкой программы по модернизации </w:t>
      </w:r>
      <w:r w:rsidR="009C3821"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 xml:space="preserve">профессионального образования. Цель программы – обновление учебной базы 180 колледжей и 20 вузов, в том числе для внедрения дуальной системы обучения. В рамках этой программы </w:t>
      </w:r>
      <w:r w:rsidR="009C3821" w:rsidRPr="000D4FA1">
        <w:rPr>
          <w:rFonts w:ascii="Times New Roman" w:eastAsia="Times New Roman" w:hAnsi="Times New Roman" w:cs="Times New Roman"/>
          <w:sz w:val="28"/>
          <w:szCs w:val="28"/>
          <w:lang w:val="ru-RU" w:eastAsia="ru-RU"/>
        </w:rPr>
        <w:t xml:space="preserve">технические и </w:t>
      </w:r>
      <w:r w:rsidRPr="000D4FA1">
        <w:rPr>
          <w:rFonts w:ascii="Times New Roman" w:eastAsia="Times New Roman" w:hAnsi="Times New Roman" w:cs="Times New Roman"/>
          <w:sz w:val="28"/>
          <w:szCs w:val="28"/>
          <w:lang w:val="ru-RU" w:eastAsia="ru-RU"/>
        </w:rPr>
        <w:t xml:space="preserve">профессиональные образовательные учреждения </w:t>
      </w:r>
      <w:r w:rsidRPr="000D4FA1">
        <w:rPr>
          <w:rFonts w:ascii="Times New Roman" w:eastAsia="Times New Roman" w:hAnsi="Times New Roman" w:cs="Times New Roman"/>
          <w:sz w:val="28"/>
          <w:szCs w:val="28"/>
          <w:lang w:val="ru-RU" w:eastAsia="ru-RU"/>
        </w:rPr>
        <w:lastRenderedPageBreak/>
        <w:t>сотрудничают с ведущими предприятиями, чтобы студенты могли одновременно учиться и получать практический опыт на рабочем месте</w:t>
      </w:r>
      <w:r w:rsidR="00D11882" w:rsidRPr="000D4FA1">
        <w:rPr>
          <w:rFonts w:ascii="Times New Roman" w:eastAsia="Times New Roman" w:hAnsi="Times New Roman" w:cs="Times New Roman"/>
          <w:sz w:val="28"/>
          <w:szCs w:val="28"/>
          <w:lang w:val="ru-RU" w:eastAsia="ru-RU"/>
        </w:rPr>
        <w:t xml:space="preserve"> [</w:t>
      </w:r>
      <w:r w:rsidR="00B8787D" w:rsidRPr="000D4FA1">
        <w:rPr>
          <w:rFonts w:ascii="Times New Roman" w:eastAsia="Times New Roman" w:hAnsi="Times New Roman" w:cs="Times New Roman"/>
          <w:sz w:val="28"/>
          <w:szCs w:val="28"/>
          <w:lang w:val="ru-RU" w:eastAsia="ru-RU"/>
        </w:rPr>
        <w:t>6</w:t>
      </w:r>
      <w:r w:rsidR="007433F3" w:rsidRPr="000D4FA1">
        <w:rPr>
          <w:rFonts w:ascii="Times New Roman" w:eastAsia="Times New Roman" w:hAnsi="Times New Roman" w:cs="Times New Roman"/>
          <w:sz w:val="28"/>
          <w:szCs w:val="28"/>
          <w:lang w:val="ru-RU" w:eastAsia="ru-RU"/>
        </w:rPr>
        <w:t>3</w:t>
      </w:r>
      <w:r w:rsidR="00D11882"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Примером организации, внедряющей дуальную систему в медицинских колледжах, является </w:t>
      </w:r>
      <w:r w:rsidRPr="000D4FA1">
        <w:rPr>
          <w:rFonts w:ascii="Times New Roman" w:eastAsia="Times New Roman" w:hAnsi="Times New Roman" w:cs="Times New Roman"/>
          <w:bCs/>
          <w:sz w:val="28"/>
          <w:szCs w:val="28"/>
          <w:lang w:val="ru-RU" w:eastAsia="ru-RU"/>
        </w:rPr>
        <w:t>Шымкентский высший медицинский колледж</w:t>
      </w:r>
      <w:r w:rsidRPr="000D4FA1">
        <w:rPr>
          <w:rFonts w:ascii="Times New Roman" w:eastAsia="Times New Roman" w:hAnsi="Times New Roman" w:cs="Times New Roman"/>
          <w:sz w:val="28"/>
          <w:szCs w:val="28"/>
          <w:lang w:val="ru-RU" w:eastAsia="ru-RU"/>
        </w:rPr>
        <w:t>. В колледже студенты</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медики проходят теоретическое обучение в учебных аудиториях, а практическую подготовку – в местных клиниках </w:t>
      </w:r>
      <w:r w:rsidR="00E20261"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больницах</w:t>
      </w:r>
      <w:r w:rsidR="00E20261" w:rsidRPr="000D4FA1">
        <w:rPr>
          <w:rFonts w:ascii="Times New Roman" w:eastAsia="Times New Roman" w:hAnsi="Times New Roman" w:cs="Times New Roman"/>
          <w:sz w:val="28"/>
          <w:szCs w:val="28"/>
          <w:lang w:val="ru-RU" w:eastAsia="ru-RU"/>
        </w:rPr>
        <w:t xml:space="preserve"> и поликлиниках)</w:t>
      </w:r>
      <w:r w:rsidRPr="000D4FA1">
        <w:rPr>
          <w:rFonts w:ascii="Times New Roman" w:eastAsia="Times New Roman" w:hAnsi="Times New Roman" w:cs="Times New Roman"/>
          <w:sz w:val="28"/>
          <w:szCs w:val="28"/>
          <w:lang w:val="ru-RU" w:eastAsia="ru-RU"/>
        </w:rPr>
        <w:t xml:space="preserve"> </w:t>
      </w:r>
      <w:r w:rsidR="00666945" w:rsidRPr="000D4FA1">
        <w:rPr>
          <w:rFonts w:ascii="Times New Roman" w:eastAsia="Times New Roman" w:hAnsi="Times New Roman" w:cs="Times New Roman"/>
          <w:sz w:val="28"/>
          <w:szCs w:val="28"/>
          <w:lang w:val="ru-RU" w:eastAsia="ru-RU"/>
        </w:rPr>
        <w:t xml:space="preserve">города </w:t>
      </w:r>
      <w:r w:rsidRPr="000D4FA1">
        <w:rPr>
          <w:rFonts w:ascii="Times New Roman" w:eastAsia="Times New Roman" w:hAnsi="Times New Roman" w:cs="Times New Roman"/>
          <w:sz w:val="28"/>
          <w:szCs w:val="28"/>
          <w:lang w:val="ru-RU" w:eastAsia="ru-RU"/>
        </w:rPr>
        <w:t>Шымкент. Такое сотрудничество с медицинскими учреждениями позволяет студентам не только изучать теоретические аспекты медицины, но и применять знания в реальной клинической практике, что значительно повышает их профессиональные навыки и уровень подготовки к будущей карьере.</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Во многих регионах Казахстана дуальная система активно внедряется в технические колледжи, которые готовят специалистов для промышленных предприятий. Например, в Карагандинском индустриальном колледже студенты проходят теоретическую подготовку в учебных аудиториях, а практическое обучение на таких предприятиях, как АО «Арселор Миттал Темиртау». Такой подход позволяет студентам изучать современные технологии на практике, а предприятиям – готовить квалифицированные кадры, уже адаптированные к специфике их работы [</w:t>
      </w:r>
      <w:r w:rsidR="00B8787D" w:rsidRPr="000D4FA1">
        <w:rPr>
          <w:rFonts w:ascii="Times New Roman" w:eastAsia="Times New Roman" w:hAnsi="Times New Roman" w:cs="Times New Roman"/>
          <w:sz w:val="28"/>
          <w:szCs w:val="28"/>
          <w:lang w:val="ru-RU" w:eastAsia="ru-RU"/>
        </w:rPr>
        <w:t>63</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Дуальная система образования активно применяется в аграрных колледжах Казахстана. Например, в Алматинской области аграрные колледжи сотрудничают с фермерскими хозяйствами и аграрными предприятиями. Студенты изучают агрономию, животноводство и другие смежные дисциплины, одновременно работая на реальных сельскохозяйственных объектах. Помогает студентам не только освоить теоретические основы, но и получить важные практические навыки, что увеличивает их шансы на трудоустройство после окончания учебы [</w:t>
      </w:r>
      <w:r w:rsidR="00B8787D" w:rsidRPr="000D4FA1">
        <w:rPr>
          <w:rFonts w:ascii="Times New Roman" w:eastAsia="Times New Roman" w:hAnsi="Times New Roman" w:cs="Times New Roman"/>
          <w:sz w:val="28"/>
          <w:szCs w:val="28"/>
          <w:lang w:val="ru-RU" w:eastAsia="ru-RU"/>
        </w:rPr>
        <w:t>64</w:t>
      </w:r>
      <w:r w:rsidR="007433F3" w:rsidRPr="000D4FA1">
        <w:rPr>
          <w:rFonts w:ascii="Times New Roman" w:eastAsia="Times New Roman" w:hAnsi="Times New Roman" w:cs="Times New Roman"/>
          <w:sz w:val="28"/>
          <w:szCs w:val="28"/>
          <w:lang w:val="ru-RU" w:eastAsia="ru-RU"/>
        </w:rPr>
        <w:t>,65</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Алматы и Астане некоторые колледжи, готовящие специалистов для сферы туризма, ресторанного и гостиничного бизнеса, внедрили дуальную систему обучения. Студенты таких колледжей проходят практику в крупных гостиничных сетях, ресторанах и туристических компаниях, что позволяет им освоить не только теоретические знания, но и важные практические навыки в условиях реальной работы.</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транспортных и логистических колледжах, таких как в г. Шымкент, дуальная система также активно внедряется. Студенты проходят практику в транспортных и логистических компаниях, осваивая процессы организации грузоперевозок, логистику складов и другие важные аспекты работы в транспортной отрасли [</w:t>
      </w:r>
      <w:r w:rsidR="00B8787D" w:rsidRPr="000D4FA1">
        <w:rPr>
          <w:rFonts w:ascii="Times New Roman" w:eastAsia="Times New Roman" w:hAnsi="Times New Roman" w:cs="Times New Roman"/>
          <w:sz w:val="28"/>
          <w:szCs w:val="28"/>
          <w:lang w:val="ru-RU" w:eastAsia="ru-RU"/>
        </w:rPr>
        <w:t>66</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Благодаря дуальной системе, выпускники получают не только диплом, но и реальный опыт, что делает их более востребованными на рынке труда.</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некоторых регионах дуальная система развивается с участием зарубежных компаний. Например, в сотрудничестве с немецкими и австрийскими предприятиями в Казахстане внедряются программы, основанные на европейском опыте дуального обучения. Такие компании, как </w:t>
      </w:r>
      <w:r w:rsidRPr="000D4FA1">
        <w:rPr>
          <w:rFonts w:ascii="Times New Roman" w:eastAsia="Times New Roman" w:hAnsi="Times New Roman" w:cs="Times New Roman"/>
          <w:sz w:val="28"/>
          <w:szCs w:val="28"/>
          <w:lang w:val="ru-RU" w:eastAsia="ru-RU"/>
        </w:rPr>
        <w:lastRenderedPageBreak/>
        <w:t>Siemens и другие, участвуют в подготовке кадров для технических специальностей, предлагая студентам практическое обучение на своих производственных объектах [</w:t>
      </w:r>
      <w:r w:rsidR="00D764F7" w:rsidRPr="000D4FA1">
        <w:rPr>
          <w:rFonts w:ascii="Times New Roman" w:eastAsia="Times New Roman" w:hAnsi="Times New Roman" w:cs="Times New Roman"/>
          <w:sz w:val="28"/>
          <w:szCs w:val="28"/>
          <w:lang w:val="ru-RU" w:eastAsia="ru-RU"/>
        </w:rPr>
        <w:t>67</w:t>
      </w:r>
      <w:r w:rsidRPr="000D4FA1">
        <w:rPr>
          <w:rFonts w:ascii="Times New Roman" w:eastAsia="Times New Roman" w:hAnsi="Times New Roman" w:cs="Times New Roman"/>
          <w:sz w:val="28"/>
          <w:szCs w:val="28"/>
          <w:lang w:val="ru-RU" w:eastAsia="ru-RU"/>
        </w:rPr>
        <w:t>].</w:t>
      </w:r>
    </w:p>
    <w:p w:rsidR="005311B9" w:rsidRPr="000D4FA1" w:rsidRDefault="00D764F7"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рамках международных проектов (например, Erasmus+) представители зарубежных компаний, включая Siemens, участвовали в обсуждении внедрения дуальных программ по автоматизации и робототехнике в Казахстане, что подтверждает вовлечение зарубежного опыта в практическую подготовку специалистов</w:t>
      </w:r>
      <w:r w:rsidR="005311B9" w:rsidRPr="000D4FA1">
        <w:rPr>
          <w:rFonts w:ascii="Times New Roman" w:eastAsia="Times New Roman" w:hAnsi="Times New Roman" w:cs="Times New Roman"/>
          <w:sz w:val="28"/>
          <w:szCs w:val="28"/>
          <w:lang w:val="ru-RU" w:eastAsia="ru-RU"/>
        </w:rPr>
        <w:t xml:space="preserve"> [68].</w:t>
      </w:r>
    </w:p>
    <w:p w:rsidR="005311B9" w:rsidRPr="000D4FA1" w:rsidRDefault="005311B9"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Казахстан активно сотрудничает с Германией и другими зарубежными партнёрами для развития дуальной системы, включая создание международных центров подготовки кадров в сотрудничестве с немецкими предприятиями [69]. </w:t>
      </w:r>
    </w:p>
    <w:p w:rsidR="005311B9" w:rsidRPr="000D4FA1" w:rsidRDefault="005311B9" w:rsidP="006E2083">
      <w:pPr>
        <w:spacing w:after="0" w:line="240" w:lineRule="auto"/>
        <w:ind w:firstLine="708"/>
        <w:jc w:val="both"/>
        <w:rPr>
          <w:rFonts w:ascii="Times New Roman" w:hAnsi="Times New Roman" w:cs="Times New Roman"/>
          <w:sz w:val="28"/>
          <w:szCs w:val="28"/>
          <w:lang w:val="ru-RU"/>
        </w:rPr>
      </w:pPr>
      <w:r w:rsidRPr="000D4FA1">
        <w:rPr>
          <w:rFonts w:ascii="Times New Roman" w:hAnsi="Times New Roman" w:cs="Times New Roman"/>
          <w:sz w:val="28"/>
          <w:szCs w:val="28"/>
        </w:rPr>
        <w:t>Siemens</w:t>
      </w:r>
      <w:r w:rsidRPr="000D4FA1">
        <w:rPr>
          <w:rFonts w:ascii="Times New Roman" w:hAnsi="Times New Roman" w:cs="Times New Roman"/>
          <w:sz w:val="28"/>
          <w:szCs w:val="28"/>
          <w:lang w:val="ru-RU"/>
        </w:rPr>
        <w:t xml:space="preserve"> подписала меморандум о взаимопонимании в Казахстане о включении образовательных курсов компании в систему профессионального обучения, что усиливает практическую направленность подготовки кадров </w:t>
      </w:r>
      <w:r w:rsidRPr="000D4FA1">
        <w:rPr>
          <w:rFonts w:ascii="Times New Roman" w:eastAsia="Times New Roman" w:hAnsi="Times New Roman" w:cs="Times New Roman"/>
          <w:sz w:val="28"/>
          <w:szCs w:val="28"/>
          <w:lang w:val="ru-RU" w:eastAsia="ru-RU"/>
        </w:rPr>
        <w:t xml:space="preserve">[70]. </w:t>
      </w:r>
      <w:r w:rsidRPr="000D4FA1">
        <w:rPr>
          <w:rFonts w:ascii="Times New Roman" w:hAnsi="Times New Roman" w:cs="Times New Roman"/>
          <w:sz w:val="28"/>
          <w:szCs w:val="28"/>
          <w:lang w:val="ru-RU"/>
        </w:rPr>
        <w:t xml:space="preserve">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Такие примеры показывают, что дуальная система в Казахстане постепенно внедряется в различные отрасли, обеспечивая более тесную связь между образовательными учреждениями и работодателями.</w:t>
      </w:r>
    </w:p>
    <w:p w:rsidR="005311B9" w:rsidRPr="000D4FA1" w:rsidRDefault="005311B9" w:rsidP="006E2083">
      <w:pPr>
        <w:spacing w:after="0" w:line="240" w:lineRule="auto"/>
        <w:ind w:firstLine="708"/>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В некоторых регионах Казахстана дуальная система развивается с участием зарубежных компаний и предприятий, которые интегрируют европейский опыт в образовательный процесс: например, при поддержке компании </w:t>
      </w:r>
      <w:r w:rsidRPr="000D4FA1">
        <w:rPr>
          <w:rFonts w:ascii="Times New Roman" w:hAnsi="Times New Roman" w:cs="Times New Roman"/>
          <w:sz w:val="28"/>
          <w:szCs w:val="28"/>
        </w:rPr>
        <w:t>Siemens</w:t>
      </w:r>
      <w:r w:rsidRPr="000D4FA1">
        <w:rPr>
          <w:rFonts w:ascii="Times New Roman" w:hAnsi="Times New Roman" w:cs="Times New Roman"/>
          <w:sz w:val="28"/>
          <w:szCs w:val="28"/>
          <w:lang w:val="ru-RU"/>
        </w:rPr>
        <w:t xml:space="preserve"> созданы специализированные учебные центры, где студенты и преподаватели осваивают практические навыки по промышленной автоматизации и цифровым технологиям. Наряду с международными проектами (</w:t>
      </w:r>
      <w:r w:rsidRPr="000D4FA1">
        <w:rPr>
          <w:rFonts w:ascii="Times New Roman" w:hAnsi="Times New Roman" w:cs="Times New Roman"/>
          <w:sz w:val="28"/>
          <w:szCs w:val="28"/>
        </w:rPr>
        <w:t>Erasmus</w:t>
      </w:r>
      <w:r w:rsidRPr="000D4FA1">
        <w:rPr>
          <w:rFonts w:ascii="Times New Roman" w:hAnsi="Times New Roman" w:cs="Times New Roman"/>
          <w:sz w:val="28"/>
          <w:szCs w:val="28"/>
          <w:lang w:val="ru-RU"/>
        </w:rPr>
        <w:t xml:space="preserve">+), где представители </w:t>
      </w:r>
      <w:r w:rsidRPr="000D4FA1">
        <w:rPr>
          <w:rFonts w:ascii="Times New Roman" w:hAnsi="Times New Roman" w:cs="Times New Roman"/>
          <w:sz w:val="28"/>
          <w:szCs w:val="28"/>
        </w:rPr>
        <w:t>Siemens</w:t>
      </w:r>
      <w:r w:rsidRPr="000D4FA1">
        <w:rPr>
          <w:rFonts w:ascii="Times New Roman" w:hAnsi="Times New Roman" w:cs="Times New Roman"/>
          <w:sz w:val="28"/>
          <w:szCs w:val="28"/>
          <w:lang w:val="ru-RU"/>
        </w:rPr>
        <w:t xml:space="preserve"> обсуждают организацию дуального обучения по автоматизации и робототехнике, это способствует укреплению связи между образовательными учреждениями и промышленными предприятиями и подготовке кадров, соответствующих требованиям рынка труда. </w:t>
      </w:r>
    </w:p>
    <w:p w:rsidR="006E2083" w:rsidRPr="000D4FA1" w:rsidRDefault="006E2083" w:rsidP="006E2083">
      <w:pPr>
        <w:spacing w:after="0" w:line="240" w:lineRule="auto"/>
        <w:ind w:firstLine="708"/>
        <w:jc w:val="both"/>
        <w:rPr>
          <w:rFonts w:ascii="Times New Roman" w:hAnsi="Times New Roman" w:cs="Times New Roman"/>
          <w:sz w:val="28"/>
          <w:szCs w:val="28"/>
          <w:lang w:val="ru-RU"/>
        </w:rPr>
      </w:pPr>
      <w:r w:rsidRPr="000D4FA1">
        <w:rPr>
          <w:rFonts w:ascii="Times New Roman" w:eastAsia="Times New Roman" w:hAnsi="Times New Roman" w:cs="Times New Roman"/>
          <w:sz w:val="28"/>
          <w:szCs w:val="28"/>
          <w:lang w:val="ru-RU" w:eastAsia="ru-RU"/>
        </w:rPr>
        <w:t>Таким образом, дуальная система образования делает подготовку специалистов более эффективной и актуальной для современного рынка труда, способствуя устойчивости как самих образовательных учреждений, так и профессионального развития выпускников.</w:t>
      </w:r>
      <w:r w:rsidRPr="000D4FA1">
        <w:rPr>
          <w:rFonts w:ascii="Times New Roman" w:hAnsi="Times New Roman" w:cs="Times New Roman"/>
          <w:sz w:val="28"/>
          <w:szCs w:val="28"/>
          <w:lang w:val="ru-RU"/>
        </w:rPr>
        <w:t xml:space="preserve"> </w:t>
      </w:r>
    </w:p>
    <w:p w:rsidR="00107B1B" w:rsidRPr="000D4FA1" w:rsidRDefault="00107B1B" w:rsidP="00107B1B">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Таблица 5 представляет собой список ключевых проблем, с которыми сталкиваются образовательные учреждения и предприятия при внедрении и реализации дуальной системы обучения. </w:t>
      </w:r>
    </w:p>
    <w:p w:rsidR="00107B1B" w:rsidRPr="000D4FA1" w:rsidRDefault="00107B1B" w:rsidP="006E2083">
      <w:pPr>
        <w:spacing w:after="0" w:line="240" w:lineRule="auto"/>
        <w:ind w:firstLine="708"/>
        <w:jc w:val="both"/>
        <w:rPr>
          <w:rFonts w:ascii="Times New Roman" w:hAnsi="Times New Roman" w:cs="Times New Roman"/>
          <w:sz w:val="28"/>
          <w:szCs w:val="28"/>
          <w:lang w:val="ru-RU"/>
        </w:rPr>
      </w:pPr>
    </w:p>
    <w:p w:rsidR="006E2083" w:rsidRPr="000D4FA1" w:rsidRDefault="006E2083" w:rsidP="00902016">
      <w:pPr>
        <w:spacing w:after="0" w:line="240" w:lineRule="auto"/>
        <w:ind w:firstLine="708"/>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5</w:t>
      </w:r>
      <w:r w:rsidR="00902016"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Вызовы дуальной системы образования</w:t>
      </w:r>
    </w:p>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tbl>
      <w:tblPr>
        <w:tblStyle w:val="af4"/>
        <w:tblW w:w="9344" w:type="dxa"/>
        <w:tblLook w:val="04A0"/>
      </w:tblPr>
      <w:tblGrid>
        <w:gridCol w:w="3681"/>
        <w:gridCol w:w="5663"/>
      </w:tblGrid>
      <w:tr w:rsidR="006E2083" w:rsidRPr="000D4FA1" w:rsidTr="006E2083">
        <w:tc>
          <w:tcPr>
            <w:tcW w:w="3681"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Вызовы дуальной системы</w:t>
            </w:r>
          </w:p>
        </w:tc>
        <w:tc>
          <w:tcPr>
            <w:tcW w:w="5663"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Описание</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Нехватка координации между учебными заведениями и работодателями</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Отсутствие эффективного взаимодействия между предприятиями и образовательными учреждениями.</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Ограниченные возможности для практики</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Недостаток предприятий, готовых предоставить студентам практические места, особенно в отдалённых регионах.</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Несоответствие программ </w:t>
            </w:r>
            <w:r w:rsidRPr="000D4FA1">
              <w:rPr>
                <w:rFonts w:ascii="Times New Roman" w:eastAsia="Times New Roman" w:hAnsi="Times New Roman" w:cs="Times New Roman"/>
                <w:sz w:val="24"/>
                <w:szCs w:val="24"/>
                <w:lang w:val="ru-RU" w:eastAsia="ru-RU"/>
              </w:rPr>
              <w:lastRenderedPageBreak/>
              <w:t>обучения и требований рынка труда</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lastRenderedPageBreak/>
              <w:t xml:space="preserve">Учебные программы не всегда соответствуют </w:t>
            </w:r>
            <w:r w:rsidRPr="000D4FA1">
              <w:rPr>
                <w:rFonts w:ascii="Times New Roman" w:eastAsia="Times New Roman" w:hAnsi="Times New Roman" w:cs="Times New Roman"/>
                <w:sz w:val="24"/>
                <w:szCs w:val="24"/>
                <w:lang w:val="ru-RU" w:eastAsia="ru-RU"/>
              </w:rPr>
              <w:lastRenderedPageBreak/>
              <w:t>современным требованиям рынка труда, что снижает их актуальность.</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lastRenderedPageBreak/>
              <w:t xml:space="preserve">Недостаточное финансирование </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Ограниченные ресурсы у образовательных учреждений и предприятий для реализации дуальной системы </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Низкая мотивация некоторых работодателей </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Часто работодатели не видят выгоды в участии в образовательном процессе и не вкладывается в обучении студентов</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Отсутствие стандартов и нормативной базы</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Отсутствие четкой нормативной базы для регуляций взаимодействия учебных заведений и предприятий</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Недостаток квалифицированных преподавателей и наставников</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Нехватка квалифицированных наставников и преподавателей для обеспечения качественного обучения на местах</w:t>
            </w:r>
          </w:p>
        </w:tc>
      </w:tr>
      <w:tr w:rsidR="006E2083" w:rsidRPr="0036668B" w:rsidTr="006E2083">
        <w:tc>
          <w:tcPr>
            <w:tcW w:w="3681"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Проблемы со стимулированием студентов </w:t>
            </w:r>
          </w:p>
        </w:tc>
        <w:tc>
          <w:tcPr>
            <w:tcW w:w="5663" w:type="dxa"/>
            <w:vAlign w:val="center"/>
          </w:tcPr>
          <w:p w:rsidR="006E2083" w:rsidRPr="000D4FA1" w:rsidRDefault="006E2083" w:rsidP="006E2083">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Трудности студентов в балансировании между теоретическим обучением и практической работы </w:t>
            </w:r>
          </w:p>
        </w:tc>
      </w:tr>
      <w:tr w:rsidR="006E2083" w:rsidRPr="0036668B" w:rsidTr="006E2083">
        <w:tc>
          <w:tcPr>
            <w:tcW w:w="9344" w:type="dxa"/>
            <w:gridSpan w:val="2"/>
            <w:vAlign w:val="center"/>
          </w:tcPr>
          <w:p w:rsidR="006E2083" w:rsidRPr="000D4FA1" w:rsidRDefault="00902016" w:rsidP="006E2083">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Примечание</w:t>
            </w: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Pr="000D4FA1">
              <w:rPr>
                <w:rFonts w:ascii="Times New Roman" w:eastAsia="Times New Roman" w:hAnsi="Times New Roman" w:cs="Times New Roman"/>
                <w:bCs/>
                <w:sz w:val="24"/>
                <w:szCs w:val="24"/>
                <w:lang w:val="ru-RU" w:eastAsia="ru-RU"/>
              </w:rPr>
              <w:t>о</w:t>
            </w:r>
            <w:r w:rsidR="006E2083" w:rsidRPr="000D4FA1">
              <w:rPr>
                <w:rFonts w:ascii="Times New Roman" w:eastAsia="Times New Roman" w:hAnsi="Times New Roman" w:cs="Times New Roman"/>
                <w:bCs/>
                <w:sz w:val="24"/>
                <w:szCs w:val="24"/>
                <w:lang w:val="ru-RU" w:eastAsia="ru-RU"/>
              </w:rPr>
              <w:t xml:space="preserve"> автором на основе исследования</w:t>
            </w:r>
          </w:p>
        </w:tc>
      </w:tr>
    </w:tbl>
    <w:p w:rsidR="006E2083" w:rsidRPr="000D4FA1" w:rsidRDefault="006E2083" w:rsidP="00B80F8B">
      <w:pPr>
        <w:pStyle w:val="z-"/>
        <w:jc w:val="left"/>
        <w:rPr>
          <w:rFonts w:ascii="Times New Roman" w:hAnsi="Times New Roman" w:cs="Times New Roman"/>
        </w:rPr>
      </w:pPr>
      <w:r w:rsidRPr="000D4FA1">
        <w:rPr>
          <w:rFonts w:ascii="Times New Roman" w:hAnsi="Times New Roman" w:cs="Times New Roman"/>
        </w:rPr>
        <w:t>Начало формы</w:t>
      </w:r>
    </w:p>
    <w:p w:rsidR="006E2083" w:rsidRPr="000D4FA1" w:rsidRDefault="006E2083" w:rsidP="006E2083">
      <w:pPr>
        <w:pStyle w:val="z-1"/>
        <w:rPr>
          <w:rFonts w:ascii="Times New Roman" w:hAnsi="Times New Roman" w:cs="Times New Roman"/>
        </w:rPr>
      </w:pPr>
      <w:r w:rsidRPr="000D4FA1">
        <w:rPr>
          <w:rFonts w:ascii="Times New Roman" w:hAnsi="Times New Roman" w:cs="Times New Roman"/>
        </w:rPr>
        <w:t>Конец формы</w:t>
      </w:r>
    </w:p>
    <w:p w:rsidR="00107B1B" w:rsidRPr="000D4FA1" w:rsidRDefault="006E2083" w:rsidP="00177575">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таблице выделено восемь основных вызовов, таких как недостаток координации между учебными заведениями и работодателями, ограниченные возможности для практики, несоответствие учебных программ требованиям рынка труда и недостаточное финансирование. Указанные факторы затрудняют эффективное взаимодействие между участниками образовательного процесса и препятствуют успешной интеграции дуальной системы в учебные заведения.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Например, проблема с нехваткой квалифицированных наставников ограничивает возможности студентов получить качественные практические знания на предприятиях, а отсутствие нормативной базы усложняет взаимодействие между учебными заведениями и работодателями. Вызовы подчеркивают необходимость комплексного подхода к решению проблем дуального обучения, включающего улучшение координации, финансирования и разработки четких стандартов для всех участников процесса.</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Исследование устойчивости организаций </w:t>
      </w:r>
      <w:r w:rsidR="009C3821" w:rsidRPr="000D4FA1">
        <w:rPr>
          <w:rFonts w:ascii="Times New Roman" w:eastAsia="Times New Roman" w:hAnsi="Times New Roman" w:cs="Times New Roman"/>
          <w:sz w:val="28"/>
          <w:szCs w:val="28"/>
          <w:lang w:val="ru-RU" w:eastAsia="ru-RU"/>
        </w:rPr>
        <w:t xml:space="preserve">технического и </w:t>
      </w:r>
      <w:r w:rsidRPr="000D4FA1">
        <w:rPr>
          <w:rFonts w:ascii="Times New Roman" w:eastAsia="Times New Roman" w:hAnsi="Times New Roman" w:cs="Times New Roman"/>
          <w:sz w:val="28"/>
          <w:szCs w:val="28"/>
          <w:lang w:val="ru-RU" w:eastAsia="ru-RU"/>
        </w:rPr>
        <w:t>профессионального образования, в том числе через призму дуальной системы обучения, имеет большое значение для развития кадрового потенциала Казахстана. Оно помогает выявить механизмы, которые способствуют успешной подготовке квалифицированных специалистов, что особенно важно в условиях глобальных изменений на рынке труда. Дуальная система способствует развитию практических навыков студентов, что делает их более востребованными работодателями. Углубл</w:t>
      </w:r>
      <w:r w:rsidR="00E20261" w:rsidRPr="000D4FA1">
        <w:rPr>
          <w:rFonts w:ascii="Times New Roman" w:eastAsia="Times New Roman" w:hAnsi="Times New Roman" w:cs="Times New Roman"/>
          <w:sz w:val="28"/>
          <w:szCs w:val="28"/>
          <w:lang w:val="ru-RU" w:eastAsia="ru-RU"/>
        </w:rPr>
        <w:t>е</w:t>
      </w:r>
      <w:r w:rsidRPr="000D4FA1">
        <w:rPr>
          <w:rFonts w:ascii="Times New Roman" w:eastAsia="Times New Roman" w:hAnsi="Times New Roman" w:cs="Times New Roman"/>
          <w:sz w:val="28"/>
          <w:szCs w:val="28"/>
          <w:lang w:val="ru-RU" w:eastAsia="ru-RU"/>
        </w:rPr>
        <w:t>нное исследование этих процессов может помочь улучшить координацию между образовательными учреждениями и работодателями, а также повысить эффективность использования дуальных программ в различных секторах экономики.</w:t>
      </w:r>
    </w:p>
    <w:p w:rsidR="006E2083" w:rsidRPr="000D4FA1" w:rsidRDefault="006E2083" w:rsidP="006E2083">
      <w:pPr>
        <w:pStyle w:val="z-"/>
        <w:rPr>
          <w:rFonts w:ascii="Times New Roman" w:hAnsi="Times New Roman" w:cs="Times New Roman"/>
        </w:rPr>
      </w:pPr>
      <w:r w:rsidRPr="000D4FA1">
        <w:rPr>
          <w:rFonts w:ascii="Times New Roman" w:hAnsi="Times New Roman" w:cs="Times New Roman"/>
        </w:rPr>
        <w:t>Начало формы</w:t>
      </w:r>
    </w:p>
    <w:p w:rsidR="006E2083" w:rsidRPr="000D4FA1" w:rsidRDefault="006E2083" w:rsidP="006E2083">
      <w:pPr>
        <w:pStyle w:val="z-1"/>
        <w:rPr>
          <w:rFonts w:ascii="Times New Roman" w:hAnsi="Times New Roman" w:cs="Times New Roman"/>
        </w:rPr>
      </w:pPr>
      <w:r w:rsidRPr="000D4FA1">
        <w:rPr>
          <w:rFonts w:ascii="Times New Roman" w:hAnsi="Times New Roman" w:cs="Times New Roman"/>
        </w:rPr>
        <w:t>Конец формы</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заключение можно резюмировать что устойчивость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 xml:space="preserve">профессиональных образовательных учреждений является критически важным аспектом их функционирования в условиях быстрого изменения внешней среды и требований рынка труда. Ключевыми факторами, влияющими на устойчивость, являются качество преподавательского состава, финансовая стабильность, инновации и адаптивность. Государственная поддержка и </w:t>
      </w:r>
      <w:r w:rsidRPr="000D4FA1">
        <w:rPr>
          <w:rFonts w:ascii="Times New Roman" w:eastAsia="Times New Roman" w:hAnsi="Times New Roman" w:cs="Times New Roman"/>
          <w:sz w:val="28"/>
          <w:szCs w:val="28"/>
          <w:lang w:val="ru-RU" w:eastAsia="ru-RU"/>
        </w:rPr>
        <w:lastRenderedPageBreak/>
        <w:t xml:space="preserve">регулирование также играют важную роль в обеспечении долгосрочной устойчивости образовательных учреждений. Изучение зарубежного опыта и адаптация лучших практик в контексте Казахстана может значительно повысить конкурентоспособность и устойчивость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организаций.</w:t>
      </w:r>
    </w:p>
    <w:p w:rsidR="00F7028D" w:rsidRPr="000D4FA1" w:rsidRDefault="00F7028D" w:rsidP="00F7028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Современные исследования в области управления человеческими ресурсами показывают, что традиционные показатели оценки человеческого капитала, такие как уровень образования, профессиональная подготовка и участие работников в программах повышения квалификации, постепенно дополняются новыми индикаторами, отражающими способность работников адаптироваться к изменениям экономической и технологической среды.</w:t>
      </w:r>
    </w:p>
    <w:p w:rsidR="00F7028D" w:rsidRPr="000D4FA1" w:rsidRDefault="00F7028D" w:rsidP="00F7028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Одним из ключевых направлений современных исследований является изучение </w:t>
      </w:r>
      <w:r w:rsidRPr="000D4FA1">
        <w:rPr>
          <w:rFonts w:ascii="Times New Roman" w:eastAsia="Times New Roman" w:hAnsi="Times New Roman" w:cs="Times New Roman"/>
          <w:bCs/>
          <w:sz w:val="28"/>
          <w:szCs w:val="28"/>
          <w:lang w:eastAsia="ru-RU"/>
        </w:rPr>
        <w:t>learning</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agility</w:t>
      </w:r>
      <w:r w:rsidRPr="000D4FA1">
        <w:rPr>
          <w:rFonts w:ascii="Times New Roman" w:eastAsia="Times New Roman" w:hAnsi="Times New Roman" w:cs="Times New Roman"/>
          <w:sz w:val="28"/>
          <w:szCs w:val="28"/>
          <w:lang w:val="ru-RU" w:eastAsia="ru-RU"/>
        </w:rPr>
        <w:t xml:space="preserve"> </w:t>
      </w:r>
      <w:r w:rsidR="00107B1B"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способности работников быстро осваивать новые знания, адаптироваться к изменениям и эффективно применять приобретённые компетенции в новых условиях. Данный показатель рассматривается как важный элемент развития человеческого капитала в условиях цифровой трансформации экономики и ускоренных технологических изменений. Согласно современным исследованиям, </w:t>
      </w:r>
      <w:r w:rsidRPr="000D4FA1">
        <w:rPr>
          <w:rFonts w:ascii="Times New Roman" w:eastAsia="Times New Roman" w:hAnsi="Times New Roman" w:cs="Times New Roman"/>
          <w:sz w:val="28"/>
          <w:szCs w:val="28"/>
          <w:lang w:eastAsia="ru-RU"/>
        </w:rPr>
        <w:t>learning</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agility</w:t>
      </w:r>
      <w:r w:rsidRPr="000D4FA1">
        <w:rPr>
          <w:rFonts w:ascii="Times New Roman" w:eastAsia="Times New Roman" w:hAnsi="Times New Roman" w:cs="Times New Roman"/>
          <w:sz w:val="28"/>
          <w:szCs w:val="28"/>
          <w:lang w:val="ru-RU" w:eastAsia="ru-RU"/>
        </w:rPr>
        <w:t xml:space="preserve"> включает такие компоненты, как когнитивная гибкость, способность к обучению, адаптивность к изменениям и способность эффективно решать новые профессиональные задачи. </w:t>
      </w:r>
    </w:p>
    <w:p w:rsidR="00F7028D" w:rsidRPr="000D4FA1" w:rsidRDefault="00F7028D" w:rsidP="00F7028D">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Исследования последних лет также показывают, что развитие человеческого капитала всё чаще рассматривается через призму гибкости и адаптивности трудовых ресурсов. Например, в работ</w:t>
      </w:r>
      <w:r w:rsidR="00107B1B" w:rsidRPr="000D4FA1">
        <w:rPr>
          <w:rFonts w:ascii="Times New Roman" w:eastAsia="Times New Roman" w:hAnsi="Times New Roman" w:cs="Times New Roman"/>
          <w:sz w:val="28"/>
          <w:szCs w:val="28"/>
          <w:lang w:val="ru-RU" w:eastAsia="ru-RU"/>
        </w:rPr>
        <w:t>е</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Alviani</w:t>
      </w:r>
      <w:r w:rsidRPr="000D4FA1">
        <w:rPr>
          <w:rFonts w:ascii="Times New Roman" w:eastAsia="Times New Roman" w:hAnsi="Times New Roman" w:cs="Times New Roman"/>
          <w:sz w:val="28"/>
          <w:szCs w:val="28"/>
          <w:lang w:val="ru-RU" w:eastAsia="ru-RU"/>
        </w:rPr>
        <w:t xml:space="preserve"> отмечается, что гибкость рабочей силы (</w:t>
      </w:r>
      <w:r w:rsidRPr="000D4FA1">
        <w:rPr>
          <w:rFonts w:ascii="Times New Roman" w:eastAsia="Times New Roman" w:hAnsi="Times New Roman" w:cs="Times New Roman"/>
          <w:sz w:val="28"/>
          <w:szCs w:val="28"/>
          <w:lang w:eastAsia="ru-RU"/>
        </w:rPr>
        <w:t>workforce</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agility</w:t>
      </w:r>
      <w:r w:rsidRPr="000D4FA1">
        <w:rPr>
          <w:rFonts w:ascii="Times New Roman" w:eastAsia="Times New Roman" w:hAnsi="Times New Roman" w:cs="Times New Roman"/>
          <w:sz w:val="28"/>
          <w:szCs w:val="28"/>
          <w:lang w:val="ru-RU" w:eastAsia="ru-RU"/>
        </w:rPr>
        <w:t>) становится одним из ключевых факторов повышения устойчивости организаций и их конкурентоспособности в условиях быстро меняющейся экономической среды</w:t>
      </w:r>
      <w:r w:rsidR="00107B1B" w:rsidRPr="000D4FA1">
        <w:rPr>
          <w:rFonts w:ascii="Times New Roman" w:eastAsia="Times New Roman" w:hAnsi="Times New Roman" w:cs="Times New Roman"/>
          <w:sz w:val="28"/>
          <w:szCs w:val="28"/>
          <w:lang w:val="ru-RU" w:eastAsia="ru-RU"/>
        </w:rPr>
        <w:t xml:space="preserve"> [7</w:t>
      </w:r>
      <w:r w:rsidR="007433F3" w:rsidRPr="000D4FA1">
        <w:rPr>
          <w:rFonts w:ascii="Times New Roman" w:eastAsia="Times New Roman" w:hAnsi="Times New Roman" w:cs="Times New Roman"/>
          <w:sz w:val="28"/>
          <w:szCs w:val="28"/>
          <w:lang w:val="ru-RU" w:eastAsia="ru-RU"/>
        </w:rPr>
        <w:t>2</w:t>
      </w:r>
      <w:r w:rsidR="00107B1B"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w:t>
      </w:r>
    </w:p>
    <w:p w:rsidR="004770BF" w:rsidRPr="000D4FA1" w:rsidRDefault="004770BF" w:rsidP="004770B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современных моделях управления человеческими ресурсами ключевое значение приобретают цифровые компетенции и цифровая грамотность, обеспечивающие эффективное использование технологий и участие в инновациях. Исследования (K. Shatila, O. Adekoya) подтверждают их влияние на развитие человеческого капитала и устойчивость организаций.</w:t>
      </w:r>
    </w:p>
    <w:p w:rsidR="004770BF" w:rsidRPr="000D4FA1" w:rsidRDefault="004770BF" w:rsidP="004770B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Одновременно возрастает роль агильности человеческого капитала (human capital agility) </w:t>
      </w:r>
      <w:r w:rsidR="0066446B"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способности быстро адаптироваться, обновлять компетенции и реагировать на изменения (G. Sumadireja и др.).</w:t>
      </w:r>
    </w:p>
    <w:p w:rsidR="004770BF" w:rsidRPr="0036668B" w:rsidRDefault="004770BF" w:rsidP="004770B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Таким образом, современная оценка человеческого потенциала должна включать не только традиционные показатели, но и learning agility, цифровую грамотность, непрерывное обучение и адаптивность, что позволяет более точно </w:t>
      </w:r>
      <w:r w:rsidRPr="0036668B">
        <w:rPr>
          <w:rFonts w:ascii="Times New Roman" w:eastAsia="Times New Roman" w:hAnsi="Times New Roman" w:cs="Times New Roman"/>
          <w:sz w:val="28"/>
          <w:szCs w:val="28"/>
          <w:lang w:val="ru-RU" w:eastAsia="ru-RU"/>
        </w:rPr>
        <w:t>оценивать устойчивость образовательных организаций.</w:t>
      </w:r>
    </w:p>
    <w:p w:rsidR="001C5355" w:rsidRPr="0036668B" w:rsidRDefault="001C5355" w:rsidP="001C5355">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Современный этап развития системы технического и профессионального образования Республики Казахстан характеризуется активными процессами социально–экономической трансформации, связанными с цифровизацией экономики, модернизацией системы здравоохранения, изменением структуры занятости населения и повышением требований к качеству подготовки кадров. </w:t>
      </w:r>
      <w:r w:rsidRPr="0036668B">
        <w:rPr>
          <w:rFonts w:ascii="Times New Roman" w:eastAsia="Times New Roman" w:hAnsi="Times New Roman" w:cs="Times New Roman"/>
          <w:sz w:val="28"/>
          <w:szCs w:val="28"/>
          <w:lang w:val="ru-RU" w:eastAsia="ru-RU"/>
        </w:rPr>
        <w:lastRenderedPageBreak/>
        <w:t>Данные процессы оказывают существенное влияние на деятельность организаций ТиПО, определяя необходимость адаптации образовательных программ, совершенствования управленческих механизмов и укрепления кадрового потенциала образовательных учреждений.</w:t>
      </w:r>
    </w:p>
    <w:p w:rsidR="001C5355" w:rsidRPr="0036668B" w:rsidRDefault="001C5355" w:rsidP="001C5355">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Социально–экономическая трансформация в контексте данного исследования рассматривается как совокупность институциональных, технологических и экономических изменений, влияющих на устойчивость организаций технического и профессионального образования. Особое значение данные процессы приобретают для медицинских колледжей, поскольку развитие системы здравоохранения напрямую связано с качеством подготовки среднего медицинского персонала, уровнем профессиональных компетенций преподавателей и способностью образовательных организаций адаптироваться к изменениям внешней среды.</w:t>
      </w:r>
    </w:p>
    <w:p w:rsidR="001C5355" w:rsidRPr="0036668B" w:rsidRDefault="001C5355" w:rsidP="001C5355">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условиях Казахстана трансформация системы ТиПО сопровождается внедрением цифровых образовательных технологий, расширением элементов дуального обучения, усилением взаимодействия образовательных организаций с работодателями и модернизацией механизмов подготовки кадров. Дополнительно возрастает роль непрерывного профессионального развития преподавателей, развития цифровых компетенций и совершенствования организационного управления образовательными учреждениями.</w:t>
      </w:r>
    </w:p>
    <w:p w:rsidR="00D97030" w:rsidRPr="0018017A" w:rsidRDefault="002A647B" w:rsidP="001C5355">
      <w:pPr>
        <w:spacing w:after="0" w:line="240" w:lineRule="auto"/>
        <w:ind w:firstLine="708"/>
        <w:jc w:val="both"/>
        <w:rPr>
          <w:rFonts w:ascii="Times New Roman" w:eastAsia="Times New Roman" w:hAnsi="Times New Roman" w:cs="Times New Roman"/>
          <w:sz w:val="28"/>
          <w:szCs w:val="28"/>
          <w:lang w:val="ru-RU" w:eastAsia="ru-RU"/>
        </w:rPr>
      </w:pPr>
      <w:r>
        <w:rPr>
          <w:noProof/>
          <w:lang w:val="ru-RU" w:eastAsia="ru-RU"/>
        </w:rPr>
        <w:drawing>
          <wp:anchor distT="0" distB="0" distL="114300" distR="114300" simplePos="0" relativeHeight="251659776" behindDoc="1" locked="0" layoutInCell="1" allowOverlap="1">
            <wp:simplePos x="0" y="0"/>
            <wp:positionH relativeFrom="column">
              <wp:posOffset>-3810</wp:posOffset>
            </wp:positionH>
            <wp:positionV relativeFrom="paragraph">
              <wp:posOffset>254000</wp:posOffset>
            </wp:positionV>
            <wp:extent cx="6115050" cy="3562350"/>
            <wp:effectExtent l="0" t="0" r="0" b="0"/>
            <wp:wrapTight wrapText="bothSides">
              <wp:wrapPolygon edited="0">
                <wp:start x="0" y="0"/>
                <wp:lineTo x="0" y="21484"/>
                <wp:lineTo x="21533" y="21484"/>
                <wp:lineTo x="21533"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540" t="18262" r="13623" b="10902"/>
                    <a:stretch/>
                  </pic:blipFill>
                  <pic:spPr bwMode="auto">
                    <a:xfrm>
                      <a:off x="0" y="0"/>
                      <a:ext cx="6115050" cy="3562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97030" w:rsidRPr="0036668B" w:rsidRDefault="00D97030" w:rsidP="00D97030">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Рисунок </w:t>
      </w:r>
      <w:r w:rsidR="002A647B" w:rsidRPr="0036668B">
        <w:rPr>
          <w:rFonts w:ascii="Times New Roman" w:eastAsia="Times New Roman" w:hAnsi="Times New Roman" w:cs="Times New Roman"/>
          <w:sz w:val="28"/>
          <w:szCs w:val="28"/>
          <w:lang w:val="ru-RU" w:eastAsia="ru-RU"/>
        </w:rPr>
        <w:t>1</w:t>
      </w:r>
      <w:r w:rsidRPr="0036668B">
        <w:rPr>
          <w:rFonts w:ascii="Times New Roman" w:eastAsia="Times New Roman" w:hAnsi="Times New Roman" w:cs="Times New Roman"/>
          <w:sz w:val="28"/>
          <w:szCs w:val="28"/>
          <w:lang w:val="ru-RU" w:eastAsia="ru-RU"/>
        </w:rPr>
        <w:t xml:space="preserve"> – Влияние социально–экономической трансформации на устойчивость организаций ТиПО</w:t>
      </w:r>
    </w:p>
    <w:p w:rsidR="00D97030" w:rsidRPr="0036668B" w:rsidRDefault="002A647B" w:rsidP="001C5355">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bCs/>
          <w:sz w:val="24"/>
          <w:szCs w:val="24"/>
          <w:lang w:val="ru-RU" w:eastAsia="ru-RU"/>
        </w:rPr>
        <w:t>Примечание – составлено автором на основе исследования</w:t>
      </w:r>
    </w:p>
    <w:p w:rsidR="00005E51" w:rsidRPr="0036668B" w:rsidRDefault="00005E51" w:rsidP="001C5355">
      <w:pPr>
        <w:spacing w:after="0" w:line="240" w:lineRule="auto"/>
        <w:ind w:firstLine="708"/>
        <w:jc w:val="both"/>
        <w:rPr>
          <w:rFonts w:ascii="Times New Roman" w:eastAsia="Times New Roman" w:hAnsi="Times New Roman" w:cs="Times New Roman"/>
          <w:sz w:val="28"/>
          <w:szCs w:val="28"/>
          <w:lang w:val="ru-RU" w:eastAsia="ru-RU"/>
        </w:rPr>
      </w:pPr>
    </w:p>
    <w:p w:rsidR="00837CF4" w:rsidRPr="0036668B" w:rsidRDefault="00837CF4" w:rsidP="00837CF4">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Социально–экономическая трансформация оказывает комплексное влияние на устойчивость организаций технического и профессионального </w:t>
      </w:r>
      <w:r w:rsidRPr="0036668B">
        <w:rPr>
          <w:rFonts w:ascii="Times New Roman" w:eastAsia="Times New Roman" w:hAnsi="Times New Roman" w:cs="Times New Roman"/>
          <w:sz w:val="28"/>
          <w:szCs w:val="28"/>
          <w:lang w:val="ru-RU" w:eastAsia="ru-RU"/>
        </w:rPr>
        <w:lastRenderedPageBreak/>
        <w:t>образования. Как показано на рисунке, ключевыми направлениями трансформационных процессов выступают цифровизация образования, развитие дуального обучения, совершенствование механизмов управления человеческим потенциалом, адаптация образовательных программ к требованиям рынка труда и непрерывное профессиональное развитие преподавателей.</w:t>
      </w:r>
    </w:p>
    <w:p w:rsidR="00837CF4" w:rsidRPr="0036668B" w:rsidRDefault="00837CF4" w:rsidP="00837CF4">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В современных условиях устойчивость организаций ТиПО определяется не только материально–техническими ресурсами, но и способностью образовательной организации быстро адаптироваться к изменениям внешней среды. Особое значение приобретает развитие человеческого потенциала, поскольку квалификация преподавателей, уровень их профессиональной подготовки и готовность к внедрению инновационных технологий напрямую влияют на качество подготовки специалистов.</w:t>
      </w:r>
    </w:p>
    <w:p w:rsidR="00D96C4B" w:rsidRPr="0036668B" w:rsidRDefault="00D96C4B" w:rsidP="00D96C4B">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Для организаций медицинского профиля социально–экономическая трансформация также связана с изменением требований к практической подготовке студентов, обновлением медицинских технологий и необходимостью интеграции образовательного процесса с системой здравоохранения. В данном контексте устойчивость образовательной организации определяется не только наличием материально–технических ресурсов, но и эффективностью управления человеческим потенциалом, уровнем кадровой устойчивости и способностью адаптироваться к современным вызовам.</w:t>
      </w:r>
    </w:p>
    <w:p w:rsidR="001C5355" w:rsidRPr="0018017A" w:rsidRDefault="001C5355" w:rsidP="001C5355">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Шымкентский высший медицинский колледж функционирует в условиях указанных трансформационных процессов, что требует совершенствования механизмов управления человеческим потенциалом, развития профессиональных компетенций преподавателей и укрепления взаимодействия с медицинскими организациями региона. В связи с этим исследование влияния социально–экономической трансформации на устойчивость организаций ТиПО приобретает важное практическое значение для повышения эффективности подготовки медицинских кадров и обеспечения устойчивого развития образовательной организации.</w:t>
      </w:r>
    </w:p>
    <w:p w:rsidR="0066446B" w:rsidRPr="0018017A" w:rsidRDefault="0066446B" w:rsidP="004770BF">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1.3 Взаимосвязь человеческого потенциала и устойчивости организаций</w:t>
      </w:r>
    </w:p>
    <w:p w:rsidR="00D11882" w:rsidRPr="000D4FA1" w:rsidRDefault="00D11882" w:rsidP="006E2083">
      <w:pPr>
        <w:spacing w:after="0" w:line="240" w:lineRule="auto"/>
        <w:ind w:firstLine="708"/>
        <w:jc w:val="both"/>
        <w:rPr>
          <w:rFonts w:ascii="Times New Roman" w:eastAsia="Times New Roman" w:hAnsi="Times New Roman" w:cs="Times New Roman"/>
          <w:b/>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 современных условиях изменяющейся экономики и высоких требований к качеству подготовки специалистов человеческий потенциал стал важным фактором обеспечения устойчивости организаций. Под человеческим потенциалом понимается совокупность знаний, навыков, мотивации и профессионального опыта сотрудников, который они могут использовать для достижения целей организации. Как утверждает </w:t>
      </w:r>
      <w:r w:rsidR="003A20D1" w:rsidRPr="000D4FA1">
        <w:rPr>
          <w:rFonts w:ascii="Times New Roman" w:eastAsia="Times New Roman" w:hAnsi="Times New Roman" w:cs="Times New Roman"/>
          <w:sz w:val="28"/>
          <w:szCs w:val="28"/>
          <w:lang w:val="ru-RU" w:eastAsia="ru-RU"/>
        </w:rPr>
        <w:t xml:space="preserve">Barney </w:t>
      </w:r>
      <w:r w:rsidRPr="000D4FA1">
        <w:rPr>
          <w:rFonts w:ascii="Times New Roman" w:eastAsia="Times New Roman" w:hAnsi="Times New Roman" w:cs="Times New Roman"/>
          <w:sz w:val="28"/>
          <w:szCs w:val="28"/>
          <w:lang w:val="ru-RU" w:eastAsia="ru-RU"/>
        </w:rPr>
        <w:t>J.</w:t>
      </w:r>
      <w:r w:rsidRPr="000D4FA1">
        <w:rPr>
          <w:rFonts w:ascii="Times New Roman" w:eastAsia="Times New Roman" w:hAnsi="Times New Roman" w:cs="Times New Roman"/>
          <w:sz w:val="24"/>
          <w:szCs w:val="24"/>
          <w:lang w:val="ru-RU" w:eastAsia="ru-RU"/>
        </w:rPr>
        <w:t xml:space="preserve"> </w:t>
      </w:r>
      <w:r w:rsidRPr="000D4FA1">
        <w:rPr>
          <w:rFonts w:ascii="Times New Roman" w:eastAsia="Times New Roman" w:hAnsi="Times New Roman" w:cs="Times New Roman"/>
          <w:sz w:val="28"/>
          <w:szCs w:val="28"/>
          <w:lang w:val="ru-RU" w:eastAsia="ru-RU"/>
        </w:rPr>
        <w:t xml:space="preserve"> человеческий потенциал является одним из ключевых источников конкурентного преимущества и основой долгосрочной устойчивости компаний. Развитие человеческого капитала способствует не только повышению </w:t>
      </w:r>
      <w:r w:rsidRPr="000D4FA1">
        <w:rPr>
          <w:rFonts w:ascii="Times New Roman" w:eastAsia="Times New Roman" w:hAnsi="Times New Roman" w:cs="Times New Roman"/>
          <w:sz w:val="28"/>
          <w:szCs w:val="28"/>
          <w:lang w:val="ru-RU" w:eastAsia="ru-RU"/>
        </w:rPr>
        <w:lastRenderedPageBreak/>
        <w:t>производительности труда, но и гибкости организации, её способности адаптироваться к изменениям внешней среды и внедрять инновации</w:t>
      </w:r>
      <w:r w:rsidR="00AF3C89" w:rsidRPr="000D4FA1">
        <w:rPr>
          <w:rFonts w:ascii="Times New Roman" w:eastAsia="Times New Roman" w:hAnsi="Times New Roman" w:cs="Times New Roman"/>
          <w:sz w:val="28"/>
          <w:szCs w:val="28"/>
          <w:lang w:val="ru-RU" w:eastAsia="ru-RU"/>
        </w:rPr>
        <w:t xml:space="preserve"> [</w:t>
      </w:r>
      <w:r w:rsidR="00731195" w:rsidRPr="000D4FA1">
        <w:rPr>
          <w:rFonts w:ascii="Times New Roman" w:eastAsia="Times New Roman" w:hAnsi="Times New Roman" w:cs="Times New Roman"/>
          <w:sz w:val="28"/>
          <w:szCs w:val="28"/>
          <w:lang w:val="ru-RU" w:eastAsia="ru-RU"/>
        </w:rPr>
        <w:t>26, с.99</w:t>
      </w:r>
      <w:r w:rsidR="007B767F" w:rsidRPr="000D4FA1">
        <w:rPr>
          <w:rFonts w:ascii="Times New Roman" w:eastAsia="Times New Roman" w:hAnsi="Times New Roman" w:cs="Times New Roman"/>
          <w:sz w:val="28"/>
          <w:szCs w:val="28"/>
          <w:lang w:val="ru-RU" w:eastAsia="ru-RU"/>
        </w:rPr>
        <w:t>–</w:t>
      </w:r>
      <w:r w:rsidR="00731195" w:rsidRPr="000D4FA1">
        <w:rPr>
          <w:rFonts w:ascii="Times New Roman" w:eastAsia="Times New Roman" w:hAnsi="Times New Roman" w:cs="Times New Roman"/>
          <w:sz w:val="28"/>
          <w:szCs w:val="28"/>
          <w:lang w:val="ru-RU" w:eastAsia="ru-RU"/>
        </w:rPr>
        <w:t>101</w:t>
      </w:r>
      <w:r w:rsidR="00AF3C89" w:rsidRPr="000D4FA1">
        <w:rPr>
          <w:rFonts w:ascii="Times New Roman" w:eastAsia="Times New Roman" w:hAnsi="Times New Roman" w:cs="Times New Roman"/>
          <w:sz w:val="28"/>
          <w:szCs w:val="28"/>
          <w:lang w:val="ru-RU" w:eastAsia="ru-RU"/>
        </w:rPr>
        <w:t>].</w:t>
      </w:r>
    </w:p>
    <w:p w:rsidR="00F57F2F"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Человеческий потенциал представляет собой многоуровневую систему, включающую знания, навыки, креативность, а также личностные и профессиональные качества сотрудников. Becker G.</w:t>
      </w:r>
      <w:r w:rsidRPr="000D4FA1">
        <w:rPr>
          <w:rFonts w:ascii="Times New Roman" w:eastAsia="Times New Roman" w:hAnsi="Times New Roman" w:cs="Times New Roman"/>
          <w:sz w:val="24"/>
          <w:szCs w:val="24"/>
          <w:lang w:val="ru-RU" w:eastAsia="ru-RU"/>
        </w:rPr>
        <w:t xml:space="preserve"> </w:t>
      </w:r>
      <w:r w:rsidRPr="000D4FA1">
        <w:rPr>
          <w:rFonts w:ascii="Times New Roman" w:eastAsia="Times New Roman" w:hAnsi="Times New Roman" w:cs="Times New Roman"/>
          <w:sz w:val="28"/>
          <w:szCs w:val="28"/>
          <w:lang w:val="ru-RU" w:eastAsia="ru-RU"/>
        </w:rPr>
        <w:t>определяет человеческий капитал как совокупность навыков и компетенций, которые могут быть использованы для создания экономической ценности</w:t>
      </w:r>
      <w:r w:rsidR="00AF3C89" w:rsidRPr="000D4FA1">
        <w:rPr>
          <w:rFonts w:ascii="Times New Roman" w:eastAsia="Times New Roman" w:hAnsi="Times New Roman" w:cs="Times New Roman"/>
          <w:sz w:val="28"/>
          <w:szCs w:val="28"/>
          <w:lang w:val="ru-RU" w:eastAsia="ru-RU"/>
        </w:rPr>
        <w:t xml:space="preserve"> [</w:t>
      </w:r>
      <w:r w:rsidR="00731195" w:rsidRPr="000D4FA1">
        <w:rPr>
          <w:rFonts w:ascii="Times New Roman" w:eastAsia="Times New Roman" w:hAnsi="Times New Roman" w:cs="Times New Roman"/>
          <w:sz w:val="28"/>
          <w:szCs w:val="28"/>
          <w:lang w:val="ru-RU" w:eastAsia="ru-RU"/>
        </w:rPr>
        <w:t>2</w:t>
      </w:r>
      <w:r w:rsidR="00AF3C89" w:rsidRPr="000D4FA1">
        <w:rPr>
          <w:rFonts w:ascii="Times New Roman" w:eastAsia="Times New Roman" w:hAnsi="Times New Roman" w:cs="Times New Roman"/>
          <w:sz w:val="28"/>
          <w:szCs w:val="28"/>
          <w:lang w:val="ru-RU" w:eastAsia="ru-RU"/>
        </w:rPr>
        <w:t>0</w:t>
      </w:r>
      <w:r w:rsidR="00731195" w:rsidRPr="000D4FA1">
        <w:rPr>
          <w:rFonts w:ascii="Times New Roman" w:eastAsia="Times New Roman" w:hAnsi="Times New Roman" w:cs="Times New Roman"/>
          <w:sz w:val="28"/>
          <w:szCs w:val="28"/>
          <w:lang w:val="ru-RU" w:eastAsia="ru-RU"/>
        </w:rPr>
        <w:t>, с.23</w:t>
      </w:r>
      <w:r w:rsidR="00AF3C89" w:rsidRPr="000D4FA1">
        <w:rPr>
          <w:rFonts w:ascii="Times New Roman" w:eastAsia="Times New Roman" w:hAnsi="Times New Roman" w:cs="Times New Roman"/>
          <w:sz w:val="28"/>
          <w:szCs w:val="28"/>
          <w:lang w:val="ru-RU" w:eastAsia="ru-RU"/>
        </w:rPr>
        <w:t>].</w:t>
      </w:r>
    </w:p>
    <w:p w:rsidR="00F57F2F" w:rsidRPr="000D4FA1" w:rsidRDefault="00F57F2F"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Согласно Lepak и Snell, концепция </w:t>
      </w:r>
      <w:r w:rsidRPr="000D4FA1">
        <w:rPr>
          <w:rFonts w:ascii="Times New Roman" w:eastAsia="Times New Roman" w:hAnsi="Times New Roman" w:cs="Times New Roman"/>
          <w:iCs/>
          <w:sz w:val="28"/>
          <w:szCs w:val="28"/>
          <w:lang w:val="ru-RU" w:eastAsia="ru-RU"/>
        </w:rPr>
        <w:t>архитектуры человеческих ресурсов</w:t>
      </w:r>
      <w:r w:rsidRPr="000D4FA1">
        <w:rPr>
          <w:rFonts w:ascii="Times New Roman" w:eastAsia="Times New Roman" w:hAnsi="Times New Roman" w:cs="Times New Roman"/>
          <w:sz w:val="28"/>
          <w:szCs w:val="28"/>
          <w:lang w:val="ru-RU" w:eastAsia="ru-RU"/>
        </w:rPr>
        <w:t xml:space="preserve"> подчёркивает, что коллективный человеческий потенциал – совокупность знаний, навыков и способностей сотрудников – представляет собой стратегически важный ресурс, который организации должны развивать и управлять им по</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разному в зависимости от его значения для достижения устойчивой конкурентоспособности</w:t>
      </w:r>
      <w:r w:rsidRPr="000D4FA1">
        <w:rPr>
          <w:rFonts w:ascii="Times New Roman" w:hAnsi="Times New Roman" w:cs="Times New Roman"/>
          <w:lang w:val="ru-RU"/>
        </w:rPr>
        <w:t xml:space="preserve"> </w:t>
      </w:r>
      <w:r w:rsidRPr="000D4FA1">
        <w:rPr>
          <w:rFonts w:ascii="Times New Roman" w:eastAsia="Times New Roman" w:hAnsi="Times New Roman" w:cs="Times New Roman"/>
          <w:sz w:val="28"/>
          <w:szCs w:val="28"/>
          <w:lang w:val="ru-RU" w:eastAsia="ru-RU"/>
        </w:rPr>
        <w:t>[</w:t>
      </w:r>
      <w:r w:rsidR="007433F3" w:rsidRPr="000D4FA1">
        <w:rPr>
          <w:rFonts w:ascii="Times New Roman" w:eastAsia="Times New Roman" w:hAnsi="Times New Roman" w:cs="Times New Roman"/>
          <w:sz w:val="28"/>
          <w:szCs w:val="28"/>
          <w:lang w:val="ru-RU" w:eastAsia="ru-RU"/>
        </w:rPr>
        <w:t>76</w:t>
      </w:r>
      <w:r w:rsidRPr="000D4FA1">
        <w:rPr>
          <w:rFonts w:ascii="Times New Roman" w:eastAsia="Times New Roman" w:hAnsi="Times New Roman" w:cs="Times New Roman"/>
          <w:sz w:val="28"/>
          <w:szCs w:val="28"/>
          <w:lang w:val="ru-RU" w:eastAsia="ru-RU"/>
        </w:rPr>
        <w:t xml:space="preserve">]. </w:t>
      </w:r>
    </w:p>
    <w:p w:rsidR="006E2083" w:rsidRPr="000D4FA1" w:rsidRDefault="006E2083" w:rsidP="00F57F2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Устойчивость организации определяется её способностью адаптироваться к внешним изменениям и сохранять эффективность в долгосрочной перспективе. В исследованиях Pfeffer </w:t>
      </w:r>
      <w:r w:rsidRPr="000D4FA1">
        <w:rPr>
          <w:rFonts w:ascii="Times New Roman" w:eastAsia="Times New Roman" w:hAnsi="Times New Roman" w:cs="Times New Roman"/>
          <w:sz w:val="28"/>
          <w:szCs w:val="28"/>
          <w:lang w:eastAsia="ru-RU"/>
        </w:rPr>
        <w:t>J</w:t>
      </w:r>
      <w:r w:rsidRPr="000D4FA1">
        <w:rPr>
          <w:rFonts w:ascii="Times New Roman" w:eastAsia="Times New Roman" w:hAnsi="Times New Roman" w:cs="Times New Roman"/>
          <w:sz w:val="28"/>
          <w:szCs w:val="28"/>
          <w:lang w:val="ru-RU" w:eastAsia="ru-RU"/>
        </w:rPr>
        <w:t>. утверждается, что компании с высоким уровнем человеческого потенциала более гибки и адаптивны, что позволяет им успешно противостоять кризисам и экономическим вызовам</w:t>
      </w:r>
      <w:r w:rsidR="00F57F2F" w:rsidRPr="000D4FA1">
        <w:rPr>
          <w:rFonts w:ascii="Times New Roman" w:eastAsia="Times New Roman" w:hAnsi="Times New Roman" w:cs="Times New Roman"/>
          <w:sz w:val="28"/>
          <w:szCs w:val="28"/>
          <w:lang w:val="ru-RU" w:eastAsia="ru-RU"/>
        </w:rPr>
        <w:t>.</w:t>
      </w:r>
      <w:r w:rsidR="00AF3C89"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Например, компании с хорошо развитыми системами обучения и управления знаниями способны быстрее интегрировать новые технологии и процессы, что повышает их устойчивость. Развитие человеческого потенциала через постоянное обучение и повышение квалификации сотрудников способствует укреплению организационной культуры и улучшению взаимодействия между подразделениями.</w:t>
      </w:r>
      <w:r w:rsidR="00F57F2F" w:rsidRPr="000D4FA1">
        <w:rPr>
          <w:rFonts w:ascii="Times New Roman" w:eastAsia="Times New Roman" w:hAnsi="Times New Roman" w:cs="Times New Roman"/>
          <w:sz w:val="28"/>
          <w:szCs w:val="28"/>
          <w:lang w:val="ru-RU" w:eastAsia="ru-RU"/>
        </w:rPr>
        <w:t xml:space="preserve"> Также анализирует способы построения устойчивого конкурентного преимущества через управление людьми и ставит в центр внимание </w:t>
      </w:r>
      <w:r w:rsidR="00F57F2F" w:rsidRPr="000D4FA1">
        <w:rPr>
          <w:rFonts w:ascii="Times New Roman" w:eastAsia="Times New Roman" w:hAnsi="Times New Roman" w:cs="Times New Roman"/>
          <w:bCs/>
          <w:sz w:val="28"/>
          <w:szCs w:val="28"/>
          <w:lang w:val="ru-RU" w:eastAsia="ru-RU"/>
        </w:rPr>
        <w:t>человеческого потенциала</w:t>
      </w:r>
      <w:r w:rsidR="00F57F2F" w:rsidRPr="000D4FA1">
        <w:rPr>
          <w:rFonts w:ascii="Times New Roman" w:eastAsia="Times New Roman" w:hAnsi="Times New Roman" w:cs="Times New Roman"/>
          <w:sz w:val="28"/>
          <w:szCs w:val="28"/>
          <w:lang w:val="ru-RU" w:eastAsia="ru-RU"/>
        </w:rPr>
        <w:t xml:space="preserve"> как ключевого ресурса для организационного успеха и прибыли. Основная идея заключается в том, что компании, которые ставят </w:t>
      </w:r>
      <w:r w:rsidR="00F57F2F" w:rsidRPr="000D4FA1">
        <w:rPr>
          <w:rFonts w:ascii="Times New Roman" w:eastAsia="Times New Roman" w:hAnsi="Times New Roman" w:cs="Times New Roman"/>
          <w:iCs/>
          <w:sz w:val="28"/>
          <w:szCs w:val="28"/>
          <w:lang w:val="ru-RU" w:eastAsia="ru-RU"/>
        </w:rPr>
        <w:t>первым людей</w:t>
      </w:r>
      <w:r w:rsidR="00F57F2F" w:rsidRPr="000D4FA1">
        <w:rPr>
          <w:rFonts w:ascii="Times New Roman" w:eastAsia="Times New Roman" w:hAnsi="Times New Roman" w:cs="Times New Roman"/>
          <w:sz w:val="28"/>
          <w:szCs w:val="28"/>
          <w:lang w:val="ru-RU" w:eastAsia="ru-RU"/>
        </w:rPr>
        <w:t>, достигают лучших долгосрочных результатов – и это подтверждается примерами и данными высокого уровня. [7</w:t>
      </w:r>
      <w:r w:rsidR="007433F3" w:rsidRPr="000D4FA1">
        <w:rPr>
          <w:rFonts w:ascii="Times New Roman" w:eastAsia="Times New Roman" w:hAnsi="Times New Roman" w:cs="Times New Roman"/>
          <w:sz w:val="28"/>
          <w:szCs w:val="28"/>
          <w:lang w:val="ru-RU" w:eastAsia="ru-RU"/>
        </w:rPr>
        <w:t>7</w:t>
      </w:r>
      <w:r w:rsidR="00F57F2F" w:rsidRPr="000D4FA1">
        <w:rPr>
          <w:rFonts w:ascii="Times New Roman" w:eastAsia="Times New Roman" w:hAnsi="Times New Roman" w:cs="Times New Roman"/>
          <w:sz w:val="28"/>
          <w:szCs w:val="28"/>
          <w:lang w:val="ru-RU" w:eastAsia="ru-RU"/>
        </w:rPr>
        <w:t>].</w:t>
      </w:r>
    </w:p>
    <w:p w:rsidR="00F57F2F" w:rsidRPr="000D4FA1" w:rsidRDefault="00F57F2F"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Как отмечают Lepak и Snell, «не все сотрудники обладают знаниями и навыками одинаковой стратегической значимости»; поэтому организациям важно дифференцировать управление человеческим капиталом, соотнося его с режимами занятости и конфигурацией HR</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практик, что способствует устойчивому конкурентному преимуществу (7</w:t>
      </w:r>
      <w:r w:rsidR="00D74D46" w:rsidRPr="000D4FA1">
        <w:rPr>
          <w:rFonts w:ascii="Times New Roman" w:eastAsia="Times New Roman" w:hAnsi="Times New Roman" w:cs="Times New Roman"/>
          <w:sz w:val="28"/>
          <w:szCs w:val="28"/>
          <w:lang w:val="ru-RU" w:eastAsia="ru-RU"/>
        </w:rPr>
        <w:t>5</w:t>
      </w:r>
      <w:r w:rsidRPr="000D4FA1">
        <w:rPr>
          <w:rFonts w:ascii="Times New Roman" w:eastAsia="Times New Roman" w:hAnsi="Times New Roman" w:cs="Times New Roman"/>
          <w:sz w:val="28"/>
          <w:szCs w:val="28"/>
          <w:lang w:val="ru-RU" w:eastAsia="ru-RU"/>
        </w:rPr>
        <w:t>, с.31–32).</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Одним из важных аспектов человеческого потенциала является мотивация и вовлеченность сотрудников. Исследования </w:t>
      </w:r>
      <w:r w:rsidRPr="000D4FA1">
        <w:rPr>
          <w:rFonts w:ascii="Times New Roman" w:eastAsia="Times New Roman" w:hAnsi="Times New Roman" w:cs="Times New Roman"/>
          <w:sz w:val="28"/>
          <w:szCs w:val="28"/>
          <w:lang w:eastAsia="ru-RU"/>
        </w:rPr>
        <w:t>Deci</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E</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L</w:t>
      </w:r>
      <w:r w:rsidRPr="000D4FA1">
        <w:rPr>
          <w:rFonts w:ascii="Times New Roman" w:eastAsia="Times New Roman" w:hAnsi="Times New Roman" w:cs="Times New Roman"/>
          <w:sz w:val="28"/>
          <w:szCs w:val="28"/>
          <w:lang w:val="ru-RU" w:eastAsia="ru-RU"/>
        </w:rPr>
        <w:t xml:space="preserve">., &amp; </w:t>
      </w:r>
      <w:r w:rsidRPr="000D4FA1">
        <w:rPr>
          <w:rFonts w:ascii="Times New Roman" w:eastAsia="Times New Roman" w:hAnsi="Times New Roman" w:cs="Times New Roman"/>
          <w:sz w:val="28"/>
          <w:szCs w:val="28"/>
          <w:lang w:eastAsia="ru-RU"/>
        </w:rPr>
        <w:t>Ryan</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R</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4"/>
          <w:szCs w:val="24"/>
          <w:lang w:val="ru-RU" w:eastAsia="ru-RU"/>
        </w:rPr>
        <w:t xml:space="preserve"> </w:t>
      </w:r>
      <w:r w:rsidRPr="000D4FA1">
        <w:rPr>
          <w:rFonts w:ascii="Times New Roman" w:eastAsia="Times New Roman" w:hAnsi="Times New Roman" w:cs="Times New Roman"/>
          <w:sz w:val="28"/>
          <w:szCs w:val="28"/>
          <w:lang w:val="ru-RU" w:eastAsia="ru-RU"/>
        </w:rPr>
        <w:t>показывают, что высокий уровень вовлеченности сотрудников напрямую связан с улучшением организационной устойчивости</w:t>
      </w:r>
      <w:r w:rsidR="00AF3C89" w:rsidRPr="000D4FA1">
        <w:rPr>
          <w:rFonts w:ascii="Times New Roman" w:eastAsia="Times New Roman" w:hAnsi="Times New Roman" w:cs="Times New Roman"/>
          <w:sz w:val="28"/>
          <w:szCs w:val="28"/>
          <w:lang w:val="ru-RU" w:eastAsia="ru-RU"/>
        </w:rPr>
        <w:t xml:space="preserve"> [</w:t>
      </w:r>
      <w:r w:rsidR="00BD1569" w:rsidRPr="000D4FA1">
        <w:rPr>
          <w:rFonts w:ascii="Times New Roman" w:eastAsia="Times New Roman" w:hAnsi="Times New Roman" w:cs="Times New Roman"/>
          <w:sz w:val="28"/>
          <w:szCs w:val="28"/>
          <w:lang w:val="ru-RU" w:eastAsia="ru-RU"/>
        </w:rPr>
        <w:t>7</w:t>
      </w:r>
      <w:r w:rsidR="007433F3" w:rsidRPr="000D4FA1">
        <w:rPr>
          <w:rFonts w:ascii="Times New Roman" w:eastAsia="Times New Roman" w:hAnsi="Times New Roman" w:cs="Times New Roman"/>
          <w:sz w:val="28"/>
          <w:szCs w:val="28"/>
          <w:lang w:val="ru-RU" w:eastAsia="ru-RU"/>
        </w:rPr>
        <w:t>8</w:t>
      </w:r>
      <w:r w:rsidR="00AF3C89"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Сотрудники, которые чувствуют себя вовлеченными в работу и мотивированы на достижение высоких результатов, демонстрируют более высокую производительность и готовы вкладываться в долгосрочные проекты. </w:t>
      </w:r>
      <w:r w:rsidR="00AF3C89" w:rsidRPr="000D4FA1">
        <w:rPr>
          <w:rFonts w:ascii="Times New Roman" w:eastAsia="Times New Roman" w:hAnsi="Times New Roman" w:cs="Times New Roman"/>
          <w:sz w:val="28"/>
          <w:szCs w:val="28"/>
          <w:lang w:val="ru-RU" w:eastAsia="ru-RU"/>
        </w:rPr>
        <w:t>О</w:t>
      </w:r>
      <w:r w:rsidRPr="000D4FA1">
        <w:rPr>
          <w:rFonts w:ascii="Times New Roman" w:eastAsia="Times New Roman" w:hAnsi="Times New Roman" w:cs="Times New Roman"/>
          <w:sz w:val="28"/>
          <w:szCs w:val="28"/>
          <w:lang w:val="ru-RU" w:eastAsia="ru-RU"/>
        </w:rPr>
        <w:t xml:space="preserve">собенно </w:t>
      </w:r>
      <w:r w:rsidR="00AF3C89" w:rsidRPr="000D4FA1">
        <w:rPr>
          <w:rFonts w:ascii="Times New Roman" w:eastAsia="Times New Roman" w:hAnsi="Times New Roman" w:cs="Times New Roman"/>
          <w:sz w:val="28"/>
          <w:szCs w:val="28"/>
          <w:lang w:val="ru-RU" w:eastAsia="ru-RU"/>
        </w:rPr>
        <w:t xml:space="preserve">это </w:t>
      </w:r>
      <w:r w:rsidRPr="000D4FA1">
        <w:rPr>
          <w:rFonts w:ascii="Times New Roman" w:eastAsia="Times New Roman" w:hAnsi="Times New Roman" w:cs="Times New Roman"/>
          <w:sz w:val="28"/>
          <w:szCs w:val="28"/>
          <w:lang w:val="ru-RU" w:eastAsia="ru-RU"/>
        </w:rPr>
        <w:t xml:space="preserve">важно для организаций, которые работают в быстро меняющихся условиях. </w:t>
      </w:r>
      <w:r w:rsidRPr="000D4FA1">
        <w:rPr>
          <w:rFonts w:ascii="Times New Roman" w:eastAsia="Times New Roman" w:hAnsi="Times New Roman" w:cs="Times New Roman"/>
          <w:sz w:val="28"/>
          <w:szCs w:val="28"/>
          <w:lang w:val="ru-RU" w:eastAsia="ru-RU"/>
        </w:rPr>
        <w:lastRenderedPageBreak/>
        <w:t>Компании, которые поддерживают высокий уровень мотивации и вовлеченности через эффективные программы поощрения и развития, способны сохранять конкурентоспособность и устойчивость даже в кризисных ситуациях.</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Инновации являются одним из ключевых факторов долгосрочной устойчивости организаций. Как отмечает Amabile </w:t>
      </w:r>
      <w:r w:rsidRPr="000D4FA1">
        <w:rPr>
          <w:rFonts w:ascii="Times New Roman" w:eastAsia="Times New Roman" w:hAnsi="Times New Roman" w:cs="Times New Roman"/>
          <w:sz w:val="28"/>
          <w:szCs w:val="28"/>
          <w:lang w:eastAsia="ru-RU"/>
        </w:rPr>
        <w:t>T</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 креативность и инновационные способности сотрудников напрямую влияют на успешность внедрения новых идей и технологий в компании</w:t>
      </w:r>
      <w:r w:rsidR="00AF3C89" w:rsidRPr="000D4FA1">
        <w:rPr>
          <w:rFonts w:ascii="Times New Roman" w:eastAsia="Times New Roman" w:hAnsi="Times New Roman" w:cs="Times New Roman"/>
          <w:sz w:val="28"/>
          <w:szCs w:val="28"/>
          <w:lang w:val="ru-RU" w:eastAsia="ru-RU"/>
        </w:rPr>
        <w:t xml:space="preserve"> [</w:t>
      </w:r>
      <w:r w:rsidR="00BD1569" w:rsidRPr="000D4FA1">
        <w:rPr>
          <w:rFonts w:ascii="Times New Roman" w:eastAsia="Times New Roman" w:hAnsi="Times New Roman" w:cs="Times New Roman"/>
          <w:sz w:val="28"/>
          <w:szCs w:val="28"/>
          <w:lang w:val="ru-RU" w:eastAsia="ru-RU"/>
        </w:rPr>
        <w:t>7</w:t>
      </w:r>
      <w:r w:rsidR="007433F3" w:rsidRPr="000D4FA1">
        <w:rPr>
          <w:rFonts w:ascii="Times New Roman" w:eastAsia="Times New Roman" w:hAnsi="Times New Roman" w:cs="Times New Roman"/>
          <w:sz w:val="28"/>
          <w:szCs w:val="28"/>
          <w:lang w:val="ru-RU" w:eastAsia="ru-RU"/>
        </w:rPr>
        <w:t>9</w:t>
      </w:r>
      <w:r w:rsidR="00AF3C89"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Человеческий потенциал, который включает в себя креативные способности и желание обучаться новым навыкам, способствует ускоренному внедрению инноваций, что делает организацию более гибкой и готовой к изменениям на рынке. Для многих компаний развитие человеческого капитала через программы обучения и креативного мышления становится приоритетной задачей для обеспечения устойчивости.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Организационная культура, основанная на ценностях и принципах взаимодействия, также является важным элементом устойчивости. В исследованиях Schein E.H. подчеркивается, что человеческий потенциал влияет на формирование и развитие культуры внутри компании</w:t>
      </w:r>
      <w:r w:rsidR="00DD4662" w:rsidRPr="000D4FA1">
        <w:rPr>
          <w:rFonts w:ascii="Times New Roman" w:eastAsia="Times New Roman" w:hAnsi="Times New Roman" w:cs="Times New Roman"/>
          <w:sz w:val="28"/>
          <w:szCs w:val="28"/>
          <w:lang w:val="ru-RU" w:eastAsia="ru-RU"/>
        </w:rPr>
        <w:t>. По его мнению</w:t>
      </w:r>
      <w:r w:rsidR="00BD1569" w:rsidRPr="000D4FA1">
        <w:rPr>
          <w:rFonts w:ascii="Times New Roman" w:eastAsia="Times New Roman" w:hAnsi="Times New Roman" w:cs="Times New Roman"/>
          <w:sz w:val="28"/>
          <w:szCs w:val="28"/>
          <w:lang w:val="ru-RU" w:eastAsia="ru-RU"/>
        </w:rPr>
        <w:t xml:space="preserve"> организационная культура представляет собой совокупность базовых предположений, ценностей и норм, усвоенных членами организации в процессе совместной деятельности и коллективного решения задач, и эти культурные элементы отражают человеческий потенциал как ключевой фактор адаптации и устойчивости организации. </w:t>
      </w:r>
      <w:r w:rsidRPr="000D4FA1">
        <w:rPr>
          <w:rFonts w:ascii="Times New Roman" w:eastAsia="Times New Roman" w:hAnsi="Times New Roman" w:cs="Times New Roman"/>
          <w:sz w:val="28"/>
          <w:szCs w:val="28"/>
          <w:lang w:val="ru-RU" w:eastAsia="ru-RU"/>
        </w:rPr>
        <w:t>Сильная организационная культура, поддерживаемая высококвалифицированными и мотивированными сотрудниками, способствует снижению текучести кадров, улучшению морального климата в коллективе и более эффективному решению задач. В свою очередь, организации, которые активно развивают свой человеческий потенциал, способны формировать культуру, ориентированную на постоянное развитие и достижение высоких результатов</w:t>
      </w:r>
      <w:r w:rsidR="00BD1569" w:rsidRPr="000D4FA1">
        <w:rPr>
          <w:rFonts w:ascii="Times New Roman" w:eastAsia="Times New Roman" w:hAnsi="Times New Roman" w:cs="Times New Roman"/>
          <w:sz w:val="28"/>
          <w:szCs w:val="28"/>
          <w:lang w:val="ru-RU" w:eastAsia="ru-RU"/>
        </w:rPr>
        <w:t xml:space="preserve"> [</w:t>
      </w:r>
      <w:r w:rsidR="007433F3" w:rsidRPr="000D4FA1">
        <w:rPr>
          <w:rFonts w:ascii="Times New Roman" w:eastAsia="Times New Roman" w:hAnsi="Times New Roman" w:cs="Times New Roman"/>
          <w:sz w:val="28"/>
          <w:szCs w:val="28"/>
          <w:lang w:val="ru-RU" w:eastAsia="ru-RU"/>
        </w:rPr>
        <w:t>80</w:t>
      </w:r>
      <w:r w:rsidR="00BD1569" w:rsidRPr="000D4FA1">
        <w:rPr>
          <w:rFonts w:ascii="Times New Roman" w:eastAsia="Times New Roman" w:hAnsi="Times New Roman" w:cs="Times New Roman"/>
          <w:sz w:val="28"/>
          <w:szCs w:val="28"/>
          <w:lang w:val="ru-RU" w:eastAsia="ru-RU"/>
        </w:rPr>
        <w:t xml:space="preserve">].   </w:t>
      </w:r>
    </w:p>
    <w:p w:rsidR="00DD4662"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Несмотря на очевидные преимущества, развитие человеческого потенциала может сталкиваться с рядом вызовов. Одним из ключевых является недостаток инвестиций в обучение и развитие сотрудников. Исследования Armstrong </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 показывают, что многие организации не уделяют должного внимания развитию человеческого капитала, что приводит к снижению мотивации и профессиональных навыков сотрудников</w:t>
      </w:r>
      <w:r w:rsidR="006B79A0" w:rsidRPr="000D4FA1">
        <w:rPr>
          <w:rFonts w:ascii="Times New Roman" w:eastAsia="Times New Roman" w:hAnsi="Times New Roman" w:cs="Times New Roman"/>
          <w:sz w:val="28"/>
          <w:szCs w:val="28"/>
          <w:lang w:val="ru-RU" w:eastAsia="ru-RU"/>
        </w:rPr>
        <w:t xml:space="preserve"> </w:t>
      </w:r>
      <w:r w:rsidR="00BD1569" w:rsidRPr="000D4FA1">
        <w:rPr>
          <w:rFonts w:ascii="Times New Roman" w:eastAsia="Times New Roman" w:hAnsi="Times New Roman" w:cs="Times New Roman"/>
          <w:sz w:val="28"/>
          <w:szCs w:val="28"/>
          <w:lang w:val="ru-RU" w:eastAsia="ru-RU"/>
        </w:rPr>
        <w:t>[</w:t>
      </w:r>
      <w:r w:rsidR="00DD4662" w:rsidRPr="000D4FA1">
        <w:rPr>
          <w:rFonts w:ascii="Times New Roman" w:eastAsia="Times New Roman" w:hAnsi="Times New Roman" w:cs="Times New Roman"/>
          <w:sz w:val="28"/>
          <w:szCs w:val="28"/>
          <w:lang w:val="ru-RU" w:eastAsia="ru-RU"/>
        </w:rPr>
        <w:t>8</w:t>
      </w:r>
      <w:r w:rsidR="007433F3" w:rsidRPr="000D4FA1">
        <w:rPr>
          <w:rFonts w:ascii="Times New Roman" w:eastAsia="Times New Roman" w:hAnsi="Times New Roman" w:cs="Times New Roman"/>
          <w:sz w:val="28"/>
          <w:szCs w:val="28"/>
          <w:lang w:val="ru-RU" w:eastAsia="ru-RU"/>
        </w:rPr>
        <w:t>1</w:t>
      </w:r>
      <w:r w:rsidR="00BD1569" w:rsidRPr="000D4FA1">
        <w:rPr>
          <w:rFonts w:ascii="Times New Roman" w:eastAsia="Times New Roman" w:hAnsi="Times New Roman" w:cs="Times New Roman"/>
          <w:sz w:val="28"/>
          <w:szCs w:val="28"/>
          <w:lang w:val="ru-RU" w:eastAsia="ru-RU"/>
        </w:rPr>
        <w:t xml:space="preserve">].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Ещё одной проблемой является сложность в оценке человеческого потенциала, особенно когда речь идет о креативности и личностных качествах. Для решения этих проблем организации должны разрабатывать комплексные программы по развитию и оценке сотрудников, которые включают как количественные, так и качественные методы.</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Зарубежный опыт управления человеческим потенциалом демонстрирует высокую эффективность внедрения комплексных программ развития сотрудников. В США, Японии и странах Европы компании активно внедряют системы управления талантами, которые помогают поддерживать высокий уровень профессионализма и вовлеченности сотрудников. В частности, </w:t>
      </w:r>
      <w:r w:rsidRPr="000D4FA1">
        <w:rPr>
          <w:rFonts w:ascii="Times New Roman" w:eastAsia="Times New Roman" w:hAnsi="Times New Roman" w:cs="Times New Roman"/>
          <w:sz w:val="28"/>
          <w:szCs w:val="28"/>
          <w:lang w:val="ru-RU" w:eastAsia="ru-RU"/>
        </w:rPr>
        <w:lastRenderedPageBreak/>
        <w:t xml:space="preserve">исследования </w:t>
      </w:r>
      <w:r w:rsidRPr="000D4FA1">
        <w:rPr>
          <w:rFonts w:ascii="Times New Roman" w:eastAsia="Times New Roman" w:hAnsi="Times New Roman" w:cs="Times New Roman"/>
          <w:sz w:val="28"/>
          <w:szCs w:val="28"/>
          <w:lang w:eastAsia="ru-RU"/>
        </w:rPr>
        <w:t>Luthans</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F</w:t>
      </w:r>
      <w:r w:rsidRPr="000D4FA1">
        <w:rPr>
          <w:rFonts w:ascii="Times New Roman" w:eastAsia="Times New Roman" w:hAnsi="Times New Roman" w:cs="Times New Roman"/>
          <w:sz w:val="28"/>
          <w:szCs w:val="28"/>
          <w:lang w:val="ru-RU" w:eastAsia="ru-RU"/>
        </w:rPr>
        <w:t xml:space="preserve">., &amp; </w:t>
      </w:r>
      <w:r w:rsidRPr="000D4FA1">
        <w:rPr>
          <w:rFonts w:ascii="Times New Roman" w:eastAsia="Times New Roman" w:hAnsi="Times New Roman" w:cs="Times New Roman"/>
          <w:sz w:val="28"/>
          <w:szCs w:val="28"/>
          <w:lang w:eastAsia="ru-RU"/>
        </w:rPr>
        <w:t>Youssef</w:t>
      </w:r>
      <w:r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C</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M</w:t>
      </w:r>
      <w:r w:rsidRPr="000D4FA1">
        <w:rPr>
          <w:rFonts w:ascii="Times New Roman" w:eastAsia="Times New Roman" w:hAnsi="Times New Roman" w:cs="Times New Roman"/>
          <w:sz w:val="28"/>
          <w:szCs w:val="28"/>
          <w:lang w:val="ru-RU" w:eastAsia="ru-RU"/>
        </w:rPr>
        <w:t>. показывают, что компании, инвестирующие в развитие человеческого потенциала через программы лидерства и обучения, демонстрируют более высокие показатели устойчивости и готовы адаптироваться к изменениям рынка</w:t>
      </w:r>
      <w:r w:rsidR="006B79A0" w:rsidRPr="000D4FA1">
        <w:rPr>
          <w:rFonts w:ascii="Times New Roman" w:eastAsia="Times New Roman" w:hAnsi="Times New Roman" w:cs="Times New Roman"/>
          <w:b/>
          <w:color w:val="FF0000"/>
          <w:sz w:val="28"/>
          <w:szCs w:val="28"/>
          <w:lang w:val="ru-RU" w:eastAsia="ru-RU"/>
        </w:rPr>
        <w:t xml:space="preserve"> </w:t>
      </w:r>
      <w:r w:rsidR="00BD1569" w:rsidRPr="000D4FA1">
        <w:rPr>
          <w:rFonts w:ascii="Times New Roman" w:eastAsia="Times New Roman" w:hAnsi="Times New Roman" w:cs="Times New Roman"/>
          <w:sz w:val="28"/>
          <w:szCs w:val="28"/>
          <w:lang w:val="ru-RU" w:eastAsia="ru-RU"/>
        </w:rPr>
        <w:t>[</w:t>
      </w:r>
      <w:r w:rsidR="00DD4662" w:rsidRPr="000D4FA1">
        <w:rPr>
          <w:rFonts w:ascii="Times New Roman" w:eastAsia="Times New Roman" w:hAnsi="Times New Roman" w:cs="Times New Roman"/>
          <w:sz w:val="28"/>
          <w:szCs w:val="28"/>
          <w:lang w:val="ru-RU" w:eastAsia="ru-RU"/>
        </w:rPr>
        <w:t>8</w:t>
      </w:r>
      <w:r w:rsidR="007433F3" w:rsidRPr="000D4FA1">
        <w:rPr>
          <w:rFonts w:ascii="Times New Roman" w:eastAsia="Times New Roman" w:hAnsi="Times New Roman" w:cs="Times New Roman"/>
          <w:sz w:val="28"/>
          <w:szCs w:val="28"/>
          <w:lang w:val="ru-RU" w:eastAsia="ru-RU"/>
        </w:rPr>
        <w:t>2</w:t>
      </w:r>
      <w:r w:rsidR="00BD1569"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Примеры таких компаний, как Google и Toyota, показывают, что управление человеческими ресурсами через развитие компетенций сотрудников способствует улучшению организационной культуры и повышению конкурентоспособности.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Человеческий потенциал является основным двигателем устойчивости организаций. Развитие профессиональных навыков, мотивации и инновационных способностей сотрудников способствует долгосрочному успеху и устойчивости компании в условиях изменяющейся экономики. Международный опыт показывает, что организации, которые инвестируют в развитие своих сотрудников, способны сохранять конкурентоспособность и успешно адаптироваться к внешним вызовам. Успешное управление человеческим потенциалом становится важным стратегическим направлением для обеспечения устойчивости организаций.</w:t>
      </w:r>
    </w:p>
    <w:p w:rsidR="00A75C60" w:rsidRPr="000D4FA1" w:rsidRDefault="00A75C60" w:rsidP="00D9617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Мотивация сотрудников снижает текучесть кадров и увеличивает вовлеченность, что ведет к стабильной и продуктивной рабочей среде. Лидерство укрепляет организационную культуру и помогает успешно преодолевать кризисные ситуации, повышая устойчивость компании в трудные времена. </w:t>
      </w:r>
    </w:p>
    <w:p w:rsidR="00D96177" w:rsidRPr="000D4FA1" w:rsidRDefault="00D96177" w:rsidP="00D9617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Таблица 6 иллюстрирует, как различные аспекты человеческого потенциала влияют на устойчивость компании. Знания и навыки сотрудников способствуют повышению производительности и улучшению качества работы, что оптимизирует процессы и повышает конкурентоспособность. </w:t>
      </w:r>
    </w:p>
    <w:p w:rsidR="006E2083" w:rsidRPr="000D4FA1" w:rsidRDefault="006E2083" w:rsidP="00902016">
      <w:pPr>
        <w:pStyle w:val="a4"/>
        <w:ind w:firstLine="708"/>
        <w:rPr>
          <w:sz w:val="28"/>
          <w:szCs w:val="28"/>
        </w:rPr>
      </w:pPr>
      <w:r w:rsidRPr="000D4FA1">
        <w:rPr>
          <w:sz w:val="28"/>
          <w:szCs w:val="28"/>
        </w:rPr>
        <w:t>Таблица 6</w:t>
      </w:r>
      <w:r w:rsidR="00902016" w:rsidRPr="000D4FA1">
        <w:rPr>
          <w:sz w:val="28"/>
          <w:szCs w:val="28"/>
        </w:rPr>
        <w:t xml:space="preserve"> –</w:t>
      </w:r>
      <w:r w:rsidRPr="000D4FA1">
        <w:rPr>
          <w:sz w:val="28"/>
          <w:szCs w:val="28"/>
        </w:rPr>
        <w:t xml:space="preserve"> Ключевые элементы человеческого потенциала и их влияния на устойчивость организации</w:t>
      </w:r>
    </w:p>
    <w:tbl>
      <w:tblPr>
        <w:tblStyle w:val="af4"/>
        <w:tblW w:w="9747" w:type="dxa"/>
        <w:tblLook w:val="04A0"/>
      </w:tblPr>
      <w:tblGrid>
        <w:gridCol w:w="1938"/>
        <w:gridCol w:w="3980"/>
        <w:gridCol w:w="3829"/>
      </w:tblGrid>
      <w:tr w:rsidR="006E2083" w:rsidRPr="000D4FA1" w:rsidTr="004770BF">
        <w:tc>
          <w:tcPr>
            <w:tcW w:w="1809"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Элемент человеческого потенциала</w:t>
            </w:r>
          </w:p>
        </w:tc>
        <w:tc>
          <w:tcPr>
            <w:tcW w:w="4044"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Влияние на устойчивость организации</w:t>
            </w:r>
          </w:p>
        </w:tc>
        <w:tc>
          <w:tcPr>
            <w:tcW w:w="3894" w:type="dxa"/>
            <w:vAlign w:val="center"/>
          </w:tcPr>
          <w:p w:rsidR="006E2083" w:rsidRPr="000D4FA1" w:rsidRDefault="006E2083" w:rsidP="00B80F8B">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Примеры воздействия</w:t>
            </w:r>
          </w:p>
        </w:tc>
      </w:tr>
      <w:tr w:rsidR="006E2083" w:rsidRPr="0036668B" w:rsidTr="004770BF">
        <w:tc>
          <w:tcPr>
            <w:tcW w:w="1809"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Мотивация</w:t>
            </w:r>
          </w:p>
        </w:tc>
        <w:tc>
          <w:tcPr>
            <w:tcW w:w="404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Увеличение вовлеченности и продуктивности сотрудников, снижение текучести кадров</w:t>
            </w:r>
          </w:p>
        </w:tc>
        <w:tc>
          <w:tcPr>
            <w:tcW w:w="389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Снижение текучести на 10%, повышение вовлеченности на 15%</w:t>
            </w:r>
          </w:p>
        </w:tc>
      </w:tr>
      <w:tr w:rsidR="006E2083" w:rsidRPr="0036668B" w:rsidTr="004770BF">
        <w:tc>
          <w:tcPr>
            <w:tcW w:w="1809"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Лидерство</w:t>
            </w:r>
          </w:p>
        </w:tc>
        <w:tc>
          <w:tcPr>
            <w:tcW w:w="404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Укрепление организационной культуры, устойчивость в кризисных ситуациях</w:t>
            </w:r>
          </w:p>
        </w:tc>
        <w:tc>
          <w:tcPr>
            <w:tcW w:w="389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Более успешное преодоление кризисов, повышение эффективности</w:t>
            </w:r>
          </w:p>
        </w:tc>
      </w:tr>
      <w:tr w:rsidR="006E2083" w:rsidRPr="0036668B" w:rsidTr="004770BF">
        <w:tc>
          <w:tcPr>
            <w:tcW w:w="1809"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Креативность</w:t>
            </w:r>
          </w:p>
        </w:tc>
        <w:tc>
          <w:tcPr>
            <w:tcW w:w="404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Внедрение инноваций, гибкость и адаптивность организации</w:t>
            </w:r>
          </w:p>
        </w:tc>
        <w:tc>
          <w:tcPr>
            <w:tcW w:w="3894" w:type="dxa"/>
            <w:vAlign w:val="center"/>
          </w:tcPr>
          <w:p w:rsidR="006E2083" w:rsidRPr="000D4FA1" w:rsidRDefault="006E2083" w:rsidP="00B80F8B">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Создание инновационных продуктов, адаптация к изменениям на рынке</w:t>
            </w:r>
          </w:p>
        </w:tc>
      </w:tr>
      <w:tr w:rsidR="006E2083" w:rsidRPr="0036668B" w:rsidTr="004770BF">
        <w:tc>
          <w:tcPr>
            <w:tcW w:w="9747" w:type="dxa"/>
            <w:gridSpan w:val="3"/>
            <w:vAlign w:val="center"/>
          </w:tcPr>
          <w:p w:rsidR="006E2083" w:rsidRPr="000D4FA1" w:rsidRDefault="00902016" w:rsidP="00B80F8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Примечание</w:t>
            </w:r>
            <w:r w:rsidRPr="000D4FA1">
              <w:rPr>
                <w:rFonts w:ascii="Times New Roman" w:eastAsia="Times New Roman" w:hAnsi="Times New Roman" w:cs="Times New Roman"/>
                <w:bCs/>
                <w:sz w:val="24"/>
                <w:szCs w:val="24"/>
                <w:lang w:val="ru-RU" w:eastAsia="ru-RU"/>
              </w:rPr>
              <w:t xml:space="preserve"> –</w:t>
            </w:r>
            <w:r w:rsidR="006E2083" w:rsidRPr="000D4FA1">
              <w:rPr>
                <w:rFonts w:ascii="Times New Roman" w:eastAsia="Times New Roman" w:hAnsi="Times New Roman" w:cs="Times New Roman"/>
                <w:bCs/>
                <w:sz w:val="24"/>
                <w:szCs w:val="24"/>
                <w:lang w:val="ru-RU" w:eastAsia="ru-RU"/>
              </w:rPr>
              <w:t xml:space="preserve"> составлен</w:t>
            </w:r>
            <w:r w:rsidRPr="000D4FA1">
              <w:rPr>
                <w:rFonts w:ascii="Times New Roman" w:eastAsia="Times New Roman" w:hAnsi="Times New Roman" w:cs="Times New Roman"/>
                <w:bCs/>
                <w:sz w:val="24"/>
                <w:szCs w:val="24"/>
                <w:lang w:val="ru-RU" w:eastAsia="ru-RU"/>
              </w:rPr>
              <w:t>о</w:t>
            </w:r>
            <w:r w:rsidR="006E2083" w:rsidRPr="000D4FA1">
              <w:rPr>
                <w:rFonts w:ascii="Times New Roman" w:eastAsia="Times New Roman" w:hAnsi="Times New Roman" w:cs="Times New Roman"/>
                <w:bCs/>
                <w:sz w:val="24"/>
                <w:szCs w:val="24"/>
                <w:lang w:val="ru-RU" w:eastAsia="ru-RU"/>
              </w:rPr>
              <w:t xml:space="preserve"> автором на основе исследования</w:t>
            </w:r>
          </w:p>
        </w:tc>
      </w:tr>
    </w:tbl>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Креативность, в свою очередь, способствует внедрению инноваций, что делает организацию гибкой и готовой к изменениям на рынке. Элементы </w:t>
      </w:r>
      <w:r w:rsidRPr="000D4FA1">
        <w:rPr>
          <w:rFonts w:ascii="Times New Roman" w:eastAsia="Times New Roman" w:hAnsi="Times New Roman" w:cs="Times New Roman"/>
          <w:sz w:val="28"/>
          <w:szCs w:val="28"/>
          <w:lang w:val="ru-RU" w:eastAsia="ru-RU"/>
        </w:rPr>
        <w:lastRenderedPageBreak/>
        <w:t>показывают, что развитие человеческого потенциала является важным фактором устойчивости организации в долгосрочной перспективе.</w:t>
      </w:r>
    </w:p>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p w:rsidR="006E2083" w:rsidRPr="000D4FA1" w:rsidRDefault="006E2083" w:rsidP="0004140E">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7</w:t>
      </w:r>
      <w:r w:rsidR="0004140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Взаимосвязь человеческого потенциала и показателей устойчивости организации</w:t>
      </w:r>
    </w:p>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tbl>
      <w:tblPr>
        <w:tblStyle w:val="af4"/>
        <w:tblW w:w="9747" w:type="dxa"/>
        <w:tblLook w:val="04A0"/>
      </w:tblPr>
      <w:tblGrid>
        <w:gridCol w:w="2702"/>
        <w:gridCol w:w="3613"/>
        <w:gridCol w:w="3432"/>
      </w:tblGrid>
      <w:tr w:rsidR="006E2083" w:rsidRPr="000D4FA1" w:rsidTr="004770BF">
        <w:tc>
          <w:tcPr>
            <w:tcW w:w="2518"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Показатель устойчивости организации</w:t>
            </w:r>
          </w:p>
        </w:tc>
        <w:tc>
          <w:tcPr>
            <w:tcW w:w="3712"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Влияние человеческого потенциала</w:t>
            </w:r>
          </w:p>
        </w:tc>
        <w:tc>
          <w:tcPr>
            <w:tcW w:w="3517"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Примеры данных</w:t>
            </w:r>
          </w:p>
        </w:tc>
      </w:tr>
      <w:tr w:rsidR="006E2083" w:rsidRPr="0036668B" w:rsidTr="004770BF">
        <w:tc>
          <w:tcPr>
            <w:tcW w:w="251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Производительность труда</w:t>
            </w:r>
          </w:p>
        </w:tc>
        <w:tc>
          <w:tcPr>
            <w:tcW w:w="371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Высокий уровень знаний и навыков способствует росту производительности</w:t>
            </w:r>
          </w:p>
        </w:tc>
        <w:tc>
          <w:tcPr>
            <w:tcW w:w="351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Рост производительности на 15% при улучшении квалификации сотрудников</w:t>
            </w:r>
          </w:p>
        </w:tc>
      </w:tr>
      <w:tr w:rsidR="006E2083" w:rsidRPr="0036668B" w:rsidTr="004770BF">
        <w:tc>
          <w:tcPr>
            <w:tcW w:w="251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Уровень инноваций</w:t>
            </w:r>
          </w:p>
        </w:tc>
        <w:tc>
          <w:tcPr>
            <w:tcW w:w="371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Креативность и инициативность персонала увеличивают внедрение новшеств</w:t>
            </w:r>
          </w:p>
        </w:tc>
        <w:tc>
          <w:tcPr>
            <w:tcW w:w="351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Количество внедренных инноваций увеличилось на 20% после тренингов по креативности</w:t>
            </w:r>
          </w:p>
        </w:tc>
      </w:tr>
      <w:tr w:rsidR="006E2083" w:rsidRPr="0036668B" w:rsidTr="004770BF">
        <w:tc>
          <w:tcPr>
            <w:tcW w:w="251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Текучесть кадров</w:t>
            </w:r>
          </w:p>
        </w:tc>
        <w:tc>
          <w:tcPr>
            <w:tcW w:w="371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Высокая мотивация сотрудников снижает текучесть кадров</w:t>
            </w:r>
          </w:p>
        </w:tc>
        <w:tc>
          <w:tcPr>
            <w:tcW w:w="351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Снижение текучести кадров на 10% после внедрения программ мотивации</w:t>
            </w:r>
          </w:p>
        </w:tc>
      </w:tr>
      <w:tr w:rsidR="006E2083" w:rsidRPr="0036668B" w:rsidTr="004770BF">
        <w:tc>
          <w:tcPr>
            <w:tcW w:w="251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Финансовая устойчивость</w:t>
            </w:r>
          </w:p>
        </w:tc>
        <w:tc>
          <w:tcPr>
            <w:tcW w:w="371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Квалифицированные сотрудники повышают операционную эффективность</w:t>
            </w:r>
          </w:p>
        </w:tc>
        <w:tc>
          <w:tcPr>
            <w:tcW w:w="351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Увеличение прибыли на 5% за счет оптимизации процессов</w:t>
            </w:r>
          </w:p>
        </w:tc>
      </w:tr>
      <w:tr w:rsidR="006E2083" w:rsidRPr="0036668B" w:rsidTr="004770BF">
        <w:tc>
          <w:tcPr>
            <w:tcW w:w="9747" w:type="dxa"/>
            <w:gridSpan w:val="3"/>
            <w:vAlign w:val="center"/>
          </w:tcPr>
          <w:p w:rsidR="006E2083" w:rsidRPr="000D4FA1" w:rsidRDefault="0004140E" w:rsidP="006B79A0">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4"/>
                <w:szCs w:val="24"/>
                <w:lang w:val="ru-RU" w:eastAsia="ru-RU"/>
              </w:rPr>
              <w:t xml:space="preserve">           Примечание – составлено автором на основе исследования</w:t>
            </w:r>
          </w:p>
        </w:tc>
      </w:tr>
    </w:tbl>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7 демонстрирует, как различные элементы человеческого потенциала (знания, креативность, мотивация) влияют на ключевые показатели устойчивости организации, такие как производительность труда, уровень инноваций, текучесть кадров и финансовая устойчивость. Например, высокий уровень знаний и навыков сотрудников способствует росту производительности на 15%, а креативность и инициативность персонала увеличивают количество внедренных инноваций на 20%. Программы мотивации снижают текучесть кадров на 10%, а квалифицированные сотрудники помогают повысить операционную эффективность, что приводит к увеличению прибыли на 5%.</w:t>
      </w:r>
    </w:p>
    <w:p w:rsidR="00DD4662" w:rsidRPr="000D4FA1" w:rsidRDefault="00DD4662" w:rsidP="00DD4662">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Таблица </w:t>
      </w:r>
      <w:r w:rsidRPr="000D4FA1">
        <w:rPr>
          <w:rFonts w:ascii="Times New Roman" w:eastAsia="Times New Roman" w:hAnsi="Times New Roman" w:cs="Times New Roman"/>
          <w:bCs/>
          <w:sz w:val="28"/>
          <w:szCs w:val="28"/>
          <w:lang w:val="ru-RU" w:eastAsia="ru-RU"/>
        </w:rPr>
        <w:t>8</w:t>
      </w:r>
      <w:r w:rsidRPr="000D4FA1">
        <w:rPr>
          <w:rFonts w:ascii="Times New Roman" w:eastAsia="Times New Roman" w:hAnsi="Times New Roman" w:cs="Times New Roman"/>
          <w:sz w:val="28"/>
          <w:szCs w:val="28"/>
          <w:lang w:val="ru-RU" w:eastAsia="ru-RU"/>
        </w:rPr>
        <w:t xml:space="preserve"> описывает различные программы, такие как обучение и повышение квалификации, программы мотивации, лидерства и креативного мышления. Направлены на улучшение профессиональных навыков, вовлеченности, управленческих способностей и креативности сотрудников. В результате их реализации повышается производительность, снижается текучесть кадров, укрепляется устойчивость компании в кризисных ситуациях и увеличивается количество внедряемых инноваций. Таким образом, данные </w:t>
      </w:r>
      <w:r w:rsidRPr="000D4FA1">
        <w:rPr>
          <w:rFonts w:ascii="Times New Roman" w:eastAsia="Times New Roman" w:hAnsi="Times New Roman" w:cs="Times New Roman"/>
          <w:sz w:val="28"/>
          <w:szCs w:val="28"/>
          <w:lang w:val="ru-RU" w:eastAsia="ru-RU"/>
        </w:rPr>
        <w:lastRenderedPageBreak/>
        <w:t>программы способствуют долгосрочной устойчивости организации и её способности адаптироваться к изменениям на рынке.</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8</w:t>
      </w:r>
      <w:r w:rsidR="0004140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Программы развития человеческого потенциала и их влияние на устойчивость</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p>
    <w:tbl>
      <w:tblPr>
        <w:tblStyle w:val="af4"/>
        <w:tblW w:w="9493" w:type="dxa"/>
        <w:tblLook w:val="04A0"/>
      </w:tblPr>
      <w:tblGrid>
        <w:gridCol w:w="3150"/>
        <w:gridCol w:w="3054"/>
        <w:gridCol w:w="3289"/>
      </w:tblGrid>
      <w:tr w:rsidR="006E2083" w:rsidRPr="000D4FA1" w:rsidTr="00DD4662">
        <w:tc>
          <w:tcPr>
            <w:tcW w:w="3150"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Программа развития человеческого потенциала</w:t>
            </w:r>
          </w:p>
        </w:tc>
        <w:tc>
          <w:tcPr>
            <w:tcW w:w="3054" w:type="dxa"/>
            <w:vAlign w:val="center"/>
          </w:tcPr>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Цель программы</w:t>
            </w:r>
          </w:p>
        </w:tc>
        <w:tc>
          <w:tcPr>
            <w:tcW w:w="3289"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Влияние на устойчивость организации</w:t>
            </w:r>
          </w:p>
        </w:tc>
      </w:tr>
      <w:tr w:rsidR="006E2083" w:rsidRPr="0036668B" w:rsidTr="00DD4662">
        <w:tc>
          <w:tcPr>
            <w:tcW w:w="3150"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Обучение и повышение квалификации</w:t>
            </w:r>
          </w:p>
        </w:tc>
        <w:tc>
          <w:tcPr>
            <w:tcW w:w="3054"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Улучшение профессиональных навыков сотрудников</w:t>
            </w:r>
          </w:p>
        </w:tc>
        <w:tc>
          <w:tcPr>
            <w:tcW w:w="3289"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Повышение производительности и уменьшение ошибок в работе</w:t>
            </w:r>
          </w:p>
        </w:tc>
      </w:tr>
      <w:tr w:rsidR="006E2083" w:rsidRPr="0036668B" w:rsidTr="00DD4662">
        <w:tc>
          <w:tcPr>
            <w:tcW w:w="3150"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Программа мотивации</w:t>
            </w:r>
          </w:p>
        </w:tc>
        <w:tc>
          <w:tcPr>
            <w:tcW w:w="3054"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Увеличение вовлеченности и производительности сотрудников</w:t>
            </w:r>
          </w:p>
        </w:tc>
        <w:tc>
          <w:tcPr>
            <w:tcW w:w="3289"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Снижение текучести кадров и повышение лояльности сотрудников</w:t>
            </w:r>
          </w:p>
        </w:tc>
      </w:tr>
      <w:tr w:rsidR="006E2083" w:rsidRPr="0036668B" w:rsidTr="00DD4662">
        <w:tc>
          <w:tcPr>
            <w:tcW w:w="3150"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Программа лидерства</w:t>
            </w:r>
          </w:p>
        </w:tc>
        <w:tc>
          <w:tcPr>
            <w:tcW w:w="3054"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Развитие управленческих навыков для поддержки стратегического развития</w:t>
            </w:r>
          </w:p>
        </w:tc>
        <w:tc>
          <w:tcPr>
            <w:tcW w:w="3289" w:type="dxa"/>
            <w:vAlign w:val="center"/>
          </w:tcPr>
          <w:p w:rsidR="006E2083" w:rsidRPr="000D4FA1" w:rsidRDefault="006E2083"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Укрепление устойчивости компании при кризисах, улучшение управления</w:t>
            </w:r>
          </w:p>
        </w:tc>
      </w:tr>
      <w:tr w:rsidR="006E2083" w:rsidRPr="0036668B" w:rsidTr="006E2083">
        <w:tc>
          <w:tcPr>
            <w:tcW w:w="9493" w:type="dxa"/>
            <w:gridSpan w:val="3"/>
          </w:tcPr>
          <w:p w:rsidR="006E2083" w:rsidRPr="000D4FA1" w:rsidRDefault="0004140E" w:rsidP="006E2083">
            <w:pPr>
              <w:spacing w:after="0" w:line="240" w:lineRule="auto"/>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4"/>
                <w:szCs w:val="24"/>
                <w:lang w:val="ru-RU" w:eastAsia="ru-RU"/>
              </w:rPr>
              <w:t xml:space="preserve">               Примечание – составлено автором на основе исследования</w:t>
            </w:r>
          </w:p>
        </w:tc>
      </w:tr>
    </w:tbl>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p>
    <w:p w:rsidR="00D96177" w:rsidRPr="000D4FA1" w:rsidRDefault="00D96177" w:rsidP="00D9617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Таблица </w:t>
      </w:r>
      <w:r w:rsidRPr="000D4FA1">
        <w:rPr>
          <w:rFonts w:ascii="Times New Roman" w:eastAsia="Times New Roman" w:hAnsi="Times New Roman" w:cs="Times New Roman"/>
          <w:bCs/>
          <w:sz w:val="28"/>
          <w:szCs w:val="28"/>
          <w:lang w:val="ru-RU" w:eastAsia="ru-RU"/>
        </w:rPr>
        <w:t>9</w:t>
      </w:r>
      <w:r w:rsidRPr="000D4FA1">
        <w:rPr>
          <w:rFonts w:ascii="Times New Roman" w:eastAsia="Times New Roman" w:hAnsi="Times New Roman" w:cs="Times New Roman"/>
          <w:sz w:val="28"/>
          <w:szCs w:val="28"/>
          <w:lang w:val="ru-RU" w:eastAsia="ru-RU"/>
        </w:rPr>
        <w:t xml:space="preserve"> демонстрирует связь между ключевыми показателями человеческого капитала, такими как количество часов обучения на сотрудника, уровень вовлеченности персонала, текучесть кадров и средний стаж сотрудников, с финансовыми результатами организации. Например, увеличение количества часов обучения приводит к 10% росту прибыли, высокий уровень вовлеченности повышает производительность на 15%, снижение текучести кадров сокращает затраты на найм и обучение на 5%, а увеличение среднего стажа сотрудников повышает операционную эффективность на 7%. Данные показывают, как инвестиции в развитие человеческого капитала способствуют улучшению финансовых показателей организации.</w:t>
      </w:r>
    </w:p>
    <w:p w:rsidR="00DD4662" w:rsidRPr="000D4FA1" w:rsidRDefault="00DD4662" w:rsidP="00D9617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Существует множество программ устойчивости, которые используются в разных странах и отраслях для повышения устойчивости организаций, особенно в условиях глобальных экономических изменений и кризисов.</w:t>
      </w:r>
    </w:p>
    <w:p w:rsidR="004770BF" w:rsidRPr="000D4FA1" w:rsidRDefault="004770BF" w:rsidP="004770B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Одна из глобальных программ, направленных на устойчивое развитие во всех сферах, включая экономику, общественные отношения и экологию. 17 целей устойчивого развития (ЦУР) ООН ориентированы на решение вопросов бедности, обеспечения качественного образования, устойчивого экономического роста и защиты окружающей среды. В рамках этой программы компании и организации по всему миру стремятся к интеграции принципов </w:t>
      </w:r>
      <w:r w:rsidRPr="000D4FA1">
        <w:rPr>
          <w:rFonts w:ascii="Times New Roman" w:eastAsia="Times New Roman" w:hAnsi="Times New Roman" w:cs="Times New Roman"/>
          <w:sz w:val="28"/>
          <w:szCs w:val="28"/>
          <w:lang w:val="ru-RU" w:eastAsia="ru-RU"/>
        </w:rPr>
        <w:lastRenderedPageBreak/>
        <w:t>устойчивости в свои бизнес–модели, включая управление человеческим капиталом и социальной ответственностью [32].</w:t>
      </w:r>
    </w:p>
    <w:p w:rsidR="00DD4662" w:rsidRPr="000D4FA1" w:rsidRDefault="00DD4662" w:rsidP="00D96177">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D96177">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9</w:t>
      </w:r>
      <w:r w:rsidR="0004140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Показатели человеческого капитала и их корреляция с финансовыми результатами</w:t>
      </w:r>
    </w:p>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tbl>
      <w:tblPr>
        <w:tblStyle w:val="af4"/>
        <w:tblW w:w="9747" w:type="dxa"/>
        <w:tblLook w:val="04A0"/>
      </w:tblPr>
      <w:tblGrid>
        <w:gridCol w:w="2972"/>
        <w:gridCol w:w="2977"/>
        <w:gridCol w:w="3798"/>
      </w:tblGrid>
      <w:tr w:rsidR="006E2083" w:rsidRPr="000D4FA1" w:rsidTr="004770BF">
        <w:tc>
          <w:tcPr>
            <w:tcW w:w="2972"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Показатель человеческого капитала</w:t>
            </w:r>
          </w:p>
        </w:tc>
        <w:tc>
          <w:tcPr>
            <w:tcW w:w="2977"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Финансовые результаты</w:t>
            </w:r>
          </w:p>
        </w:tc>
        <w:tc>
          <w:tcPr>
            <w:tcW w:w="3798" w:type="dxa"/>
            <w:vAlign w:val="center"/>
          </w:tcPr>
          <w:p w:rsidR="006E2083" w:rsidRPr="000D4FA1" w:rsidRDefault="006E2083" w:rsidP="006E2083">
            <w:pPr>
              <w:spacing w:after="0" w:line="240" w:lineRule="auto"/>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Корреляция (%)</w:t>
            </w:r>
          </w:p>
        </w:tc>
      </w:tr>
      <w:tr w:rsidR="006E2083" w:rsidRPr="0036668B" w:rsidTr="004770BF">
        <w:tc>
          <w:tcPr>
            <w:tcW w:w="297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Уровень вовлеченности персонала</w:t>
            </w:r>
          </w:p>
        </w:tc>
        <w:tc>
          <w:tcPr>
            <w:tcW w:w="297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Рост производительности и улучшение качества работы</w:t>
            </w:r>
          </w:p>
        </w:tc>
        <w:tc>
          <w:tcPr>
            <w:tcW w:w="379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+15% рост производительности при высоком уровне вовлеченности</w:t>
            </w:r>
          </w:p>
        </w:tc>
      </w:tr>
      <w:tr w:rsidR="006E2083" w:rsidRPr="0036668B" w:rsidTr="004770BF">
        <w:tc>
          <w:tcPr>
            <w:tcW w:w="297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Текучесть кадров</w:t>
            </w:r>
          </w:p>
        </w:tc>
        <w:tc>
          <w:tcPr>
            <w:tcW w:w="297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Снижение затрат на найм и обучение новых сотрудников</w:t>
            </w:r>
          </w:p>
        </w:tc>
        <w:tc>
          <w:tcPr>
            <w:tcW w:w="3798" w:type="dxa"/>
            <w:vAlign w:val="center"/>
          </w:tcPr>
          <w:p w:rsidR="006E2083" w:rsidRPr="000D4FA1" w:rsidRDefault="007B767F"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w:t>
            </w:r>
            <w:r w:rsidR="006E2083" w:rsidRPr="000D4FA1">
              <w:rPr>
                <w:rFonts w:ascii="Times New Roman" w:eastAsia="Times New Roman" w:hAnsi="Times New Roman" w:cs="Times New Roman"/>
                <w:sz w:val="28"/>
                <w:szCs w:val="28"/>
                <w:lang w:val="ru-RU" w:eastAsia="ru-RU"/>
              </w:rPr>
              <w:t>5% снижение затрат на найм и обучение при снижении текучести</w:t>
            </w:r>
          </w:p>
        </w:tc>
      </w:tr>
      <w:tr w:rsidR="006E2083" w:rsidRPr="0036668B" w:rsidTr="004770BF">
        <w:tc>
          <w:tcPr>
            <w:tcW w:w="2972"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Средний стаж сотрудников</w:t>
            </w:r>
          </w:p>
        </w:tc>
        <w:tc>
          <w:tcPr>
            <w:tcW w:w="2977"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Увеличение операционной эффективности и стабильности</w:t>
            </w:r>
          </w:p>
        </w:tc>
        <w:tc>
          <w:tcPr>
            <w:tcW w:w="3798" w:type="dxa"/>
            <w:vAlign w:val="center"/>
          </w:tcPr>
          <w:p w:rsidR="006E2083" w:rsidRPr="000D4FA1" w:rsidRDefault="006E2083"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+7% повышение эффективности при увеличении стажа сотрудников</w:t>
            </w:r>
          </w:p>
        </w:tc>
      </w:tr>
      <w:tr w:rsidR="006E2083" w:rsidRPr="0036668B" w:rsidTr="004770BF">
        <w:tc>
          <w:tcPr>
            <w:tcW w:w="9747" w:type="dxa"/>
            <w:gridSpan w:val="3"/>
            <w:vAlign w:val="center"/>
          </w:tcPr>
          <w:p w:rsidR="006E2083" w:rsidRPr="000D4FA1" w:rsidRDefault="0004140E" w:rsidP="006E2083">
            <w:pPr>
              <w:spacing w:after="0" w:line="240" w:lineRule="auto"/>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4"/>
                <w:szCs w:val="24"/>
                <w:lang w:val="ru-RU" w:eastAsia="ru-RU"/>
              </w:rPr>
              <w:t xml:space="preserve">             Примечание – составлено автором на основе исследования</w:t>
            </w:r>
          </w:p>
        </w:tc>
      </w:tr>
    </w:tbl>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ЕС реализует множество инициатив, направленных на устойчивое развитие в разных сферах экономики, образования и экологии. Программа «Зеленая сделка» ЕС (European Green Deal) направлена на создание клиентоориентированной, экологически устойчивой экономики. В рамках этой программы компании, учебные заведения и государственные учреждения разрабатывают стратегии для минимизации воздействия на окружающую среду и повышения социальной ответственности [</w:t>
      </w:r>
      <w:r w:rsidR="00DD4662" w:rsidRPr="000D4FA1">
        <w:rPr>
          <w:rFonts w:ascii="Times New Roman" w:eastAsia="Times New Roman" w:hAnsi="Times New Roman" w:cs="Times New Roman"/>
          <w:sz w:val="28"/>
          <w:szCs w:val="28"/>
          <w:lang w:val="ru-RU" w:eastAsia="ru-RU"/>
        </w:rPr>
        <w:t>8</w:t>
      </w:r>
      <w:r w:rsidR="007433F3" w:rsidRPr="000D4FA1">
        <w:rPr>
          <w:rFonts w:ascii="Times New Roman" w:eastAsia="Times New Roman" w:hAnsi="Times New Roman" w:cs="Times New Roman"/>
          <w:sz w:val="28"/>
          <w:szCs w:val="28"/>
          <w:lang w:val="ru-RU" w:eastAsia="ru-RU"/>
        </w:rPr>
        <w:t>4</w:t>
      </w:r>
      <w:r w:rsidRPr="000D4FA1">
        <w:rPr>
          <w:rFonts w:ascii="Times New Roman" w:eastAsia="Times New Roman" w:hAnsi="Times New Roman" w:cs="Times New Roman"/>
          <w:sz w:val="28"/>
          <w:szCs w:val="28"/>
          <w:lang w:val="ru-RU" w:eastAsia="ru-RU"/>
        </w:rPr>
        <w:t>].</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Стандарт ISO 26000 предоставляет компаниям и организациям руководство по интеграции принципов устойчивости и социальной ответственности в свои бизнес</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процессы. Этот стандарт охватывает ключевые аспекты, включая экологическую ответственность, права человека, трудовые отношения и развитие местных сообществ. Внедрение таких программ позволяет организациям не только улучшить свои социальные и экологические показатели, но и повысить устойчивость за счет снижения рисков и адаптации к изменяющимся условиям [</w:t>
      </w:r>
      <w:r w:rsidR="00A75C60" w:rsidRPr="000D4FA1">
        <w:rPr>
          <w:rFonts w:ascii="Times New Roman" w:eastAsia="Times New Roman" w:hAnsi="Times New Roman" w:cs="Times New Roman"/>
          <w:sz w:val="28"/>
          <w:szCs w:val="28"/>
          <w:lang w:val="ru-RU" w:eastAsia="ru-RU"/>
        </w:rPr>
        <w:t>8</w:t>
      </w:r>
      <w:r w:rsidR="007433F3" w:rsidRPr="000D4FA1">
        <w:rPr>
          <w:rFonts w:ascii="Times New Roman" w:eastAsia="Times New Roman" w:hAnsi="Times New Roman" w:cs="Times New Roman"/>
          <w:sz w:val="28"/>
          <w:szCs w:val="28"/>
          <w:lang w:val="ru-RU" w:eastAsia="ru-RU"/>
        </w:rPr>
        <w:t>5</w:t>
      </w:r>
      <w:r w:rsidRPr="000D4FA1">
        <w:rPr>
          <w:rFonts w:ascii="Times New Roman" w:eastAsia="Times New Roman" w:hAnsi="Times New Roman" w:cs="Times New Roman"/>
          <w:sz w:val="28"/>
          <w:szCs w:val="28"/>
          <w:lang w:val="ru-RU" w:eastAsia="ru-RU"/>
        </w:rPr>
        <w:t>].</w:t>
      </w:r>
      <w:r w:rsidR="009F7164" w:rsidRPr="000D4FA1">
        <w:rPr>
          <w:rFonts w:ascii="Times New Roman" w:eastAsia="Times New Roman" w:hAnsi="Times New Roman" w:cs="Times New Roman"/>
          <w:b/>
          <w:color w:val="FF0000"/>
          <w:sz w:val="28"/>
          <w:szCs w:val="28"/>
          <w:lang w:val="ru-RU" w:eastAsia="ru-RU"/>
        </w:rPr>
        <w:t xml:space="preserve"> </w:t>
      </w:r>
    </w:p>
    <w:p w:rsidR="006E2083"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Многие образовательные учреждения, особенно университеты и колледжи, внедряют программы устойчивого образования, направленные на подготовку специалистов, способных работать в условиях устойчивого экономического развития. </w:t>
      </w:r>
      <w:r w:rsidR="00DD37A7" w:rsidRPr="000D4FA1">
        <w:rPr>
          <w:rFonts w:ascii="Times New Roman" w:eastAsia="Times New Roman" w:hAnsi="Times New Roman" w:cs="Times New Roman"/>
          <w:sz w:val="28"/>
          <w:szCs w:val="28"/>
          <w:lang w:val="ru-RU" w:eastAsia="ru-RU"/>
        </w:rPr>
        <w:t>П</w:t>
      </w:r>
      <w:r w:rsidRPr="000D4FA1">
        <w:rPr>
          <w:rFonts w:ascii="Times New Roman" w:eastAsia="Times New Roman" w:hAnsi="Times New Roman" w:cs="Times New Roman"/>
          <w:sz w:val="28"/>
          <w:szCs w:val="28"/>
          <w:lang w:val="ru-RU" w:eastAsia="ru-RU"/>
        </w:rPr>
        <w:t>рограммы включают курсы и проекты, связанные с устойчивым развитием, экологией, корпоративной социальной ответственностью и инновациями. Такие программы готовят студентов к выполнению задач, направленных на повышение устойчивости предприятий и обществ в целом.</w:t>
      </w:r>
    </w:p>
    <w:p w:rsidR="006E2083" w:rsidRPr="0036668B"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lastRenderedPageBreak/>
        <w:t>ESG</w:t>
      </w:r>
      <w:r w:rsidR="007B767F" w:rsidRPr="0036668B">
        <w:rPr>
          <w:rFonts w:ascii="Times New Roman" w:eastAsia="Times New Roman" w:hAnsi="Times New Roman" w:cs="Times New Roman"/>
          <w:sz w:val="28"/>
          <w:szCs w:val="28"/>
          <w:lang w:val="ru-RU" w:eastAsia="ru-RU"/>
        </w:rPr>
        <w:t>–</w:t>
      </w:r>
      <w:r w:rsidRPr="0036668B">
        <w:rPr>
          <w:rFonts w:ascii="Times New Roman" w:eastAsia="Times New Roman" w:hAnsi="Times New Roman" w:cs="Times New Roman"/>
          <w:sz w:val="28"/>
          <w:szCs w:val="28"/>
          <w:lang w:val="ru-RU" w:eastAsia="ru-RU"/>
        </w:rPr>
        <w:t>программы направлены на обеспечение устойчивости компаний через учет факторов окружающей среды, социальной ответственности и корпоративного управления. Инвесторы и компании по всему миру используют принципы ESG для оценки рисков и возможностей, связанных с устойчивым развитием. Программы ESG помогают компаниям внедрять устойчивые практики, повышающие их долгосрочную конкурентоспособность [</w:t>
      </w:r>
      <w:r w:rsidR="00A75C60" w:rsidRPr="0036668B">
        <w:rPr>
          <w:rFonts w:ascii="Times New Roman" w:eastAsia="Times New Roman" w:hAnsi="Times New Roman" w:cs="Times New Roman"/>
          <w:sz w:val="28"/>
          <w:szCs w:val="28"/>
          <w:lang w:val="ru-RU" w:eastAsia="ru-RU"/>
        </w:rPr>
        <w:t>8</w:t>
      </w:r>
      <w:r w:rsidR="007433F3" w:rsidRPr="0036668B">
        <w:rPr>
          <w:rFonts w:ascii="Times New Roman" w:eastAsia="Times New Roman" w:hAnsi="Times New Roman" w:cs="Times New Roman"/>
          <w:sz w:val="28"/>
          <w:szCs w:val="28"/>
          <w:lang w:val="ru-RU" w:eastAsia="ru-RU"/>
        </w:rPr>
        <w:t>6</w:t>
      </w:r>
      <w:r w:rsidRPr="0036668B">
        <w:rPr>
          <w:rFonts w:ascii="Times New Roman" w:eastAsia="Times New Roman" w:hAnsi="Times New Roman" w:cs="Times New Roman"/>
          <w:sz w:val="28"/>
          <w:szCs w:val="28"/>
          <w:lang w:val="ru-RU" w:eastAsia="ru-RU"/>
        </w:rPr>
        <w:t>].</w:t>
      </w:r>
      <w:r w:rsidR="00A75C60" w:rsidRPr="0036668B">
        <w:rPr>
          <w:rFonts w:ascii="Times New Roman" w:eastAsia="Times New Roman" w:hAnsi="Times New Roman" w:cs="Times New Roman"/>
          <w:sz w:val="28"/>
          <w:szCs w:val="28"/>
          <w:lang w:val="ru-RU" w:eastAsia="ru-RU"/>
        </w:rPr>
        <w:t xml:space="preserve"> </w:t>
      </w:r>
    </w:p>
    <w:p w:rsidR="00B1073F" w:rsidRPr="0036668B" w:rsidRDefault="00B1073F" w:rsidP="00B1073F">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В контексте организаций технического и профессионального образования </w:t>
      </w:r>
      <w:r w:rsidRPr="0036668B">
        <w:rPr>
          <w:rFonts w:ascii="Times New Roman" w:eastAsia="Times New Roman" w:hAnsi="Times New Roman" w:cs="Times New Roman"/>
          <w:sz w:val="28"/>
          <w:szCs w:val="28"/>
          <w:lang w:eastAsia="ru-RU"/>
        </w:rPr>
        <w:t>ESG</w:t>
      </w:r>
      <w:r w:rsidRPr="0036668B">
        <w:rPr>
          <w:rFonts w:ascii="Times New Roman" w:eastAsia="Times New Roman" w:hAnsi="Times New Roman" w:cs="Times New Roman"/>
          <w:sz w:val="28"/>
          <w:szCs w:val="28"/>
          <w:lang w:val="ru-RU" w:eastAsia="ru-RU"/>
        </w:rPr>
        <w:t xml:space="preserve">–подходы могут рассматриваться как один из инструментов повышения организационной устойчивости и совершенствования системы управления человеческим потенциалом. Для медицинских колледжей </w:t>
      </w:r>
      <w:r w:rsidRPr="0036668B">
        <w:rPr>
          <w:rFonts w:ascii="Times New Roman" w:eastAsia="Times New Roman" w:hAnsi="Times New Roman" w:cs="Times New Roman"/>
          <w:sz w:val="28"/>
          <w:szCs w:val="28"/>
          <w:lang w:eastAsia="ru-RU"/>
        </w:rPr>
        <w:t>ESG</w:t>
      </w:r>
      <w:r w:rsidRPr="0036668B">
        <w:rPr>
          <w:rFonts w:ascii="Times New Roman" w:eastAsia="Times New Roman" w:hAnsi="Times New Roman" w:cs="Times New Roman"/>
          <w:sz w:val="28"/>
          <w:szCs w:val="28"/>
          <w:lang w:val="ru-RU" w:eastAsia="ru-RU"/>
        </w:rPr>
        <w:t>–элементы имеют практическое значение в части развития социальной ответственности образовательной организации, повышения качества образовательной среды, поддержки профессионального развития преподавателей и укрепления взаимодействия с медицинскими организациями и региональным сообществом.</w:t>
      </w:r>
    </w:p>
    <w:p w:rsidR="00B1073F" w:rsidRPr="0018017A" w:rsidRDefault="00B1073F" w:rsidP="00B1073F">
      <w:pPr>
        <w:spacing w:after="0" w:line="240" w:lineRule="auto"/>
        <w:ind w:firstLine="708"/>
        <w:jc w:val="both"/>
        <w:rPr>
          <w:rFonts w:ascii="Times New Roman" w:eastAsia="Times New Roman" w:hAnsi="Times New Roman" w:cs="Times New Roman"/>
          <w:sz w:val="28"/>
          <w:szCs w:val="28"/>
          <w:lang w:val="ru-RU" w:eastAsia="ru-RU"/>
        </w:rPr>
      </w:pPr>
      <w:r w:rsidRPr="0036668B">
        <w:rPr>
          <w:rFonts w:ascii="Times New Roman" w:eastAsia="Times New Roman" w:hAnsi="Times New Roman" w:cs="Times New Roman"/>
          <w:sz w:val="28"/>
          <w:szCs w:val="28"/>
          <w:lang w:val="ru-RU" w:eastAsia="ru-RU"/>
        </w:rPr>
        <w:t xml:space="preserve">Для Шымкентского высшего медицинского колледжа внедрение отдельных </w:t>
      </w:r>
      <w:r w:rsidRPr="0036668B">
        <w:rPr>
          <w:rFonts w:ascii="Times New Roman" w:eastAsia="Times New Roman" w:hAnsi="Times New Roman" w:cs="Times New Roman"/>
          <w:sz w:val="28"/>
          <w:szCs w:val="28"/>
          <w:lang w:eastAsia="ru-RU"/>
        </w:rPr>
        <w:t>ESG</w:t>
      </w:r>
      <w:r w:rsidRPr="0036668B">
        <w:rPr>
          <w:rFonts w:ascii="Times New Roman" w:eastAsia="Times New Roman" w:hAnsi="Times New Roman" w:cs="Times New Roman"/>
          <w:sz w:val="28"/>
          <w:szCs w:val="28"/>
          <w:lang w:val="ru-RU" w:eastAsia="ru-RU"/>
        </w:rPr>
        <w:t xml:space="preserve">–подходов связано с развитием кадровой устойчивости, адаптацией образовательного процесса к современным требованиям системы здравоохранения, расширением цифровизации и совершенствованием управленческих механизмов. В данном исследовании </w:t>
      </w:r>
      <w:r w:rsidRPr="0036668B">
        <w:rPr>
          <w:rFonts w:ascii="Times New Roman" w:eastAsia="Times New Roman" w:hAnsi="Times New Roman" w:cs="Times New Roman"/>
          <w:sz w:val="28"/>
          <w:szCs w:val="28"/>
          <w:lang w:eastAsia="ru-RU"/>
        </w:rPr>
        <w:t>ESG</w:t>
      </w:r>
      <w:r w:rsidRPr="0036668B">
        <w:rPr>
          <w:rFonts w:ascii="Times New Roman" w:eastAsia="Times New Roman" w:hAnsi="Times New Roman" w:cs="Times New Roman"/>
          <w:sz w:val="28"/>
          <w:szCs w:val="28"/>
          <w:lang w:val="ru-RU" w:eastAsia="ru-RU"/>
        </w:rPr>
        <w:t>–подход рассматривается не как отдельная корпоративная стратегия, а как дополнительный инструмент повышения устойчивости образовательной организации в условиях социально–экономической трансформации.</w:t>
      </w:r>
    </w:p>
    <w:p w:rsidR="00196CB4" w:rsidRPr="000D4FA1" w:rsidRDefault="00196CB4" w:rsidP="00196CB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Полученные корреляционные показатели отражают взаимосвязь между развитием человеческого потенциала образовательной организации и показателями эффективности функционирования системы технического и профессионального образования. В рамках проведенного анализа сопоставлялись такие переменные, как численность преподавателей, динамика контингента обучающихся, уровень государственного финансирования образования, а также показатели использования образовательных ресурсов.</w:t>
      </w:r>
    </w:p>
    <w:p w:rsidR="00196CB4" w:rsidRPr="000D4FA1" w:rsidRDefault="00196CB4" w:rsidP="00196CB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Результаты анализа показывают, что повышение эффективности использования человеческого потенциала образовательной организации может сопровождаться ростом производительности образовательной системы. В частности, увеличение числа обучающихся при относительно стабильной численности преподавателей и оптимизации образовательной инфраструктуры может приводить к повышению эффективности образовательного процесса. На основе сопоставления динамики этих показателей был получен ориентировочный эффект роста производительности образовательной системы на уровне около 15%.</w:t>
      </w:r>
    </w:p>
    <w:p w:rsidR="00196CB4" w:rsidRPr="000D4FA1" w:rsidRDefault="00196CB4" w:rsidP="00196CB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Одновременно оптимизация структуры образовательных организаций и повышение эффективности использования кадровых и материальных ресурсов способствует относительному снижению затрат на подготовку одного обучающегося. Проведенный сравнительный анализ динамики расходов и численности студентов позволяет оценить возможный эффект снижения удельных затрат примерно на 5%.</w:t>
      </w:r>
    </w:p>
    <w:p w:rsidR="00196CB4" w:rsidRPr="000D4FA1" w:rsidRDefault="00196CB4" w:rsidP="00196CB4">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lastRenderedPageBreak/>
        <w:t>Следует отметить, что данные показатели рассматриваются не как точные нормативные значения, а как аналитические ориентиры, отражающие направление выявленных взаимосвязей между развитием человеческого потенциала и результативностью функционирования образовательных организаций. Полученные результаты позволяют сделать вывод о том, что эффективное управление кадровыми ресурсами, повышение квалификации преподавателей и развитие образовательной инфраструктуры могут способствовать росту эффективности системы ТиПО и укреплению устойчивости образовательных организаций.</w:t>
      </w:r>
    </w:p>
    <w:p w:rsidR="004770BF" w:rsidRPr="000D4FA1" w:rsidRDefault="004770BF" w:rsidP="004770BF">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Таблица 10 демонстрирует основные программы, направленные на устойчивое развитие. В ней представлены цели и ключевые области воздействия программ, таких как подготовка кадров для работы в условиях устойчивого экономического роста. Примеры инициатив включают курсы и проекты по устойчивому развитию, инновациям и экологии, которые помогают подготовить специалистов для решения актуальных экологических и социальных вызовов в будущем. </w:t>
      </w:r>
    </w:p>
    <w:p w:rsidR="00196CB4" w:rsidRPr="000D4FA1" w:rsidRDefault="00196CB4" w:rsidP="006E2083">
      <w:pPr>
        <w:spacing w:after="0" w:line="240" w:lineRule="auto"/>
        <w:ind w:firstLine="708"/>
        <w:jc w:val="both"/>
        <w:rPr>
          <w:rFonts w:ascii="Times New Roman" w:eastAsia="Times New Roman" w:hAnsi="Times New Roman" w:cs="Times New Roman"/>
          <w:sz w:val="28"/>
          <w:szCs w:val="28"/>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Таблица 10</w:t>
      </w:r>
      <w:r w:rsidR="0004140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Ключевые программы устойчивости и их влияние на экономику, социальную ответственность и экологию</w:t>
      </w:r>
    </w:p>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tbl>
      <w:tblPr>
        <w:tblStyle w:val="af4"/>
        <w:tblW w:w="0" w:type="auto"/>
        <w:tblLook w:val="04A0"/>
      </w:tblPr>
      <w:tblGrid>
        <w:gridCol w:w="1862"/>
        <w:gridCol w:w="2952"/>
        <w:gridCol w:w="2230"/>
        <w:gridCol w:w="2703"/>
      </w:tblGrid>
      <w:tr w:rsidR="006E2083" w:rsidRPr="000D4FA1" w:rsidTr="004770BF">
        <w:tc>
          <w:tcPr>
            <w:tcW w:w="1862" w:type="dxa"/>
            <w:vAlign w:val="center"/>
          </w:tcPr>
          <w:p w:rsidR="006E2083" w:rsidRPr="000D4FA1" w:rsidRDefault="006E2083" w:rsidP="0066446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Программа устойчивости</w:t>
            </w:r>
          </w:p>
        </w:tc>
        <w:tc>
          <w:tcPr>
            <w:tcW w:w="2952" w:type="dxa"/>
            <w:vAlign w:val="center"/>
          </w:tcPr>
          <w:p w:rsidR="006E2083" w:rsidRPr="000D4FA1" w:rsidRDefault="006E2083" w:rsidP="0066446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Основные цели</w:t>
            </w:r>
          </w:p>
        </w:tc>
        <w:tc>
          <w:tcPr>
            <w:tcW w:w="2230" w:type="dxa"/>
            <w:vAlign w:val="center"/>
          </w:tcPr>
          <w:p w:rsidR="006E2083" w:rsidRPr="000D4FA1" w:rsidRDefault="006E2083" w:rsidP="0066446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Ключевые области воздействия</w:t>
            </w:r>
          </w:p>
        </w:tc>
        <w:tc>
          <w:tcPr>
            <w:tcW w:w="2703" w:type="dxa"/>
            <w:vAlign w:val="center"/>
          </w:tcPr>
          <w:p w:rsidR="006E2083" w:rsidRPr="000D4FA1" w:rsidRDefault="006E2083" w:rsidP="0066446B">
            <w:pPr>
              <w:spacing w:after="0" w:line="240" w:lineRule="auto"/>
              <w:jc w:val="center"/>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Примеры инициатив</w:t>
            </w:r>
          </w:p>
        </w:tc>
      </w:tr>
      <w:tr w:rsidR="006E2083" w:rsidRPr="0036668B" w:rsidTr="004770BF">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Цели устойчивого развития (ЦУР) ООН</w:t>
            </w:r>
          </w:p>
        </w:tc>
        <w:tc>
          <w:tcPr>
            <w:tcW w:w="2952"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Обеспечение устойчивого экономического роста, ликвидация бедности, качественное образование, экологическая устойчивость</w:t>
            </w:r>
          </w:p>
        </w:tc>
        <w:tc>
          <w:tcPr>
            <w:tcW w:w="2230"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Экономика, образование, социальная и экологическая сферы</w:t>
            </w:r>
          </w:p>
        </w:tc>
        <w:tc>
          <w:tcPr>
            <w:tcW w:w="2703"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Образовательные программы по устойчивому развитию, проекты по защите климата</w:t>
            </w:r>
          </w:p>
        </w:tc>
      </w:tr>
      <w:tr w:rsidR="006E2083" w:rsidRPr="0036668B" w:rsidTr="004770BF">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eastAsia="ru-RU"/>
              </w:rPr>
            </w:pPr>
            <w:r w:rsidRPr="000D4FA1">
              <w:rPr>
                <w:rFonts w:ascii="Times New Roman" w:eastAsia="Times New Roman" w:hAnsi="Times New Roman" w:cs="Times New Roman"/>
                <w:sz w:val="24"/>
                <w:szCs w:val="24"/>
                <w:lang w:val="ru-RU" w:eastAsia="ru-RU"/>
              </w:rPr>
              <w:t>Зеленая</w:t>
            </w:r>
            <w:r w:rsidRPr="000D4FA1">
              <w:rPr>
                <w:rFonts w:ascii="Times New Roman" w:eastAsia="Times New Roman" w:hAnsi="Times New Roman" w:cs="Times New Roman"/>
                <w:sz w:val="24"/>
                <w:szCs w:val="24"/>
                <w:lang w:eastAsia="ru-RU"/>
              </w:rPr>
              <w:t xml:space="preserve"> </w:t>
            </w:r>
            <w:r w:rsidRPr="000D4FA1">
              <w:rPr>
                <w:rFonts w:ascii="Times New Roman" w:eastAsia="Times New Roman" w:hAnsi="Times New Roman" w:cs="Times New Roman"/>
                <w:sz w:val="24"/>
                <w:szCs w:val="24"/>
                <w:lang w:val="ru-RU" w:eastAsia="ru-RU"/>
              </w:rPr>
              <w:t>сделка</w:t>
            </w:r>
            <w:r w:rsidRPr="000D4FA1">
              <w:rPr>
                <w:rFonts w:ascii="Times New Roman" w:eastAsia="Times New Roman" w:hAnsi="Times New Roman" w:cs="Times New Roman"/>
                <w:sz w:val="24"/>
                <w:szCs w:val="24"/>
                <w:lang w:eastAsia="ru-RU"/>
              </w:rPr>
              <w:t xml:space="preserve"> </w:t>
            </w:r>
            <w:r w:rsidRPr="000D4FA1">
              <w:rPr>
                <w:rFonts w:ascii="Times New Roman" w:eastAsia="Times New Roman" w:hAnsi="Times New Roman" w:cs="Times New Roman"/>
                <w:sz w:val="24"/>
                <w:szCs w:val="24"/>
                <w:lang w:val="ru-RU" w:eastAsia="ru-RU"/>
              </w:rPr>
              <w:t>ЕС</w:t>
            </w:r>
            <w:r w:rsidRPr="000D4FA1">
              <w:rPr>
                <w:rFonts w:ascii="Times New Roman" w:eastAsia="Times New Roman" w:hAnsi="Times New Roman" w:cs="Times New Roman"/>
                <w:sz w:val="24"/>
                <w:szCs w:val="24"/>
                <w:lang w:eastAsia="ru-RU"/>
              </w:rPr>
              <w:t xml:space="preserve"> (European Green Deal)</w:t>
            </w:r>
          </w:p>
        </w:tc>
        <w:tc>
          <w:tcPr>
            <w:tcW w:w="2952"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Создание климатически нейтральной экономики к 2050 году, снижение выбросов парниковых газов</w:t>
            </w:r>
          </w:p>
        </w:tc>
        <w:tc>
          <w:tcPr>
            <w:tcW w:w="2230"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Энергетика, промышленность, транспорт, экология</w:t>
            </w:r>
          </w:p>
        </w:tc>
        <w:tc>
          <w:tcPr>
            <w:tcW w:w="2703"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Внедрение возобновляемых источников энергии, поддержка зеленых технологий</w:t>
            </w:r>
          </w:p>
        </w:tc>
      </w:tr>
      <w:tr w:rsidR="006E2083" w:rsidRPr="0036668B" w:rsidTr="004770BF">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Стандарт ISO 26000</w:t>
            </w:r>
          </w:p>
        </w:tc>
        <w:tc>
          <w:tcPr>
            <w:tcW w:w="2952"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Интеграция принципов социальной ответственности, охрана труда и защита прав человека</w:t>
            </w:r>
          </w:p>
        </w:tc>
        <w:tc>
          <w:tcPr>
            <w:tcW w:w="2230"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Трудовые отношения, права человека, экология</w:t>
            </w:r>
          </w:p>
        </w:tc>
        <w:tc>
          <w:tcPr>
            <w:tcW w:w="2703"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Создание стандартов экологического управления для компаний</w:t>
            </w:r>
          </w:p>
        </w:tc>
      </w:tr>
      <w:tr w:rsidR="006E2083" w:rsidRPr="0036668B" w:rsidTr="004770BF">
        <w:trPr>
          <w:trHeight w:val="1153"/>
        </w:trPr>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eastAsia="ru-RU"/>
              </w:rPr>
            </w:pPr>
            <w:r w:rsidRPr="000D4FA1">
              <w:rPr>
                <w:rFonts w:ascii="Times New Roman" w:eastAsia="Times New Roman" w:hAnsi="Times New Roman" w:cs="Times New Roman"/>
                <w:sz w:val="24"/>
                <w:szCs w:val="24"/>
                <w:lang w:val="ru-RU" w:eastAsia="ru-RU"/>
              </w:rPr>
              <w:t>Программа</w:t>
            </w:r>
            <w:r w:rsidRPr="000D4FA1">
              <w:rPr>
                <w:rFonts w:ascii="Times New Roman" w:eastAsia="Times New Roman" w:hAnsi="Times New Roman" w:cs="Times New Roman"/>
                <w:sz w:val="24"/>
                <w:szCs w:val="24"/>
                <w:lang w:eastAsia="ru-RU"/>
              </w:rPr>
              <w:t xml:space="preserve"> Unilever Sustainable Living Plan</w:t>
            </w:r>
          </w:p>
        </w:tc>
        <w:tc>
          <w:tcPr>
            <w:tcW w:w="2952"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Сокращение экологического следа компании, улучшение социальных стандартов</w:t>
            </w:r>
          </w:p>
        </w:tc>
        <w:tc>
          <w:tcPr>
            <w:tcW w:w="2230"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Социальное развитие, экология, корпоративная культура</w:t>
            </w:r>
          </w:p>
        </w:tc>
        <w:tc>
          <w:tcPr>
            <w:tcW w:w="2703"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Программы сокращения выбросов, поддержка местных сообществ</w:t>
            </w:r>
          </w:p>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p>
        </w:tc>
      </w:tr>
      <w:tr w:rsidR="006E2083" w:rsidRPr="0036668B" w:rsidTr="004770BF">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Программы корпоративного управления</w:t>
            </w:r>
          </w:p>
        </w:tc>
        <w:tc>
          <w:tcPr>
            <w:tcW w:w="2952"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Повышение прозрачности и корпоративной ответственности, долгосрочные стратегии </w:t>
            </w:r>
            <w:r w:rsidRPr="000D4FA1">
              <w:rPr>
                <w:rFonts w:ascii="Times New Roman" w:eastAsia="Times New Roman" w:hAnsi="Times New Roman" w:cs="Times New Roman"/>
                <w:sz w:val="24"/>
                <w:szCs w:val="24"/>
                <w:lang w:val="ru-RU" w:eastAsia="ru-RU"/>
              </w:rPr>
              <w:lastRenderedPageBreak/>
              <w:t>управления</w:t>
            </w:r>
          </w:p>
        </w:tc>
        <w:tc>
          <w:tcPr>
            <w:tcW w:w="2230"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lastRenderedPageBreak/>
              <w:t xml:space="preserve">Корпоративное управление, прозрачность, социальная </w:t>
            </w:r>
            <w:r w:rsidRPr="000D4FA1">
              <w:rPr>
                <w:rFonts w:ascii="Times New Roman" w:eastAsia="Times New Roman" w:hAnsi="Times New Roman" w:cs="Times New Roman"/>
                <w:sz w:val="24"/>
                <w:szCs w:val="24"/>
                <w:lang w:val="ru-RU" w:eastAsia="ru-RU"/>
              </w:rPr>
              <w:lastRenderedPageBreak/>
              <w:t>ответственность</w:t>
            </w:r>
          </w:p>
        </w:tc>
        <w:tc>
          <w:tcPr>
            <w:tcW w:w="2703" w:type="dxa"/>
            <w:vAlign w:val="center"/>
          </w:tcPr>
          <w:p w:rsidR="006E2083" w:rsidRPr="000D4FA1" w:rsidRDefault="006E2083" w:rsidP="0066446B">
            <w:pPr>
              <w:spacing w:after="0" w:line="240" w:lineRule="auto"/>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lastRenderedPageBreak/>
              <w:t>Международные стандарты управления, внедрение стратегий ESG</w:t>
            </w:r>
          </w:p>
        </w:tc>
      </w:tr>
      <w:tr w:rsidR="006E2083" w:rsidRPr="0036668B" w:rsidTr="004770BF">
        <w:tc>
          <w:tcPr>
            <w:tcW w:w="186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lastRenderedPageBreak/>
              <w:t xml:space="preserve">Программы устойчивого образования </w:t>
            </w:r>
          </w:p>
        </w:tc>
        <w:tc>
          <w:tcPr>
            <w:tcW w:w="2952"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Подготовка кадров для работы в условиях устойчивого экономического развития</w:t>
            </w:r>
          </w:p>
        </w:tc>
        <w:tc>
          <w:tcPr>
            <w:tcW w:w="2230"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Экологическое образование, социальная ответственность</w:t>
            </w:r>
          </w:p>
        </w:tc>
        <w:tc>
          <w:tcPr>
            <w:tcW w:w="2703" w:type="dxa"/>
            <w:vAlign w:val="center"/>
          </w:tcPr>
          <w:p w:rsidR="006E2083" w:rsidRPr="000D4FA1" w:rsidRDefault="006E2083"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Курсы и проекты по устойчивому развитию, инновациям и экологии</w:t>
            </w:r>
          </w:p>
        </w:tc>
      </w:tr>
      <w:tr w:rsidR="006E2083" w:rsidRPr="0036668B" w:rsidTr="004770BF">
        <w:tc>
          <w:tcPr>
            <w:tcW w:w="9747" w:type="dxa"/>
            <w:gridSpan w:val="4"/>
          </w:tcPr>
          <w:p w:rsidR="006E2083" w:rsidRPr="000D4FA1" w:rsidRDefault="0004140E" w:rsidP="0066446B">
            <w:pPr>
              <w:spacing w:after="0" w:line="240" w:lineRule="auto"/>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bCs/>
                <w:sz w:val="24"/>
                <w:szCs w:val="24"/>
                <w:lang w:val="ru-RU" w:eastAsia="ru-RU"/>
              </w:rPr>
              <w:t xml:space="preserve">         Примечание – составлено автором на основе исследования</w:t>
            </w:r>
          </w:p>
        </w:tc>
      </w:tr>
    </w:tbl>
    <w:p w:rsidR="006E2083" w:rsidRPr="000D4FA1" w:rsidRDefault="006E2083" w:rsidP="006E2083">
      <w:pPr>
        <w:spacing w:after="0" w:line="240" w:lineRule="auto"/>
        <w:rPr>
          <w:rFonts w:ascii="Times New Roman" w:eastAsia="Times New Roman" w:hAnsi="Times New Roman" w:cs="Times New Roman"/>
          <w:sz w:val="24"/>
          <w:szCs w:val="24"/>
          <w:lang w:val="ru-RU" w:eastAsia="ru-RU"/>
        </w:rPr>
      </w:pP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Программы устойчивости используются как в частном, так и в государственном секторе для создания более гибких и адаптивных организаций, способных преодолевать экономические и социальные вызовы. Их реализация помогает улучшить управление человеческими ресурсами, адаптироваться к изменениям на рынке и минимизировать риски, связанные с экологическими и социальными проблемами.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Хотя в Казахстане дуальная система пока только развивается, зарубежный опыт показывает, что она имеет огромный потенциал для решения проблем на рынке труда. Основные проблемы, с которыми сталкивается Казахстан, включают нехватку развитой инфраструктуры для дуального обучения, ограниченное количество предприятий, готовых участвовать в обучении студентов, и недостаток координации между образовательными учреждениями и работодателями.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Однако, благодаря усилиям государства, такие программы, как «Жас маман» и «Еңбек», нацелены на развитие дуальной системы и улучшение связи между учебными заведениями и работодателями. Если Казахстан продолжит развивать дуальную систему с опорой на опыт таких стран, как Германия и Швейцария, это может значительно повысить уровень трудоустройства и соответствие выпускников требованиям рынка труда.</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Дуальная система образования оказывает мощное влияние на рынок труда, сокращая разрыв между теорией и практикой и повышая уровень трудоустройства выпускников. В Казахстане эта система постепенно развивается и показывает положительные результаты, особенно в технических и инженерных специальностях. Зарубежный опыт, особенно Германии и Швейцарии, демонстрирует, как дуальная система может стать основой успешной экономики и стабильного рынка труда. Для Казахстана важно продолжать развивать дуальное обучение, улучшать координацию между учебными заведениями и работодателями и адаптировать лучшие международные практики для повышения устойчивости и конкурентоспособности своей экономики.</w:t>
      </w:r>
    </w:p>
    <w:p w:rsidR="00C56C03" w:rsidRPr="000D4FA1" w:rsidRDefault="00C56C03" w:rsidP="00C56C0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Представленная концептуальная схема </w:t>
      </w:r>
      <w:r w:rsidR="002A647B">
        <w:rPr>
          <w:rFonts w:ascii="Times New Roman" w:eastAsia="Times New Roman" w:hAnsi="Times New Roman" w:cs="Times New Roman"/>
          <w:sz w:val="28"/>
          <w:szCs w:val="28"/>
          <w:lang w:val="ru-RU" w:eastAsia="ru-RU"/>
        </w:rPr>
        <w:t xml:space="preserve">(рисунок 2) </w:t>
      </w:r>
      <w:r w:rsidRPr="000D4FA1">
        <w:rPr>
          <w:rFonts w:ascii="Times New Roman" w:eastAsia="Times New Roman" w:hAnsi="Times New Roman" w:cs="Times New Roman"/>
          <w:sz w:val="28"/>
          <w:szCs w:val="28"/>
          <w:lang w:val="ru-RU" w:eastAsia="ru-RU"/>
        </w:rPr>
        <w:t>отражает логическую структуру исследования и взаимосвязь между теоретической базой, применяемыми методами анализа, полученными эмпирическими результатами и сформулированными управленческими рекомендациями.</w:t>
      </w:r>
    </w:p>
    <w:p w:rsidR="004770BF" w:rsidRPr="000D4FA1" w:rsidRDefault="00C56C03" w:rsidP="00C56C0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На первом этапе исследования формируется теоретическая основа, включающая ключевые научные подходы к изучению человеческого капитала и управлению кадровыми ресурсами. Теоретический фундамент исследования опирается на теорию человеческого капитала, концепцию управления </w:t>
      </w:r>
      <w:r w:rsidRPr="000D4FA1">
        <w:rPr>
          <w:rFonts w:ascii="Times New Roman" w:eastAsia="Times New Roman" w:hAnsi="Times New Roman" w:cs="Times New Roman"/>
          <w:sz w:val="28"/>
          <w:szCs w:val="28"/>
          <w:lang w:val="ru-RU" w:eastAsia="ru-RU"/>
        </w:rPr>
        <w:lastRenderedPageBreak/>
        <w:t>человеческим потенциалом, теорию кадрового планирования, а также модели формирования спроса на рабочую силу на рынке труда. Использование данных теоретических подходов позволяет определить факторы, влияющие на формирование и развитие человеческого потенциала в системе технического и профессионального образования</w:t>
      </w:r>
      <w:r w:rsidR="004770BF" w:rsidRPr="000D4FA1">
        <w:rPr>
          <w:rFonts w:ascii="Times New Roman" w:eastAsia="Times New Roman" w:hAnsi="Times New Roman" w:cs="Times New Roman"/>
          <w:sz w:val="28"/>
          <w:szCs w:val="28"/>
          <w:lang w:val="ru-RU" w:eastAsia="ru-RU"/>
        </w:rPr>
        <w:t>.</w:t>
      </w:r>
    </w:p>
    <w:p w:rsidR="00C56C03" w:rsidRDefault="004770BF" w:rsidP="00C56C0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 Следующий этап связан с применением методов количественного и статистического анализа, направленных на выявление закономерностей развития человеческого потенциала. В рамках исследования используются методы корреляционно–регрессионного анализа, кластерного анализа, эконометрического моделирования, а также статистический анализ международных данных. Применение указанных методов позволяет оценить влияние макроэкономических факторов на показатели человеческого потенциала, определить взаимосвязи между ключевыми социально–экономическими показателями и провести сравнительный анализ стран.</w:t>
      </w:r>
    </w:p>
    <w:p w:rsidR="002A647B" w:rsidRPr="000D4FA1" w:rsidRDefault="002A647B" w:rsidP="002A647B">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 результате проведенного анализа формируются эмпирические результаты исследования. Они включают оценку влияния макроэкономических факторов на развитие человеческого потенциала, выявление статистически значимых взаимосвязей между исследуемыми показателями, кластеризацию стран по уровню развития человеческого потенциала, а также определение позиции Казахстана в сравнении с другими странами.</w:t>
      </w:r>
    </w:p>
    <w:p w:rsidR="002A647B" w:rsidRPr="000D4FA1" w:rsidRDefault="002A647B" w:rsidP="002A647B">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На заключительном этапе на основе полученных результатов формируются управленческие рекомендации, направленные на совершенствование системы управления человеческим потенциалом организаций технического и профессионального образования. В частности, предлагается модель управления человеческим потенциалом образовательных организаций, система развития профессиональных компетенций педагогических кадров, механизмы повышения устойчивости образовательных организаций, а также стратегические направления развития кадрового потенциала системы ТиПО.</w:t>
      </w:r>
    </w:p>
    <w:p w:rsidR="002A647B" w:rsidRPr="000D4FA1" w:rsidRDefault="002A647B" w:rsidP="00C56C03">
      <w:pPr>
        <w:spacing w:after="0" w:line="240" w:lineRule="auto"/>
        <w:ind w:firstLine="708"/>
        <w:jc w:val="both"/>
        <w:rPr>
          <w:rFonts w:ascii="Times New Roman" w:eastAsia="Times New Roman" w:hAnsi="Times New Roman" w:cs="Times New Roman"/>
          <w:sz w:val="28"/>
          <w:szCs w:val="28"/>
          <w:lang w:val="ru-RU" w:eastAsia="ru-RU"/>
        </w:rPr>
      </w:pPr>
    </w:p>
    <w:p w:rsidR="003533D2" w:rsidRPr="000D4FA1" w:rsidRDefault="007C5022" w:rsidP="003533D2">
      <w:pPr>
        <w:spacing w:after="0" w:line="240" w:lineRule="auto"/>
        <w:jc w:val="both"/>
        <w:rPr>
          <w:rFonts w:ascii="Times New Roman" w:eastAsia="Times New Roman" w:hAnsi="Times New Roman" w:cs="Times New Roman"/>
          <w:sz w:val="28"/>
          <w:szCs w:val="28"/>
          <w:lang w:val="ru-RU" w:eastAsia="ru-RU"/>
        </w:rPr>
      </w:pPr>
      <w:r w:rsidRPr="000D4FA1">
        <w:rPr>
          <w:rFonts w:ascii="Times New Roman" w:hAnsi="Times New Roman" w:cs="Times New Roman"/>
          <w:noProof/>
          <w:lang w:val="ru-RU" w:eastAsia="ru-RU"/>
        </w:rPr>
        <w:lastRenderedPageBreak/>
        <w:drawing>
          <wp:anchor distT="0" distB="0" distL="114300" distR="114300" simplePos="0" relativeHeight="251654144" behindDoc="1" locked="0" layoutInCell="1" allowOverlap="1">
            <wp:simplePos x="0" y="0"/>
            <wp:positionH relativeFrom="column">
              <wp:posOffset>53340</wp:posOffset>
            </wp:positionH>
            <wp:positionV relativeFrom="paragraph">
              <wp:posOffset>41910</wp:posOffset>
            </wp:positionV>
            <wp:extent cx="6067425" cy="7224395"/>
            <wp:effectExtent l="0" t="0" r="0" b="0"/>
            <wp:wrapTight wrapText="bothSides">
              <wp:wrapPolygon edited="0">
                <wp:start x="0" y="0"/>
                <wp:lineTo x="0" y="21530"/>
                <wp:lineTo x="21566" y="21530"/>
                <wp:lineTo x="21566" y="0"/>
                <wp:lineTo x="0" y="0"/>
              </wp:wrapPolygon>
            </wp:wrapTight>
            <wp:docPr id="1955023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2378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066"/>
                    <a:stretch/>
                  </pic:blipFill>
                  <pic:spPr bwMode="auto">
                    <a:xfrm>
                      <a:off x="0" y="0"/>
                      <a:ext cx="6067425" cy="72243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C5022" w:rsidRPr="000D4FA1" w:rsidRDefault="007C5022" w:rsidP="007C5022">
      <w:pPr>
        <w:spacing w:after="160" w:line="259" w:lineRule="auto"/>
        <w:jc w:val="center"/>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Рисунок </w:t>
      </w:r>
      <w:r w:rsidR="002A647B">
        <w:rPr>
          <w:rFonts w:ascii="Times New Roman" w:eastAsia="Times New Roman" w:hAnsi="Times New Roman" w:cs="Times New Roman"/>
          <w:sz w:val="28"/>
          <w:szCs w:val="28"/>
          <w:lang w:val="ru-RU" w:eastAsia="ru-RU"/>
        </w:rPr>
        <w:t>2</w:t>
      </w:r>
      <w:r w:rsidRPr="000D4FA1">
        <w:rPr>
          <w:rFonts w:ascii="Times New Roman" w:eastAsia="Times New Roman" w:hAnsi="Times New Roman" w:cs="Times New Roman"/>
          <w:sz w:val="28"/>
          <w:szCs w:val="28"/>
          <w:lang w:val="ru-RU" w:eastAsia="ru-RU"/>
        </w:rPr>
        <w:t xml:space="preserve"> – Концептуальная схема исследования управления человеческим потенциалом организаций технического и профессионального образования</w:t>
      </w:r>
    </w:p>
    <w:p w:rsidR="007C5022" w:rsidRPr="000D4FA1" w:rsidRDefault="007C5022" w:rsidP="003533D2">
      <w:pPr>
        <w:spacing w:after="0" w:line="240" w:lineRule="auto"/>
        <w:ind w:firstLine="708"/>
        <w:jc w:val="both"/>
        <w:rPr>
          <w:rFonts w:ascii="Times New Roman" w:eastAsia="Times New Roman" w:hAnsi="Times New Roman" w:cs="Times New Roman"/>
          <w:sz w:val="24"/>
          <w:szCs w:val="24"/>
          <w:lang w:val="ru-RU" w:eastAsia="ru-RU"/>
        </w:rPr>
      </w:pPr>
      <w:r w:rsidRPr="000D4FA1">
        <w:rPr>
          <w:rFonts w:ascii="Times New Roman" w:eastAsia="Times New Roman" w:hAnsi="Times New Roman" w:cs="Times New Roman"/>
          <w:sz w:val="24"/>
          <w:szCs w:val="24"/>
          <w:lang w:val="ru-RU" w:eastAsia="ru-RU"/>
        </w:rPr>
        <w:t xml:space="preserve">Примечание – </w:t>
      </w:r>
      <w:r w:rsidR="0004140E" w:rsidRPr="000D4FA1">
        <w:rPr>
          <w:rFonts w:ascii="Times New Roman" w:eastAsia="Times New Roman" w:hAnsi="Times New Roman" w:cs="Times New Roman"/>
          <w:bCs/>
          <w:sz w:val="24"/>
          <w:szCs w:val="24"/>
          <w:lang w:val="ru-RU" w:eastAsia="ru-RU"/>
        </w:rPr>
        <w:t>составлено автором на основе исследования</w:t>
      </w:r>
    </w:p>
    <w:p w:rsidR="003533D2" w:rsidRPr="000D4FA1" w:rsidRDefault="003533D2" w:rsidP="003533D2">
      <w:pPr>
        <w:spacing w:after="0" w:line="240" w:lineRule="auto"/>
        <w:ind w:firstLine="708"/>
        <w:jc w:val="both"/>
        <w:rPr>
          <w:rFonts w:ascii="Times New Roman" w:eastAsia="Times New Roman" w:hAnsi="Times New Roman" w:cs="Times New Roman"/>
          <w:sz w:val="28"/>
          <w:szCs w:val="28"/>
          <w:lang w:val="ru-RU" w:eastAsia="ru-RU"/>
        </w:rPr>
      </w:pPr>
    </w:p>
    <w:p w:rsidR="004B14F3" w:rsidRPr="000D4FA1" w:rsidRDefault="004B14F3" w:rsidP="004B14F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Таким образом, представленная концептуальная схема демонстрирует последовательную логику исследования </w:t>
      </w:r>
      <w:r w:rsidR="002A647B">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от теоретического анализа и применения количественных методов до формирования практических </w:t>
      </w:r>
      <w:r w:rsidRPr="000D4FA1">
        <w:rPr>
          <w:rFonts w:ascii="Times New Roman" w:eastAsia="Times New Roman" w:hAnsi="Times New Roman" w:cs="Times New Roman"/>
          <w:sz w:val="28"/>
          <w:szCs w:val="28"/>
          <w:lang w:val="ru-RU" w:eastAsia="ru-RU"/>
        </w:rPr>
        <w:lastRenderedPageBreak/>
        <w:t>управленческих решений, направленных на повышение эффективности управления человеческим потенциалом и устойчивости образовательных организаций.</w:t>
      </w:r>
    </w:p>
    <w:p w:rsidR="006E2083" w:rsidRPr="002A647B" w:rsidRDefault="006E2083" w:rsidP="006E2083">
      <w:pPr>
        <w:spacing w:after="0" w:line="240" w:lineRule="auto"/>
        <w:ind w:firstLine="708"/>
        <w:jc w:val="both"/>
        <w:rPr>
          <w:rFonts w:ascii="Times New Roman" w:eastAsia="Times New Roman" w:hAnsi="Times New Roman" w:cs="Times New Roman"/>
          <w:b/>
          <w:i/>
          <w:sz w:val="28"/>
          <w:szCs w:val="28"/>
          <w:lang w:val="ru-RU" w:eastAsia="ru-RU"/>
        </w:rPr>
      </w:pPr>
      <w:r w:rsidRPr="002A647B">
        <w:rPr>
          <w:rFonts w:ascii="Times New Roman" w:eastAsia="Times New Roman" w:hAnsi="Times New Roman" w:cs="Times New Roman"/>
          <w:b/>
          <w:i/>
          <w:sz w:val="28"/>
          <w:szCs w:val="28"/>
          <w:lang w:val="ru-RU" w:eastAsia="ru-RU"/>
        </w:rPr>
        <w:t>Выводы по Главе 1</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Исследование показало, что человеческий потенциал является основным фактором, определяющим устойчивость организаций, особенно в условиях быстро изменяющейся экономики и повышенных требований рынка труда. Взаимосвязь между уровнем развития человеческого потенциала и устойчивостью организаций проявляется в способности сотрудников адаптироваться к изменениям, внедрять инновации и эффективно справляться с кризисами. </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Человеческий капитал, включающий в себя знания, навыки, мотивацию и креативность, способствует повышению производительности, снижению текучести кадров и улучшению взаимодействия внутри организации.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Важным аспектом устойчивости </w:t>
      </w:r>
      <w:r w:rsidR="009C3821" w:rsidRPr="000D4FA1">
        <w:rPr>
          <w:rFonts w:ascii="Times New Roman" w:eastAsia="Times New Roman" w:hAnsi="Times New Roman" w:cs="Times New Roman"/>
          <w:sz w:val="28"/>
          <w:szCs w:val="28"/>
          <w:lang w:val="ru-RU" w:eastAsia="ru-RU"/>
        </w:rPr>
        <w:t xml:space="preserve">технических и </w:t>
      </w:r>
      <w:r w:rsidRPr="000D4FA1">
        <w:rPr>
          <w:rFonts w:ascii="Times New Roman" w:eastAsia="Times New Roman" w:hAnsi="Times New Roman" w:cs="Times New Roman"/>
          <w:sz w:val="28"/>
          <w:szCs w:val="28"/>
          <w:lang w:val="ru-RU" w:eastAsia="ru-RU"/>
        </w:rPr>
        <w:t>профессиональных образовательных учреждений является способность эффективно управлять человеческими ресурсами и адаптировать учебные программы к требованиям рынка труда. Внедрение дуальной системы обучения является одним из ключевых решений для повышения конкурентоспособности выпускников на рынке труда и укрепления устойчивости образовательных учреждений.</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Усилить координацию между образовательными учреждениями и работодателями для создания эффективных программ дуального обучения, обеспечивающих подготовку квалифицированных кадров, соответствующих требованиям рынка.</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Развивать программы повышения квалификации и лидерства для преподавателей и сотрудников, что будет способствовать укреплению организационной культуры и внедрению инноваций.</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Внедрять комплексные системы управления человеческим потенциалом, включая оценку и развитие сотрудников, что позволит поддерживать высокий уровень вовлеченности и мотивации.</w:t>
      </w:r>
    </w:p>
    <w:p w:rsidR="006E2083" w:rsidRPr="000D4FA1" w:rsidRDefault="006E2083" w:rsidP="006E2083">
      <w:pPr>
        <w:spacing w:after="0" w:line="240" w:lineRule="auto"/>
        <w:ind w:firstLine="708"/>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Анализ показал, что человеческий потенциал играет ключевую роль в обеспечении долгосрочной устойчивости организаций, включая </w:t>
      </w:r>
      <w:r w:rsidR="009C3821" w:rsidRPr="000D4FA1">
        <w:rPr>
          <w:rFonts w:ascii="Times New Roman" w:eastAsia="Times New Roman" w:hAnsi="Times New Roman" w:cs="Times New Roman"/>
          <w:sz w:val="28"/>
          <w:szCs w:val="28"/>
          <w:lang w:val="ru-RU" w:eastAsia="ru-RU"/>
        </w:rPr>
        <w:t xml:space="preserve">технические и </w:t>
      </w:r>
      <w:r w:rsidRPr="000D4FA1">
        <w:rPr>
          <w:rFonts w:ascii="Times New Roman" w:eastAsia="Times New Roman" w:hAnsi="Times New Roman" w:cs="Times New Roman"/>
          <w:sz w:val="28"/>
          <w:szCs w:val="28"/>
          <w:lang w:val="ru-RU" w:eastAsia="ru-RU"/>
        </w:rPr>
        <w:t>профессиональные образовательные учреждения. Развитие программ, направленных на повышение квалификации сотрудников и их мотивацию, а также активное участие работодателей в образовательном процессе, могут значительно повысить гибкость и конкурентоспособность организаций в условиях глобальных изменений.</w:t>
      </w: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3E6F65" w:rsidRPr="000D4FA1" w:rsidRDefault="003E6F65" w:rsidP="006E2083">
      <w:pPr>
        <w:spacing w:after="0" w:line="240" w:lineRule="auto"/>
        <w:ind w:firstLine="708"/>
        <w:jc w:val="both"/>
        <w:rPr>
          <w:rFonts w:ascii="Times New Roman" w:eastAsia="Times New Roman" w:hAnsi="Times New Roman" w:cs="Times New Roman"/>
          <w:sz w:val="28"/>
          <w:szCs w:val="28"/>
          <w:lang w:val="ru-RU" w:eastAsia="ru-RU"/>
        </w:rPr>
      </w:pPr>
    </w:p>
    <w:p w:rsidR="00D144D6" w:rsidRPr="000D4FA1" w:rsidRDefault="00E05267" w:rsidP="00D96177">
      <w:pPr>
        <w:spacing w:after="0" w:line="240" w:lineRule="auto"/>
        <w:jc w:val="both"/>
        <w:rPr>
          <w:rFonts w:ascii="Times New Roman" w:eastAsia="Times New Roman" w:hAnsi="Times New Roman" w:cs="Times New Roman"/>
          <w:b/>
          <w:bCs/>
          <w:sz w:val="28"/>
          <w:szCs w:val="28"/>
          <w:lang w:val="ru-RU" w:eastAsia="ru-RU"/>
        </w:rPr>
      </w:pPr>
      <w:r w:rsidRPr="000D4FA1">
        <w:rPr>
          <w:rFonts w:ascii="Times New Roman" w:eastAsia="Times New Roman" w:hAnsi="Times New Roman" w:cs="Times New Roman"/>
          <w:b/>
          <w:bCs/>
          <w:sz w:val="28"/>
          <w:szCs w:val="28"/>
          <w:lang w:val="ru-RU" w:eastAsia="ru-RU"/>
        </w:rPr>
        <w:lastRenderedPageBreak/>
        <w:t>2</w:t>
      </w:r>
      <w:r w:rsidR="00D144D6" w:rsidRPr="000D4FA1">
        <w:rPr>
          <w:rFonts w:ascii="Times New Roman" w:eastAsia="Times New Roman" w:hAnsi="Times New Roman" w:cs="Times New Roman"/>
          <w:b/>
          <w:bCs/>
          <w:sz w:val="28"/>
          <w:szCs w:val="28"/>
          <w:lang w:val="ru-RU" w:eastAsia="ru-RU"/>
        </w:rPr>
        <w:t xml:space="preserve"> АНАЛИЗ ЧЕЛОВЕЧЕСКОГО ПОТЕНЦИАЛА</w:t>
      </w:r>
      <w:r w:rsidR="003533D2" w:rsidRPr="000D4FA1">
        <w:rPr>
          <w:rFonts w:ascii="Times New Roman" w:eastAsia="Times New Roman" w:hAnsi="Times New Roman" w:cs="Times New Roman"/>
          <w:b/>
          <w:bCs/>
          <w:sz w:val="28"/>
          <w:szCs w:val="28"/>
          <w:lang w:val="ru-RU" w:eastAsia="ru-RU"/>
        </w:rPr>
        <w:t xml:space="preserve"> </w:t>
      </w:r>
      <w:r w:rsidR="00D144D6" w:rsidRPr="000D4FA1">
        <w:rPr>
          <w:rFonts w:ascii="Times New Roman" w:eastAsia="Times New Roman" w:hAnsi="Times New Roman" w:cs="Times New Roman"/>
          <w:b/>
          <w:bCs/>
          <w:sz w:val="28"/>
          <w:szCs w:val="28"/>
          <w:lang w:val="ru-RU" w:eastAsia="ru-RU"/>
        </w:rPr>
        <w:t>ШЫМКЕНТСКОМ ВЫСШЕМ МЕДИЦИНСКОМ КОЛЛЕДЖЕ</w:t>
      </w:r>
    </w:p>
    <w:p w:rsidR="00D144D6" w:rsidRPr="000D4FA1" w:rsidRDefault="00D144D6" w:rsidP="00D96177">
      <w:pPr>
        <w:spacing w:after="0" w:line="240" w:lineRule="auto"/>
        <w:jc w:val="both"/>
        <w:rPr>
          <w:rFonts w:ascii="Times New Roman" w:eastAsia="Times New Roman" w:hAnsi="Times New Roman" w:cs="Times New Roman"/>
          <w:bCs/>
          <w:sz w:val="28"/>
          <w:szCs w:val="28"/>
          <w:lang w:val="ru-RU" w:eastAsia="ru-RU"/>
        </w:rPr>
      </w:pPr>
    </w:p>
    <w:p w:rsidR="00D144D6" w:rsidRPr="000D4FA1" w:rsidRDefault="00D144D6" w:rsidP="00D96177">
      <w:pPr>
        <w:spacing w:after="0" w:line="240" w:lineRule="auto"/>
        <w:jc w:val="both"/>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2.1 Характеристика образовательного процесса и кадрового состава колледжа</w:t>
      </w:r>
      <w:r w:rsidRPr="000D4FA1">
        <w:rPr>
          <w:rFonts w:ascii="Times New Roman" w:eastAsia="Times New Roman" w:hAnsi="Times New Roman" w:cs="Times New Roman"/>
          <w:b/>
          <w:sz w:val="28"/>
          <w:szCs w:val="28"/>
          <w:lang w:val="ru-RU" w:eastAsia="ru-RU"/>
        </w:rPr>
        <w:br/>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Шымкентский высший медицинский колледж является одним из ключевых образовательных центров системы технического и профессионального образования Южного Казахстана, обеспечивая подготовку среднего медицинского персонала для организаций здравоохранения региона. Развитие колледжа отражает общую динамику модернизации национальной системы образования и реформ кадровой политики в сфере медицины, что закреплено в </w:t>
      </w:r>
      <w:r w:rsidR="00A75C60" w:rsidRPr="000D4FA1">
        <w:rPr>
          <w:rFonts w:ascii="Times New Roman" w:hAnsi="Times New Roman" w:cs="Times New Roman"/>
          <w:color w:val="000000" w:themeColor="text1"/>
          <w:sz w:val="28"/>
          <w:szCs w:val="28"/>
          <w:lang w:val="ru-RU"/>
        </w:rPr>
        <w:t>Концепции развития дошкольного, среднего, технического и профессионального образования Республики Казахстан на 2023 – 2029 годы</w:t>
      </w:r>
      <w:r w:rsidR="00A75C60"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 xml:space="preserve">и отраслевых стратегиях Министерства здравоохранения Республики Казахстан </w:t>
      </w:r>
      <w:r w:rsidR="009F7164" w:rsidRPr="000D4FA1">
        <w:rPr>
          <w:rFonts w:ascii="Times New Roman" w:eastAsia="Times New Roman" w:hAnsi="Times New Roman" w:cs="Times New Roman"/>
          <w:bCs/>
          <w:sz w:val="28"/>
          <w:szCs w:val="28"/>
          <w:lang w:val="ru-RU" w:eastAsia="ru-RU"/>
        </w:rPr>
        <w:t>[</w:t>
      </w:r>
      <w:r w:rsidR="007637EC" w:rsidRPr="000D4FA1">
        <w:rPr>
          <w:rFonts w:ascii="Times New Roman" w:eastAsia="Times New Roman" w:hAnsi="Times New Roman" w:cs="Times New Roman"/>
          <w:bCs/>
          <w:sz w:val="28"/>
          <w:szCs w:val="28"/>
          <w:lang w:val="ru-RU" w:eastAsia="ru-RU"/>
        </w:rPr>
        <w:t>8</w:t>
      </w:r>
      <w:r w:rsidR="00653F3E" w:rsidRPr="000D4FA1">
        <w:rPr>
          <w:rFonts w:ascii="Times New Roman" w:eastAsia="Times New Roman" w:hAnsi="Times New Roman" w:cs="Times New Roman"/>
          <w:bCs/>
          <w:sz w:val="28"/>
          <w:szCs w:val="28"/>
          <w:lang w:val="ru-RU" w:eastAsia="ru-RU"/>
        </w:rPr>
        <w:t>7</w:t>
      </w:r>
      <w:r w:rsidR="007B767F" w:rsidRPr="000D4FA1">
        <w:rPr>
          <w:rFonts w:ascii="Times New Roman" w:eastAsia="Times New Roman" w:hAnsi="Times New Roman" w:cs="Times New Roman"/>
          <w:bCs/>
          <w:sz w:val="28"/>
          <w:szCs w:val="28"/>
          <w:lang w:val="ru-RU" w:eastAsia="ru-RU"/>
        </w:rPr>
        <w:t>–</w:t>
      </w:r>
      <w:r w:rsidR="007637EC" w:rsidRPr="000D4FA1">
        <w:rPr>
          <w:rFonts w:ascii="Times New Roman" w:eastAsia="Times New Roman" w:hAnsi="Times New Roman" w:cs="Times New Roman"/>
          <w:bCs/>
          <w:sz w:val="28"/>
          <w:szCs w:val="28"/>
          <w:lang w:val="ru-RU" w:eastAsia="ru-RU"/>
        </w:rPr>
        <w:t>8</w:t>
      </w:r>
      <w:r w:rsidR="00653F3E" w:rsidRPr="000D4FA1">
        <w:rPr>
          <w:rFonts w:ascii="Times New Roman" w:eastAsia="Times New Roman" w:hAnsi="Times New Roman" w:cs="Times New Roman"/>
          <w:bCs/>
          <w:sz w:val="28"/>
          <w:szCs w:val="28"/>
          <w:lang w:val="ru-RU" w:eastAsia="ru-RU"/>
        </w:rPr>
        <w:t>9</w:t>
      </w:r>
      <w:r w:rsidR="009F7164" w:rsidRPr="000D4FA1">
        <w:rPr>
          <w:rFonts w:ascii="Times New Roman" w:eastAsia="Times New Roman" w:hAnsi="Times New Roman" w:cs="Times New Roman"/>
          <w:bCs/>
          <w:sz w:val="28"/>
          <w:szCs w:val="28"/>
          <w:lang w:val="ru-RU" w:eastAsia="ru-RU"/>
        </w:rPr>
        <w:t>].</w:t>
      </w:r>
      <w:r w:rsidR="009F7164" w:rsidRPr="000D4FA1">
        <w:rPr>
          <w:rFonts w:ascii="Times New Roman" w:eastAsia="Times New Roman" w:hAnsi="Times New Roman" w:cs="Times New Roman"/>
          <w:bCs/>
          <w:color w:val="FF0000"/>
          <w:sz w:val="28"/>
          <w:szCs w:val="28"/>
          <w:lang w:val="ru-RU" w:eastAsia="ru-RU"/>
        </w:rPr>
        <w:t xml:space="preserve"> </w:t>
      </w:r>
      <w:r w:rsidRPr="000D4FA1">
        <w:rPr>
          <w:rFonts w:ascii="Times New Roman" w:eastAsia="Times New Roman" w:hAnsi="Times New Roman" w:cs="Times New Roman"/>
          <w:bCs/>
          <w:sz w:val="28"/>
          <w:szCs w:val="28"/>
          <w:lang w:val="ru-RU" w:eastAsia="ru-RU"/>
        </w:rPr>
        <w:t xml:space="preserve"> </w:t>
      </w:r>
    </w:p>
    <w:p w:rsidR="00D144D6" w:rsidRPr="000D4FA1" w:rsidRDefault="007637EC" w:rsidP="00D144D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color w:val="000000" w:themeColor="text1"/>
          <w:sz w:val="28"/>
          <w:szCs w:val="28"/>
          <w:lang w:val="ru-RU"/>
        </w:rPr>
        <w:t>Нормативно</w:t>
      </w:r>
      <w:r w:rsidR="007B767F" w:rsidRPr="000D4FA1">
        <w:rPr>
          <w:rFonts w:ascii="Times New Roman" w:hAnsi="Times New Roman" w:cs="Times New Roman"/>
          <w:color w:val="000000" w:themeColor="text1"/>
          <w:sz w:val="28"/>
          <w:szCs w:val="28"/>
          <w:lang w:val="ru-RU"/>
        </w:rPr>
        <w:t>–</w:t>
      </w:r>
      <w:r w:rsidRPr="000D4FA1">
        <w:rPr>
          <w:rFonts w:ascii="Times New Roman" w:hAnsi="Times New Roman" w:cs="Times New Roman"/>
          <w:color w:val="000000" w:themeColor="text1"/>
          <w:sz w:val="28"/>
          <w:szCs w:val="28"/>
          <w:lang w:val="ru-RU"/>
        </w:rPr>
        <w:t>правовая база деятельности учебного заведения в системе образования Республики Казахстан включает ключевой законодательный акт – Закон Республики Казахстан «Об образовании», который определяет правовые основы образовательной деятельности и требования к учебным программам (Закон «Об образовании», № 319</w:t>
      </w:r>
      <w:r w:rsidR="007B767F" w:rsidRPr="000D4FA1">
        <w:rPr>
          <w:rFonts w:ascii="Times New Roman" w:hAnsi="Times New Roman" w:cs="Times New Roman"/>
          <w:color w:val="000000" w:themeColor="text1"/>
          <w:sz w:val="28"/>
          <w:szCs w:val="28"/>
          <w:lang w:val="ru-RU"/>
        </w:rPr>
        <w:t>–</w:t>
      </w:r>
      <w:r w:rsidRPr="000D4FA1">
        <w:rPr>
          <w:rFonts w:ascii="Times New Roman" w:hAnsi="Times New Roman" w:cs="Times New Roman"/>
          <w:color w:val="000000" w:themeColor="text1"/>
          <w:sz w:val="28"/>
          <w:szCs w:val="28"/>
          <w:lang w:val="ru-RU"/>
        </w:rPr>
        <w:t xml:space="preserve">III); нормативы по типовым учебным программам, включая специальность «Сестринское дело»; а также профессиональные стандарты и квалификационные требования, установленные в </w:t>
      </w:r>
      <w:r w:rsidRPr="000D4FA1">
        <w:rPr>
          <w:rFonts w:ascii="Times New Roman" w:hAnsi="Times New Roman" w:cs="Times New Roman"/>
          <w:sz w:val="28"/>
          <w:szCs w:val="28"/>
          <w:lang w:val="ru-RU"/>
        </w:rPr>
        <w:t>рамках Национальной системы квалификаций [</w:t>
      </w:r>
      <w:r w:rsidR="00DE6FE3" w:rsidRPr="000D4FA1">
        <w:rPr>
          <w:rFonts w:ascii="Times New Roman" w:hAnsi="Times New Roman" w:cs="Times New Roman"/>
          <w:sz w:val="28"/>
          <w:szCs w:val="28"/>
          <w:lang w:val="ru-RU"/>
        </w:rPr>
        <w:t>9</w:t>
      </w:r>
      <w:r w:rsidR="00653F3E" w:rsidRPr="000D4FA1">
        <w:rPr>
          <w:rFonts w:ascii="Times New Roman" w:hAnsi="Times New Roman" w:cs="Times New Roman"/>
          <w:sz w:val="28"/>
          <w:szCs w:val="28"/>
          <w:lang w:val="ru-RU"/>
        </w:rPr>
        <w:t>0</w:t>
      </w:r>
      <w:r w:rsidR="007B767F" w:rsidRPr="000D4FA1">
        <w:rPr>
          <w:rFonts w:ascii="Times New Roman" w:hAnsi="Times New Roman" w:cs="Times New Roman"/>
          <w:sz w:val="28"/>
          <w:szCs w:val="28"/>
          <w:lang w:val="ru-RU"/>
        </w:rPr>
        <w:t>–</w:t>
      </w:r>
      <w:r w:rsidR="00DE6FE3" w:rsidRPr="000D4FA1">
        <w:rPr>
          <w:rFonts w:ascii="Times New Roman" w:hAnsi="Times New Roman" w:cs="Times New Roman"/>
          <w:sz w:val="28"/>
          <w:szCs w:val="28"/>
          <w:lang w:val="ru-RU"/>
        </w:rPr>
        <w:t>97</w:t>
      </w:r>
      <w:r w:rsidRPr="000D4FA1">
        <w:rPr>
          <w:rFonts w:ascii="Times New Roman" w:hAnsi="Times New Roman" w:cs="Times New Roman"/>
          <w:sz w:val="28"/>
          <w:szCs w:val="28"/>
          <w:lang w:val="ru-RU"/>
        </w:rPr>
        <w:t>].</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Управленческая структура колледжа включает директора, заместителей директора по учебной, </w:t>
      </w:r>
      <w:r w:rsidR="009F7164" w:rsidRPr="000D4FA1">
        <w:rPr>
          <w:rFonts w:ascii="Times New Roman" w:eastAsia="Times New Roman" w:hAnsi="Times New Roman" w:cs="Times New Roman"/>
          <w:bCs/>
          <w:sz w:val="28"/>
          <w:szCs w:val="28"/>
          <w:lang w:val="ru-RU" w:eastAsia="ru-RU"/>
        </w:rPr>
        <w:t>учебно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производственной и </w:t>
      </w:r>
      <w:r w:rsidR="009F7164" w:rsidRPr="000D4FA1">
        <w:rPr>
          <w:rFonts w:ascii="Times New Roman" w:eastAsia="Times New Roman" w:hAnsi="Times New Roman" w:cs="Times New Roman"/>
          <w:bCs/>
          <w:sz w:val="28"/>
          <w:szCs w:val="28"/>
          <w:lang w:val="ru-RU" w:eastAsia="ru-RU"/>
        </w:rPr>
        <w:t>учебно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воспитательной работе, методический </w:t>
      </w:r>
      <w:r w:rsidR="009F7164" w:rsidRPr="000D4FA1">
        <w:rPr>
          <w:rFonts w:ascii="Times New Roman" w:eastAsia="Times New Roman" w:hAnsi="Times New Roman" w:cs="Times New Roman"/>
          <w:bCs/>
          <w:sz w:val="28"/>
          <w:szCs w:val="28"/>
          <w:lang w:val="ru-RU" w:eastAsia="ru-RU"/>
        </w:rPr>
        <w:t>кабинет</w:t>
      </w:r>
      <w:r w:rsidRPr="000D4FA1">
        <w:rPr>
          <w:rFonts w:ascii="Times New Roman" w:eastAsia="Times New Roman" w:hAnsi="Times New Roman" w:cs="Times New Roman"/>
          <w:bCs/>
          <w:sz w:val="28"/>
          <w:szCs w:val="28"/>
          <w:lang w:val="ru-RU" w:eastAsia="ru-RU"/>
        </w:rPr>
        <w:t>, а</w:t>
      </w:r>
      <w:r w:rsidR="009F7164" w:rsidRPr="000D4FA1">
        <w:rPr>
          <w:rFonts w:ascii="Times New Roman" w:eastAsia="Times New Roman" w:hAnsi="Times New Roman" w:cs="Times New Roman"/>
          <w:bCs/>
          <w:sz w:val="28"/>
          <w:szCs w:val="28"/>
          <w:lang w:val="ru-RU" w:eastAsia="ru-RU"/>
        </w:rPr>
        <w:t xml:space="preserve"> также цикловые методические объединения</w:t>
      </w:r>
      <w:r w:rsidRPr="000D4FA1">
        <w:rPr>
          <w:rFonts w:ascii="Times New Roman" w:eastAsia="Times New Roman" w:hAnsi="Times New Roman" w:cs="Times New Roman"/>
          <w:bCs/>
          <w:sz w:val="28"/>
          <w:szCs w:val="28"/>
          <w:lang w:val="ru-RU" w:eastAsia="ru-RU"/>
        </w:rPr>
        <w:t xml:space="preserve">, отвечающие за реализацию образовательных программ, методическое сопровождение и контроль качества обучения. </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Миссия колледжа ориентирована на подготовку конкурентоспособных специалистов среднего звена, обладающих профессиональными и клиническими компетенциями, необходимыми для системы здравоохранения. </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Стратегические цели подчеркивают развитие человеческого потенциала, внедрение цифровых образовательных технологий и расширение партнерства с медицинскими организациями. Благодаря устойчивому взаимодействию с региональными лечебно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профилактическими учреждениями, колледж выполняет важную социальную функцию</w:t>
      </w:r>
      <w:r w:rsidR="009F7164"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w:t>
      </w:r>
      <w:r w:rsidR="009F7164"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обеспечивает рынок труда квалифицированными медицинскими кадрами, тем самым влияя на кадровую устойчивость и качество медицинской помощи в регионе.</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Организация образовательного процесса в Шымкентском высшем медицинском колледже</w:t>
      </w:r>
      <w:r w:rsidR="009F7164" w:rsidRPr="000D4FA1">
        <w:rPr>
          <w:rFonts w:ascii="Times New Roman" w:eastAsia="Times New Roman" w:hAnsi="Times New Roman" w:cs="Times New Roman"/>
          <w:bCs/>
          <w:sz w:val="28"/>
          <w:szCs w:val="28"/>
          <w:lang w:val="ru-RU" w:eastAsia="ru-RU"/>
        </w:rPr>
        <w:t>:</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В данном исследование рассматривается организация образовательного процесса в Шымкентском высшем медицинском колледже, ориентированная на современные требования к подготовке среднего медицинского персонала. </w:t>
      </w:r>
      <w:r w:rsidRPr="000D4FA1">
        <w:rPr>
          <w:rFonts w:ascii="Times New Roman" w:eastAsia="Times New Roman" w:hAnsi="Times New Roman" w:cs="Times New Roman"/>
          <w:bCs/>
          <w:sz w:val="28"/>
          <w:szCs w:val="28"/>
          <w:lang w:val="ru-RU" w:eastAsia="ru-RU"/>
        </w:rPr>
        <w:lastRenderedPageBreak/>
        <w:t>Описываются ключевые аспекты, такие как образовательные программы, учебные планы, материально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техническая база, цифровизация и сотрудничество с клиническими базами, что в совокупности обеспечивает формирование компетентных и конкурентоспособных специалистов.</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Образовательный процесс в Шымкентском высшем медицинском колледже строится в соответствии с современными требованиями, предъявляемыми к подготовке среднего медицинского персонала. В основе лежит компетентностная модель выпускника, которая предполагает развитие профессиональных, клинических и коммуникативных компетенций. Это означает, что студенты не только получают теоретические знания, но и активно развивают практические навыки, необходимые для успешной работы в сфере здравоохранения.</w:t>
      </w:r>
    </w:p>
    <w:p w:rsidR="00D144D6" w:rsidRPr="000D4FA1" w:rsidRDefault="00D144D6" w:rsidP="00D52DF4">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Реализуемые в колледже образовательные программы охватывают ключевые специальности медицинского профиля. В частности, предлагаются программы по </w:t>
      </w:r>
      <w:r w:rsidR="00186469" w:rsidRPr="000D4FA1">
        <w:rPr>
          <w:rFonts w:ascii="Times New Roman" w:eastAsia="Times New Roman" w:hAnsi="Times New Roman" w:cs="Times New Roman"/>
          <w:bCs/>
          <w:sz w:val="28"/>
          <w:szCs w:val="28"/>
          <w:lang w:val="ru-RU" w:eastAsia="ru-RU"/>
        </w:rPr>
        <w:t xml:space="preserve">лечебному делу, </w:t>
      </w:r>
      <w:r w:rsidRPr="000D4FA1">
        <w:rPr>
          <w:rFonts w:ascii="Times New Roman" w:eastAsia="Times New Roman" w:hAnsi="Times New Roman" w:cs="Times New Roman"/>
          <w:bCs/>
          <w:sz w:val="28"/>
          <w:szCs w:val="28"/>
          <w:lang w:val="ru-RU" w:eastAsia="ru-RU"/>
        </w:rPr>
        <w:t xml:space="preserve">сестринскому делу, </w:t>
      </w:r>
      <w:r w:rsidR="00186469" w:rsidRPr="000D4FA1">
        <w:rPr>
          <w:rFonts w:ascii="Times New Roman" w:eastAsia="Times New Roman" w:hAnsi="Times New Roman" w:cs="Times New Roman"/>
          <w:bCs/>
          <w:sz w:val="28"/>
          <w:szCs w:val="28"/>
          <w:lang w:val="ru-RU" w:eastAsia="ru-RU"/>
        </w:rPr>
        <w:t xml:space="preserve">акушерскому делу, </w:t>
      </w:r>
      <w:r w:rsidRPr="000D4FA1">
        <w:rPr>
          <w:rFonts w:ascii="Times New Roman" w:eastAsia="Times New Roman" w:hAnsi="Times New Roman" w:cs="Times New Roman"/>
          <w:bCs/>
          <w:sz w:val="28"/>
          <w:szCs w:val="28"/>
          <w:lang w:val="ru-RU" w:eastAsia="ru-RU"/>
        </w:rPr>
        <w:t>лабораторной диагностике</w:t>
      </w:r>
      <w:r w:rsidR="00186469" w:rsidRPr="000D4FA1">
        <w:rPr>
          <w:rFonts w:ascii="Times New Roman" w:eastAsia="Times New Roman" w:hAnsi="Times New Roman" w:cs="Times New Roman"/>
          <w:bCs/>
          <w:sz w:val="28"/>
          <w:szCs w:val="28"/>
          <w:lang w:val="ru-RU" w:eastAsia="ru-RU"/>
        </w:rPr>
        <w:t>, стоматологии</w:t>
      </w:r>
      <w:r w:rsidRPr="000D4FA1">
        <w:rPr>
          <w:rFonts w:ascii="Times New Roman" w:eastAsia="Times New Roman" w:hAnsi="Times New Roman" w:cs="Times New Roman"/>
          <w:bCs/>
          <w:sz w:val="28"/>
          <w:szCs w:val="28"/>
          <w:lang w:val="ru-RU" w:eastAsia="ru-RU"/>
        </w:rPr>
        <w:t xml:space="preserve"> и </w:t>
      </w:r>
      <w:r w:rsidR="00186469" w:rsidRPr="000D4FA1">
        <w:rPr>
          <w:rFonts w:ascii="Times New Roman" w:eastAsia="Times New Roman" w:hAnsi="Times New Roman" w:cs="Times New Roman"/>
          <w:bCs/>
          <w:sz w:val="28"/>
          <w:szCs w:val="28"/>
          <w:lang w:val="ru-RU" w:eastAsia="ru-RU"/>
        </w:rPr>
        <w:t>фармации</w:t>
      </w:r>
      <w:r w:rsidRPr="000D4FA1">
        <w:rPr>
          <w:rFonts w:ascii="Times New Roman" w:eastAsia="Times New Roman" w:hAnsi="Times New Roman" w:cs="Times New Roman"/>
          <w:bCs/>
          <w:sz w:val="28"/>
          <w:szCs w:val="28"/>
          <w:lang w:val="ru-RU" w:eastAsia="ru-RU"/>
        </w:rPr>
        <w:t xml:space="preserve">. Выбор этих специальностей обусловлен потребностями рынка труда и соответствует Государственному общеобразовательному стандарту технического и профессионального образования Республики Казахстан </w:t>
      </w:r>
      <w:r w:rsidR="00D52DF4" w:rsidRPr="000D4FA1">
        <w:rPr>
          <w:rFonts w:ascii="Times New Roman" w:eastAsia="Times New Roman" w:hAnsi="Times New Roman" w:cs="Times New Roman"/>
          <w:bCs/>
          <w:sz w:val="28"/>
          <w:szCs w:val="28"/>
          <w:lang w:val="ru-RU" w:eastAsia="ru-RU"/>
        </w:rPr>
        <w:t>и это</w:t>
      </w:r>
      <w:r w:rsidRPr="000D4FA1">
        <w:rPr>
          <w:rFonts w:ascii="Times New Roman" w:eastAsia="Times New Roman" w:hAnsi="Times New Roman" w:cs="Times New Roman"/>
          <w:bCs/>
          <w:sz w:val="28"/>
          <w:szCs w:val="28"/>
          <w:lang w:val="ru-RU" w:eastAsia="ru-RU"/>
        </w:rPr>
        <w:t xml:space="preserve"> гарантирует, что выпускники колледжа будут востребованы в медицинских учреждениях региона и страны</w:t>
      </w:r>
      <w:r w:rsidR="00D52DF4" w:rsidRPr="000D4FA1">
        <w:rPr>
          <w:rFonts w:ascii="Times New Roman" w:eastAsia="Times New Roman" w:hAnsi="Times New Roman" w:cs="Times New Roman"/>
          <w:bCs/>
          <w:sz w:val="28"/>
          <w:szCs w:val="28"/>
          <w:lang w:val="ru-RU" w:eastAsia="ru-RU"/>
        </w:rPr>
        <w:t>.</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Учебные планы разработаны таким образом, чтобы обеспечить оптимальное сочетание теоретического и практического обучения. Значительная часть учебного времени отводится на профессиональные модули, которые позволяют студентам углубленно изучать выбранную специальность. Производственная практика интегрирована на всех этапах освоения программ, что способствует формированию практических навыков в условиях клинических организаций. Такой подход позволяет студентам применять полученные знания на практике и адаптироваться к реальной рабочей среде.</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Материально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техническая база колледжа соответствует современным требованиям и включает в себя специализированные кабинет</w:t>
      </w:r>
      <w:r w:rsidR="00186469" w:rsidRPr="000D4FA1">
        <w:rPr>
          <w:rFonts w:ascii="Times New Roman" w:eastAsia="Times New Roman" w:hAnsi="Times New Roman" w:cs="Times New Roman"/>
          <w:bCs/>
          <w:sz w:val="28"/>
          <w:szCs w:val="28"/>
          <w:lang w:val="ru-RU" w:eastAsia="ru-RU"/>
        </w:rPr>
        <w:t>ы, симуляционный центр</w:t>
      </w:r>
      <w:r w:rsidRPr="000D4FA1">
        <w:rPr>
          <w:rFonts w:ascii="Times New Roman" w:eastAsia="Times New Roman" w:hAnsi="Times New Roman" w:cs="Times New Roman"/>
          <w:bCs/>
          <w:sz w:val="28"/>
          <w:szCs w:val="28"/>
          <w:lang w:val="ru-RU" w:eastAsia="ru-RU"/>
        </w:rPr>
        <w:t xml:space="preserve">, фантомы, тренажеры и мультимедийные обучающие комплексы. Структура оснащения соответствует международным рекомендациям по обеспечению качества подготовки среднего медицинского персонала. </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Наличие современного оборудования позволяет студентам отрабатывать практические навыки в условиях, максимально приближенных к реальным. Симуляционны</w:t>
      </w:r>
      <w:r w:rsidR="00186469" w:rsidRPr="000D4FA1">
        <w:rPr>
          <w:rFonts w:ascii="Times New Roman" w:eastAsia="Times New Roman" w:hAnsi="Times New Roman" w:cs="Times New Roman"/>
          <w:bCs/>
          <w:sz w:val="28"/>
          <w:szCs w:val="28"/>
          <w:lang w:val="ru-RU" w:eastAsia="ru-RU"/>
        </w:rPr>
        <w:t>й центр</w:t>
      </w:r>
      <w:r w:rsidRPr="000D4FA1">
        <w:rPr>
          <w:rFonts w:ascii="Times New Roman" w:eastAsia="Times New Roman" w:hAnsi="Times New Roman" w:cs="Times New Roman"/>
          <w:bCs/>
          <w:sz w:val="28"/>
          <w:szCs w:val="28"/>
          <w:lang w:val="ru-RU" w:eastAsia="ru-RU"/>
        </w:rPr>
        <w:t>, в частности, позволяют моделировать различные клинические ситуации и обучать студентов принятию решений в экстренных случаях.</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Важным элементом развития образовательного процесса является цифровизация. В колледже активно внедряются современные информационные технологии, такие как </w:t>
      </w:r>
      <w:r w:rsidR="00186469" w:rsidRPr="000D4FA1">
        <w:rPr>
          <w:rFonts w:ascii="Times New Roman" w:eastAsia="Times New Roman" w:hAnsi="Times New Roman" w:cs="Times New Roman"/>
          <w:bCs/>
          <w:sz w:val="28"/>
          <w:szCs w:val="28"/>
          <w:lang w:eastAsia="ru-RU"/>
        </w:rPr>
        <w:t>ISEDU</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платформа</w:t>
      </w:r>
      <w:r w:rsidR="00186469" w:rsidRPr="000D4FA1">
        <w:rPr>
          <w:rFonts w:ascii="Times New Roman" w:eastAsia="Times New Roman" w:hAnsi="Times New Roman" w:cs="Times New Roman"/>
          <w:bCs/>
          <w:sz w:val="28"/>
          <w:szCs w:val="28"/>
          <w:lang w:val="ru-RU" w:eastAsia="ru-RU"/>
        </w:rPr>
        <w:t xml:space="preserve"> </w:t>
      </w:r>
      <w:r w:rsidR="00186469" w:rsidRPr="000D4FA1">
        <w:rPr>
          <w:rFonts w:ascii="Times New Roman" w:eastAsia="Times New Roman" w:hAnsi="Times New Roman" w:cs="Times New Roman"/>
          <w:bCs/>
          <w:sz w:val="28"/>
          <w:szCs w:val="28"/>
          <w:lang w:eastAsia="ru-RU"/>
        </w:rPr>
        <w:t>c</w:t>
      </w:r>
      <w:r w:rsidR="00186469" w:rsidRPr="000D4FA1">
        <w:rPr>
          <w:rFonts w:ascii="Times New Roman" w:eastAsia="Times New Roman" w:hAnsi="Times New Roman" w:cs="Times New Roman"/>
          <w:bCs/>
          <w:sz w:val="28"/>
          <w:szCs w:val="28"/>
          <w:lang w:val="kk-KZ" w:eastAsia="ru-RU"/>
        </w:rPr>
        <w:t>обственной разработки</w:t>
      </w:r>
      <w:r w:rsidRPr="000D4FA1">
        <w:rPr>
          <w:rFonts w:ascii="Times New Roman" w:eastAsia="Times New Roman" w:hAnsi="Times New Roman" w:cs="Times New Roman"/>
          <w:bCs/>
          <w:sz w:val="28"/>
          <w:szCs w:val="28"/>
          <w:lang w:val="ru-RU" w:eastAsia="ru-RU"/>
        </w:rPr>
        <w:t xml:space="preserve">, электронный журнал, дистанционные образовательные ресурсы и симуляционные программы. Это повышает прозрачность, доступность и управляемость </w:t>
      </w:r>
      <w:r w:rsidRPr="000D4FA1">
        <w:rPr>
          <w:rFonts w:ascii="Times New Roman" w:eastAsia="Times New Roman" w:hAnsi="Times New Roman" w:cs="Times New Roman"/>
          <w:bCs/>
          <w:sz w:val="28"/>
          <w:szCs w:val="28"/>
          <w:lang w:val="ru-RU" w:eastAsia="ru-RU"/>
        </w:rPr>
        <w:lastRenderedPageBreak/>
        <w:t xml:space="preserve">учебного процесса. </w:t>
      </w:r>
      <w:r w:rsidR="00186469" w:rsidRPr="000D4FA1">
        <w:rPr>
          <w:rFonts w:ascii="Times New Roman" w:eastAsia="Times New Roman" w:hAnsi="Times New Roman" w:cs="Times New Roman"/>
          <w:bCs/>
          <w:sz w:val="28"/>
          <w:szCs w:val="28"/>
          <w:lang w:eastAsia="ru-RU"/>
        </w:rPr>
        <w:t>ISEDU</w:t>
      </w:r>
      <w:r w:rsidR="007B767F" w:rsidRPr="000D4FA1">
        <w:rPr>
          <w:rFonts w:ascii="Times New Roman" w:eastAsia="Times New Roman" w:hAnsi="Times New Roman" w:cs="Times New Roman"/>
          <w:bCs/>
          <w:sz w:val="28"/>
          <w:szCs w:val="28"/>
          <w:lang w:val="ru-RU" w:eastAsia="ru-RU"/>
        </w:rPr>
        <w:t>–</w:t>
      </w:r>
      <w:r w:rsidR="00186469" w:rsidRPr="000D4FA1">
        <w:rPr>
          <w:rFonts w:ascii="Times New Roman" w:eastAsia="Times New Roman" w:hAnsi="Times New Roman" w:cs="Times New Roman"/>
          <w:bCs/>
          <w:sz w:val="28"/>
          <w:szCs w:val="28"/>
          <w:lang w:val="ru-RU" w:eastAsia="ru-RU"/>
        </w:rPr>
        <w:t xml:space="preserve">платформа </w:t>
      </w:r>
      <w:r w:rsidRPr="000D4FA1">
        <w:rPr>
          <w:rFonts w:ascii="Times New Roman" w:eastAsia="Times New Roman" w:hAnsi="Times New Roman" w:cs="Times New Roman"/>
          <w:bCs/>
          <w:sz w:val="28"/>
          <w:szCs w:val="28"/>
          <w:lang w:val="ru-RU" w:eastAsia="ru-RU"/>
        </w:rPr>
        <w:t>обеспечивает доступ к учебным материалам в любое время и из любого места, что особенно важно для студентов, совмещающих учебу с работой. Электронный журнал позволяет отслеживать успеваемость студентов и оперативно реагировать на возникающие проблемы. Дистанционные образовательные ресурсы расширяют возможности обучения и позволяют студентам изучать дополнительные материалы.</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Сотрудничество с клиническими базами города Шымкента играет важную роль в подготовке специалистов. В рамках дуального обучения студенты проходят производственную практику в больницах, поликлиниках и диагностических центрах. Это позволяет формировать профессиональные навыки в условиях реальной медицинской практики. Работа под руководством опытных врачей и медицинских сестер позволяет студентам получить ценный опыт и адаптироваться к будущей профессии.</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Комплексная организация учебного процесса демонстрирует высокий потенциал колледжа в подготовке конкурентоспособных специалистов среднего звена. Сочетание теоретического и практического обучения, современная материально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техническая база, цифровизация и сотрудничество с клиническими базами позволяют колледжу выпускать специалистов, востребованных на рынке труда и готовых к работе в сфере здравоохранения.</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kk-KZ" w:eastAsia="ru-RU"/>
        </w:rPr>
      </w:pPr>
      <w:r w:rsidRPr="000D4FA1">
        <w:rPr>
          <w:rFonts w:ascii="Times New Roman" w:eastAsia="Times New Roman" w:hAnsi="Times New Roman" w:cs="Times New Roman"/>
          <w:bCs/>
          <w:sz w:val="28"/>
          <w:szCs w:val="28"/>
          <w:lang w:val="ru-RU" w:eastAsia="ru-RU"/>
        </w:rPr>
        <w:t>В заключение, Шымкентский высший медицинский колледж представляет собой современное образовательное учреждение, ориентированное на подготовку высококвалифицированных специалистов среднего медицинского звена. Колледж активно внедряет инновационные образовательные технологии и сотрудничает с медицинскими учреждениями города, что позволяет обеспечить высокое качество обучения и востребованность выпускников на рынке труда.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Образовательный процесс в Шымкентском высшем медицинском колледже строится в соответствии с современными требованиями к подготовке среднего медицинского персонала. В основе лежит компетентностная модель выпускника, направленная на развитие профессиональных, клинических и коммуникативных компетенций.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Реализуемые в колледже образовательные программы охватывают ключевые специальности медицинского профиля, а именно:</w:t>
      </w:r>
    </w:p>
    <w:p w:rsidR="00F55C3F" w:rsidRPr="000D4FA1" w:rsidRDefault="00F55C3F" w:rsidP="006C0BBD">
      <w:pPr>
        <w:pStyle w:val="a4"/>
        <w:numPr>
          <w:ilvl w:val="0"/>
          <w:numId w:val="10"/>
        </w:numPr>
        <w:spacing w:before="0" w:beforeAutospacing="0" w:after="0" w:afterAutospacing="0"/>
        <w:jc w:val="both"/>
        <w:rPr>
          <w:sz w:val="28"/>
          <w:szCs w:val="28"/>
        </w:rPr>
      </w:pPr>
      <w:r w:rsidRPr="000D4FA1">
        <w:rPr>
          <w:bCs/>
          <w:sz w:val="28"/>
          <w:szCs w:val="28"/>
          <w:lang w:val="kk-KZ"/>
        </w:rPr>
        <w:t>Лечебное дело</w:t>
      </w:r>
      <w:r w:rsidR="0004140E" w:rsidRPr="000D4FA1">
        <w:rPr>
          <w:bCs/>
          <w:sz w:val="28"/>
          <w:szCs w:val="28"/>
          <w:lang w:val="kk-KZ"/>
        </w:rPr>
        <w:t>;</w:t>
      </w:r>
    </w:p>
    <w:p w:rsidR="00F55C3F" w:rsidRPr="000D4FA1" w:rsidRDefault="0004140E" w:rsidP="0004140E">
      <w:pPr>
        <w:pStyle w:val="a4"/>
        <w:spacing w:before="0" w:beforeAutospacing="0" w:after="0" w:afterAutospacing="0"/>
        <w:ind w:left="360"/>
        <w:jc w:val="both"/>
        <w:rPr>
          <w:sz w:val="28"/>
          <w:szCs w:val="28"/>
        </w:rPr>
      </w:pPr>
      <w:r w:rsidRPr="000D4FA1">
        <w:rPr>
          <w:sz w:val="28"/>
          <w:szCs w:val="28"/>
        </w:rPr>
        <w:t xml:space="preserve">–   </w:t>
      </w:r>
      <w:r w:rsidR="00F55C3F" w:rsidRPr="000D4FA1">
        <w:rPr>
          <w:sz w:val="28"/>
          <w:szCs w:val="28"/>
        </w:rPr>
        <w:t>Сестринское дело</w:t>
      </w:r>
      <w:r w:rsidRPr="000D4FA1">
        <w:rPr>
          <w:sz w:val="28"/>
          <w:szCs w:val="28"/>
        </w:rPr>
        <w:t>;</w:t>
      </w:r>
    </w:p>
    <w:p w:rsidR="00F55C3F" w:rsidRPr="000D4FA1" w:rsidRDefault="0004140E" w:rsidP="0004140E">
      <w:pPr>
        <w:pStyle w:val="a4"/>
        <w:spacing w:before="0" w:beforeAutospacing="0" w:after="0" w:afterAutospacing="0"/>
        <w:ind w:left="360"/>
        <w:jc w:val="both"/>
        <w:rPr>
          <w:sz w:val="28"/>
          <w:szCs w:val="28"/>
        </w:rPr>
      </w:pPr>
      <w:r w:rsidRPr="000D4FA1">
        <w:rPr>
          <w:sz w:val="28"/>
          <w:szCs w:val="28"/>
        </w:rPr>
        <w:t xml:space="preserve">–   </w:t>
      </w:r>
      <w:r w:rsidR="00F55C3F" w:rsidRPr="000D4FA1">
        <w:rPr>
          <w:bCs/>
          <w:sz w:val="28"/>
          <w:szCs w:val="28"/>
          <w:lang w:val="kk-KZ"/>
        </w:rPr>
        <w:t>Акушерское дело</w:t>
      </w:r>
      <w:r w:rsidRPr="000D4FA1">
        <w:rPr>
          <w:bCs/>
          <w:sz w:val="28"/>
          <w:szCs w:val="28"/>
          <w:lang w:val="kk-KZ"/>
        </w:rPr>
        <w:t>;</w:t>
      </w:r>
    </w:p>
    <w:p w:rsidR="00D144D6" w:rsidRPr="000D4FA1" w:rsidRDefault="0004140E" w:rsidP="0004140E">
      <w:pPr>
        <w:pStyle w:val="a4"/>
        <w:spacing w:before="0" w:beforeAutospacing="0" w:after="0" w:afterAutospacing="0"/>
        <w:jc w:val="both"/>
        <w:rPr>
          <w:sz w:val="28"/>
          <w:szCs w:val="28"/>
        </w:rPr>
      </w:pPr>
      <w:r w:rsidRPr="000D4FA1">
        <w:rPr>
          <w:sz w:val="28"/>
          <w:szCs w:val="28"/>
        </w:rPr>
        <w:t xml:space="preserve">     –   </w:t>
      </w:r>
      <w:r w:rsidR="00D144D6" w:rsidRPr="000D4FA1">
        <w:rPr>
          <w:sz w:val="28"/>
          <w:szCs w:val="28"/>
        </w:rPr>
        <w:t>Лабораторная диагностика</w:t>
      </w:r>
      <w:r w:rsidRPr="000D4FA1">
        <w:rPr>
          <w:sz w:val="28"/>
          <w:szCs w:val="28"/>
        </w:rPr>
        <w:t>;</w:t>
      </w:r>
    </w:p>
    <w:p w:rsidR="00F55C3F" w:rsidRPr="000D4FA1" w:rsidRDefault="00F55C3F" w:rsidP="006C0BBD">
      <w:pPr>
        <w:pStyle w:val="a4"/>
        <w:numPr>
          <w:ilvl w:val="0"/>
          <w:numId w:val="10"/>
        </w:numPr>
        <w:spacing w:before="0" w:beforeAutospacing="0" w:after="0" w:afterAutospacing="0"/>
        <w:jc w:val="both"/>
        <w:rPr>
          <w:sz w:val="28"/>
          <w:szCs w:val="28"/>
        </w:rPr>
      </w:pPr>
      <w:r w:rsidRPr="000D4FA1">
        <w:rPr>
          <w:sz w:val="28"/>
          <w:szCs w:val="28"/>
          <w:lang w:val="kk-KZ"/>
        </w:rPr>
        <w:t>Стоматология</w:t>
      </w:r>
      <w:r w:rsidR="0004140E" w:rsidRPr="000D4FA1">
        <w:rPr>
          <w:sz w:val="28"/>
          <w:szCs w:val="28"/>
          <w:lang w:val="kk-KZ"/>
        </w:rPr>
        <w:t>;</w:t>
      </w:r>
    </w:p>
    <w:p w:rsidR="00D144D6" w:rsidRPr="000D4FA1" w:rsidRDefault="00F55C3F" w:rsidP="006C0BBD">
      <w:pPr>
        <w:pStyle w:val="a4"/>
        <w:numPr>
          <w:ilvl w:val="0"/>
          <w:numId w:val="10"/>
        </w:numPr>
        <w:spacing w:before="0" w:beforeAutospacing="0" w:after="0" w:afterAutospacing="0"/>
        <w:jc w:val="both"/>
        <w:rPr>
          <w:sz w:val="28"/>
          <w:szCs w:val="28"/>
        </w:rPr>
      </w:pPr>
      <w:r w:rsidRPr="000D4FA1">
        <w:rPr>
          <w:sz w:val="28"/>
          <w:szCs w:val="28"/>
          <w:lang w:val="kk-KZ"/>
        </w:rPr>
        <w:t>Фармация.</w:t>
      </w:r>
    </w:p>
    <w:p w:rsidR="00D144D6" w:rsidRPr="000D4FA1" w:rsidRDefault="00D52DF4" w:rsidP="00D144D6">
      <w:pPr>
        <w:pStyle w:val="a4"/>
        <w:spacing w:before="0" w:beforeAutospacing="0" w:after="0" w:afterAutospacing="0"/>
        <w:ind w:firstLine="720"/>
        <w:jc w:val="both"/>
        <w:rPr>
          <w:sz w:val="28"/>
          <w:szCs w:val="28"/>
        </w:rPr>
      </w:pPr>
      <w:r w:rsidRPr="000D4FA1">
        <w:rPr>
          <w:sz w:val="28"/>
          <w:szCs w:val="28"/>
        </w:rPr>
        <w:t>Указанные</w:t>
      </w:r>
      <w:r w:rsidR="00D144D6" w:rsidRPr="000D4FA1">
        <w:rPr>
          <w:sz w:val="28"/>
          <w:szCs w:val="28"/>
        </w:rPr>
        <w:t xml:space="preserve"> программы соответствуют Государственному общеобразовательному стандарту технического и профессионального образования Республики Казахстан.</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Учебные планы разработаны таким образом, чтобы обеспечить оптимальное сочетание теоретического и практического обучения. Значительная часть учебного времени отводится на профессиональные модули, что позволяет студентам углубленно изучать выбранную специальность. Производственная практика интегрирована на всех этапах освоения программ, что способствует формированию практических навыков в условиях реальных клинических организаций. Это позволяет студентам применять полученные знания на практике и адаптироваться к будущей профессиональной деятельности.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Материально</w:t>
      </w:r>
      <w:r w:rsidR="007B767F" w:rsidRPr="000D4FA1">
        <w:rPr>
          <w:sz w:val="28"/>
          <w:szCs w:val="28"/>
        </w:rPr>
        <w:t>–</w:t>
      </w:r>
      <w:r w:rsidRPr="000D4FA1">
        <w:rPr>
          <w:sz w:val="28"/>
          <w:szCs w:val="28"/>
        </w:rPr>
        <w:t>техническая база колледжа включает в себя:</w:t>
      </w:r>
    </w:p>
    <w:p w:rsidR="00D144D6" w:rsidRPr="000D4FA1" w:rsidRDefault="0004140E" w:rsidP="0004140E">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Специализированные кабинеты для проведения теоретических занятий и практических упражнений</w:t>
      </w:r>
      <w:r w:rsidRPr="000D4FA1">
        <w:rPr>
          <w:sz w:val="28"/>
          <w:szCs w:val="28"/>
        </w:rPr>
        <w:t>;</w:t>
      </w:r>
    </w:p>
    <w:p w:rsidR="00D144D6" w:rsidRPr="000D4FA1" w:rsidRDefault="0004140E" w:rsidP="0004140E">
      <w:pPr>
        <w:pStyle w:val="a4"/>
        <w:spacing w:before="0" w:beforeAutospacing="0" w:after="0" w:afterAutospacing="0"/>
        <w:ind w:firstLine="720"/>
        <w:jc w:val="both"/>
        <w:rPr>
          <w:sz w:val="28"/>
          <w:szCs w:val="28"/>
        </w:rPr>
      </w:pPr>
      <w:r w:rsidRPr="000D4FA1">
        <w:rPr>
          <w:sz w:val="28"/>
          <w:szCs w:val="28"/>
        </w:rPr>
        <w:t xml:space="preserve">– </w:t>
      </w:r>
      <w:r w:rsidR="00F55C3F" w:rsidRPr="000D4FA1">
        <w:rPr>
          <w:sz w:val="28"/>
          <w:szCs w:val="28"/>
        </w:rPr>
        <w:t>Симуляционны</w:t>
      </w:r>
      <w:r w:rsidR="00F55C3F" w:rsidRPr="000D4FA1">
        <w:rPr>
          <w:sz w:val="28"/>
          <w:szCs w:val="28"/>
          <w:lang w:val="kk-KZ"/>
        </w:rPr>
        <w:t xml:space="preserve">й центр, </w:t>
      </w:r>
      <w:r w:rsidR="00D144D6" w:rsidRPr="000D4FA1">
        <w:rPr>
          <w:sz w:val="28"/>
          <w:szCs w:val="28"/>
        </w:rPr>
        <w:t>оснащенны</w:t>
      </w:r>
      <w:r w:rsidR="00F55C3F" w:rsidRPr="000D4FA1">
        <w:rPr>
          <w:sz w:val="28"/>
          <w:szCs w:val="28"/>
          <w:lang w:val="kk-KZ"/>
        </w:rPr>
        <w:t>й</w:t>
      </w:r>
      <w:r w:rsidR="00D144D6" w:rsidRPr="000D4FA1">
        <w:rPr>
          <w:sz w:val="28"/>
          <w:szCs w:val="28"/>
        </w:rPr>
        <w:t xml:space="preserve"> современным оборудованием для отработки клинических навыков в условиях, максимально приближенных к реальным</w:t>
      </w:r>
      <w:r w:rsidRPr="000D4FA1">
        <w:rPr>
          <w:sz w:val="28"/>
          <w:szCs w:val="28"/>
        </w:rPr>
        <w:t>;</w:t>
      </w:r>
    </w:p>
    <w:p w:rsidR="00D144D6" w:rsidRPr="000D4FA1" w:rsidRDefault="0004140E" w:rsidP="0004140E">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Фантомы и тренажеры, позволяющие студентам многократно повторять сложные манипуляции и процедуры</w:t>
      </w:r>
      <w:r w:rsidRPr="000D4FA1">
        <w:rPr>
          <w:sz w:val="28"/>
          <w:szCs w:val="28"/>
        </w:rPr>
        <w:t>;</w:t>
      </w:r>
    </w:p>
    <w:p w:rsidR="00D144D6" w:rsidRPr="000D4FA1" w:rsidRDefault="0004140E" w:rsidP="0004140E">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Мультимедийные обучающие комплексы, обеспечивающие наглядность и интерактивность учебного процесса</w:t>
      </w:r>
      <w:r w:rsidR="00492236" w:rsidRPr="000D4FA1">
        <w:rPr>
          <w:sz w:val="28"/>
          <w:szCs w:val="28"/>
        </w:rPr>
        <w:t>.</w:t>
      </w:r>
    </w:p>
    <w:p w:rsidR="002B2717" w:rsidRPr="000D4FA1" w:rsidRDefault="002B2717" w:rsidP="002B2717">
      <w:pPr>
        <w:pStyle w:val="a4"/>
        <w:spacing w:before="0" w:beforeAutospacing="0" w:after="0" w:afterAutospacing="0"/>
        <w:ind w:firstLine="720"/>
        <w:jc w:val="both"/>
        <w:rPr>
          <w:sz w:val="28"/>
          <w:szCs w:val="28"/>
        </w:rPr>
      </w:pPr>
      <w:r w:rsidRPr="000D4FA1">
        <w:rPr>
          <w:sz w:val="28"/>
          <w:szCs w:val="28"/>
        </w:rPr>
        <w:t>Важным элементом развития образовательного процесса является цифровизация. В колледже внедрены:</w:t>
      </w:r>
    </w:p>
    <w:p w:rsidR="002B2717" w:rsidRPr="000D4FA1" w:rsidRDefault="0004140E" w:rsidP="0004140E">
      <w:pPr>
        <w:pStyle w:val="a4"/>
        <w:spacing w:before="0" w:beforeAutospacing="0" w:after="0" w:afterAutospacing="0"/>
        <w:ind w:firstLine="720"/>
        <w:jc w:val="both"/>
        <w:rPr>
          <w:sz w:val="28"/>
          <w:szCs w:val="28"/>
        </w:rPr>
      </w:pPr>
      <w:r w:rsidRPr="000D4FA1">
        <w:rPr>
          <w:bCs/>
          <w:sz w:val="28"/>
          <w:szCs w:val="28"/>
        </w:rPr>
        <w:t xml:space="preserve">– </w:t>
      </w:r>
      <w:r w:rsidR="00F55C3F" w:rsidRPr="000D4FA1">
        <w:rPr>
          <w:bCs/>
          <w:sz w:val="28"/>
          <w:szCs w:val="28"/>
        </w:rPr>
        <w:t>ISEDU</w:t>
      </w:r>
      <w:r w:rsidR="007B767F" w:rsidRPr="000D4FA1">
        <w:rPr>
          <w:bCs/>
          <w:sz w:val="28"/>
          <w:szCs w:val="28"/>
        </w:rPr>
        <w:t>–</w:t>
      </w:r>
      <w:r w:rsidR="00F55C3F" w:rsidRPr="000D4FA1">
        <w:rPr>
          <w:bCs/>
          <w:sz w:val="28"/>
          <w:szCs w:val="28"/>
        </w:rPr>
        <w:t xml:space="preserve">платформа </w:t>
      </w:r>
      <w:r w:rsidR="002B2717" w:rsidRPr="000D4FA1">
        <w:rPr>
          <w:sz w:val="28"/>
          <w:szCs w:val="28"/>
        </w:rPr>
        <w:t>для управления учебным процессом, предоставления доступа к учебным материалам и организации онлайн</w:t>
      </w:r>
      <w:r w:rsidR="007B767F" w:rsidRPr="000D4FA1">
        <w:rPr>
          <w:sz w:val="28"/>
          <w:szCs w:val="28"/>
        </w:rPr>
        <w:t>–</w:t>
      </w:r>
      <w:r w:rsidR="002B2717" w:rsidRPr="000D4FA1">
        <w:rPr>
          <w:sz w:val="28"/>
          <w:szCs w:val="28"/>
        </w:rPr>
        <w:t>обучения.</w:t>
      </w:r>
    </w:p>
    <w:p w:rsidR="002B2717" w:rsidRPr="000D4FA1" w:rsidRDefault="00485031" w:rsidP="0068338D">
      <w:pPr>
        <w:pStyle w:val="a4"/>
        <w:spacing w:before="0" w:beforeAutospacing="0" w:after="0" w:afterAutospacing="0"/>
        <w:ind w:firstLine="720"/>
        <w:jc w:val="both"/>
        <w:rPr>
          <w:sz w:val="28"/>
          <w:szCs w:val="28"/>
        </w:rPr>
      </w:pPr>
      <w:r w:rsidRPr="000D4FA1">
        <w:rPr>
          <w:sz w:val="28"/>
          <w:szCs w:val="28"/>
        </w:rPr>
        <w:t xml:space="preserve">– </w:t>
      </w:r>
      <w:r w:rsidR="002B2717" w:rsidRPr="000D4FA1">
        <w:rPr>
          <w:sz w:val="28"/>
          <w:szCs w:val="28"/>
        </w:rPr>
        <w:t>Электронный журнал для учета успеваемости студентов и обеспечения прозрачности оценок.</w:t>
      </w:r>
    </w:p>
    <w:p w:rsidR="002B2717" w:rsidRPr="000D4FA1" w:rsidRDefault="0068338D" w:rsidP="0068338D">
      <w:pPr>
        <w:pStyle w:val="a4"/>
        <w:spacing w:before="0" w:beforeAutospacing="0" w:after="0" w:afterAutospacing="0"/>
        <w:ind w:firstLine="708"/>
        <w:jc w:val="both"/>
        <w:rPr>
          <w:sz w:val="28"/>
          <w:szCs w:val="28"/>
        </w:rPr>
      </w:pPr>
      <w:r w:rsidRPr="000D4FA1">
        <w:rPr>
          <w:sz w:val="28"/>
          <w:szCs w:val="28"/>
        </w:rPr>
        <w:t xml:space="preserve">– </w:t>
      </w:r>
      <w:r w:rsidR="002B2717" w:rsidRPr="000D4FA1">
        <w:rPr>
          <w:sz w:val="28"/>
          <w:szCs w:val="28"/>
        </w:rPr>
        <w:t>Дистанционные образовательные ресурсы, позволяющие студентам изучать материалы в удобное время и темпе.</w:t>
      </w:r>
    </w:p>
    <w:p w:rsidR="002B2717" w:rsidRPr="000D4FA1" w:rsidRDefault="0068338D" w:rsidP="0068338D">
      <w:pPr>
        <w:pStyle w:val="a4"/>
        <w:spacing w:before="0" w:beforeAutospacing="0" w:after="0" w:afterAutospacing="0"/>
        <w:ind w:firstLine="720"/>
        <w:jc w:val="both"/>
        <w:rPr>
          <w:sz w:val="28"/>
          <w:szCs w:val="28"/>
        </w:rPr>
      </w:pPr>
      <w:r w:rsidRPr="000D4FA1">
        <w:rPr>
          <w:sz w:val="28"/>
          <w:szCs w:val="28"/>
        </w:rPr>
        <w:t xml:space="preserve">– </w:t>
      </w:r>
      <w:r w:rsidR="002B2717" w:rsidRPr="000D4FA1">
        <w:rPr>
          <w:sz w:val="28"/>
          <w:szCs w:val="28"/>
        </w:rPr>
        <w:t>Симуляционные программы, используемые для отработки клинических сценариев и развития навыков принятия решений.</w:t>
      </w:r>
    </w:p>
    <w:p w:rsidR="002B2717" w:rsidRPr="000D4FA1" w:rsidRDefault="002B2717" w:rsidP="002B2717">
      <w:pPr>
        <w:pStyle w:val="a4"/>
        <w:spacing w:before="0" w:beforeAutospacing="0" w:after="0" w:afterAutospacing="0"/>
        <w:ind w:firstLine="720"/>
        <w:jc w:val="both"/>
        <w:rPr>
          <w:sz w:val="28"/>
          <w:szCs w:val="28"/>
        </w:rPr>
      </w:pPr>
      <w:r w:rsidRPr="000D4FA1">
        <w:rPr>
          <w:sz w:val="28"/>
          <w:szCs w:val="28"/>
        </w:rPr>
        <w:t>Цифровизация повышает прозрачность, доступность и управляемость учебного процесса.</w:t>
      </w:r>
    </w:p>
    <w:p w:rsidR="004770BF" w:rsidRPr="000D4FA1" w:rsidRDefault="004770BF" w:rsidP="004770BF">
      <w:pPr>
        <w:pStyle w:val="a4"/>
        <w:spacing w:before="0" w:beforeAutospacing="0" w:after="0" w:afterAutospacing="0"/>
        <w:ind w:firstLine="720"/>
        <w:jc w:val="both"/>
        <w:rPr>
          <w:sz w:val="28"/>
          <w:szCs w:val="28"/>
        </w:rPr>
      </w:pPr>
      <w:r w:rsidRPr="000D4FA1">
        <w:rPr>
          <w:sz w:val="28"/>
          <w:szCs w:val="28"/>
        </w:rPr>
        <w:t xml:space="preserve">Сотрудничество с клиническими базами города Шымкента играет важную роль в подготовке специалистов. </w:t>
      </w:r>
    </w:p>
    <w:p w:rsidR="004770BF" w:rsidRPr="000D4FA1" w:rsidRDefault="004770BF" w:rsidP="004770BF">
      <w:pPr>
        <w:pStyle w:val="a4"/>
        <w:spacing w:before="0" w:beforeAutospacing="0" w:after="0" w:afterAutospacing="0"/>
        <w:ind w:firstLine="720"/>
        <w:jc w:val="both"/>
        <w:rPr>
          <w:sz w:val="28"/>
          <w:szCs w:val="28"/>
        </w:rPr>
      </w:pPr>
      <w:r w:rsidRPr="000D4FA1">
        <w:rPr>
          <w:sz w:val="28"/>
          <w:szCs w:val="28"/>
        </w:rPr>
        <w:t>Колледж активно сотрудничает с больницами,  поликлиниками и диагностическими центрами.</w:t>
      </w:r>
    </w:p>
    <w:p w:rsidR="004770BF" w:rsidRPr="000D4FA1" w:rsidRDefault="004770BF" w:rsidP="004770BF">
      <w:pPr>
        <w:pStyle w:val="a4"/>
        <w:spacing w:before="0" w:beforeAutospacing="0" w:after="0" w:afterAutospacing="0"/>
        <w:ind w:firstLine="720"/>
        <w:jc w:val="both"/>
        <w:rPr>
          <w:sz w:val="28"/>
          <w:szCs w:val="28"/>
        </w:rPr>
      </w:pPr>
      <w:r w:rsidRPr="000D4FA1">
        <w:rPr>
          <w:sz w:val="28"/>
          <w:szCs w:val="28"/>
        </w:rPr>
        <w:t>Сотрудничество обеспечивает реализацию дуального обучения, когда студенты проходят производственную практику в условиях реальной медицинской практики. Это позволяет им формировать профессиональные навыки, знакомиться с организацией работы медицинских учреждений и адаптироваться к будущей профессиональной деятельности.</w:t>
      </w:r>
    </w:p>
    <w:p w:rsidR="00D144D6" w:rsidRPr="000D4FA1" w:rsidRDefault="00D144D6" w:rsidP="004770BF">
      <w:pPr>
        <w:pStyle w:val="a4"/>
        <w:spacing w:before="0" w:beforeAutospacing="0" w:after="0" w:afterAutospacing="0"/>
        <w:jc w:val="both"/>
        <w:rPr>
          <w:sz w:val="28"/>
          <w:szCs w:val="28"/>
        </w:rPr>
      </w:pPr>
      <w:r w:rsidRPr="000D4FA1">
        <w:rPr>
          <w:sz w:val="28"/>
          <w:szCs w:val="28"/>
        </w:rPr>
        <w:t>Структура оснащения колледжа соответствует международным рекомендациям по обеспечению качества подготовки среднего медицинского персонала.</w:t>
      </w:r>
    </w:p>
    <w:p w:rsidR="00D144D6" w:rsidRPr="000D4FA1" w:rsidRDefault="00D144D6" w:rsidP="00D144D6">
      <w:pPr>
        <w:pStyle w:val="a4"/>
        <w:spacing w:before="0" w:beforeAutospacing="0" w:after="0" w:afterAutospacing="0"/>
        <w:ind w:firstLine="720"/>
        <w:jc w:val="both"/>
      </w:pPr>
    </w:p>
    <w:p w:rsidR="00D144D6" w:rsidRPr="000D4FA1" w:rsidRDefault="008A38ED" w:rsidP="0068338D">
      <w:pPr>
        <w:pStyle w:val="a4"/>
        <w:spacing w:before="0" w:beforeAutospacing="0" w:after="0" w:afterAutospacing="0"/>
        <w:ind w:firstLine="720"/>
        <w:jc w:val="center"/>
        <w:rPr>
          <w:sz w:val="28"/>
          <w:szCs w:val="28"/>
        </w:rPr>
      </w:pPr>
      <w:r w:rsidRPr="000D4FA1">
        <w:rPr>
          <w:noProof/>
          <w:sz w:val="28"/>
          <w:szCs w:val="28"/>
        </w:rPr>
        <w:lastRenderedPageBreak/>
        <w:drawing>
          <wp:anchor distT="0" distB="0" distL="114300" distR="114300" simplePos="0" relativeHeight="251651072" behindDoc="1" locked="0" layoutInCell="1" allowOverlap="1">
            <wp:simplePos x="0" y="0"/>
            <wp:positionH relativeFrom="margin">
              <wp:posOffset>196215</wp:posOffset>
            </wp:positionH>
            <wp:positionV relativeFrom="paragraph">
              <wp:posOffset>9525</wp:posOffset>
            </wp:positionV>
            <wp:extent cx="5743575" cy="3884930"/>
            <wp:effectExtent l="19050" t="19050" r="9525" b="1270"/>
            <wp:wrapTight wrapText="bothSides">
              <wp:wrapPolygon edited="0">
                <wp:start x="-72" y="-106"/>
                <wp:lineTo x="-72" y="21607"/>
                <wp:lineTo x="21636" y="21607"/>
                <wp:lineTo x="21636" y="-106"/>
                <wp:lineTo x="-72" y="-106"/>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932"/>
                    <a:stretch/>
                  </pic:blipFill>
                  <pic:spPr bwMode="auto">
                    <a:xfrm>
                      <a:off x="0" y="0"/>
                      <a:ext cx="5743575" cy="3884930"/>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144D6" w:rsidRPr="000D4FA1">
        <w:rPr>
          <w:sz w:val="28"/>
          <w:szCs w:val="28"/>
        </w:rPr>
        <w:t xml:space="preserve">Рисунок </w:t>
      </w:r>
      <w:r w:rsidR="002A647B">
        <w:rPr>
          <w:sz w:val="28"/>
          <w:szCs w:val="28"/>
        </w:rPr>
        <w:t>3</w:t>
      </w:r>
      <w:r w:rsidR="00D144D6" w:rsidRPr="000D4FA1">
        <w:rPr>
          <w:sz w:val="28"/>
          <w:szCs w:val="28"/>
        </w:rPr>
        <w:t xml:space="preserve"> – Структура и ключевые компоненты образовательного процесса в Шымкентском высшем медицинском колледже</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pPr>
      <w:r w:rsidRPr="000D4FA1">
        <w:t>Примечание – составлено автором на основании ГОСО и учебно</w:t>
      </w:r>
      <w:r w:rsidR="007B767F" w:rsidRPr="000D4FA1">
        <w:t>–</w:t>
      </w:r>
      <w:r w:rsidRPr="000D4FA1">
        <w:t>методических материалов колледжа.</w:t>
      </w:r>
    </w:p>
    <w:p w:rsidR="004770BF" w:rsidRPr="000D4FA1" w:rsidRDefault="004770BF"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Комплексная организация учебного процесса, включающая компетентностный подход, оптимальное сочетание теории и практики, современную материально</w:t>
      </w:r>
      <w:r w:rsidR="007B767F" w:rsidRPr="000D4FA1">
        <w:rPr>
          <w:sz w:val="28"/>
          <w:szCs w:val="28"/>
        </w:rPr>
        <w:t>–</w:t>
      </w:r>
      <w:r w:rsidRPr="000D4FA1">
        <w:rPr>
          <w:sz w:val="28"/>
          <w:szCs w:val="28"/>
        </w:rPr>
        <w:t>техническую базу, цифровизацию и сотрудничество с клиническими базами, демонстрирует высокий потенциал Шымкентского высшего медицинского колледжа в подготовке конкурентоспособных специалистов среднего звена для системы здравоохранения.</w:t>
      </w:r>
    </w:p>
    <w:p w:rsidR="004770BF" w:rsidRPr="000D4FA1" w:rsidRDefault="004770BF" w:rsidP="004770BF">
      <w:pPr>
        <w:pStyle w:val="a4"/>
        <w:spacing w:before="0" w:beforeAutospacing="0" w:after="0" w:afterAutospacing="0"/>
        <w:ind w:firstLine="720"/>
        <w:jc w:val="both"/>
        <w:rPr>
          <w:sz w:val="28"/>
          <w:szCs w:val="28"/>
        </w:rPr>
      </w:pPr>
      <w:r w:rsidRPr="000D4FA1">
        <w:rPr>
          <w:sz w:val="28"/>
          <w:szCs w:val="28"/>
        </w:rPr>
        <w:t>Колледж предлагает обучать по нескольким ключевым медицинским направлениям: сестринское дело, лечебное дело (фельдшер), стоматология, фармация и другие. Это свидетельствует о том, что учреждение охватывает широкий спектр среднего медицинского образования, что усиливает его роль как источника кадров для системы здравоохранения региона.</w:t>
      </w:r>
    </w:p>
    <w:p w:rsidR="002A647B" w:rsidRPr="000D4FA1" w:rsidRDefault="002A647B" w:rsidP="002A647B">
      <w:pPr>
        <w:pStyle w:val="a4"/>
        <w:spacing w:before="0" w:beforeAutospacing="0" w:after="0" w:afterAutospacing="0"/>
        <w:ind w:firstLine="720"/>
        <w:jc w:val="both"/>
        <w:rPr>
          <w:sz w:val="28"/>
          <w:szCs w:val="28"/>
        </w:rPr>
      </w:pPr>
      <w:r w:rsidRPr="000D4FA1">
        <w:rPr>
          <w:sz w:val="28"/>
          <w:szCs w:val="28"/>
        </w:rPr>
        <w:t>Данные о сроках обучения (например, 2 года 10 месяцев на базе 11 классов) показывают, что колледж придерживается формата техническ</w:t>
      </w:r>
      <w:r w:rsidRPr="000D4FA1">
        <w:rPr>
          <w:sz w:val="28"/>
          <w:szCs w:val="28"/>
          <w:lang w:val="kk-KZ"/>
        </w:rPr>
        <w:t>ого и</w:t>
      </w:r>
      <w:r w:rsidRPr="000D4FA1">
        <w:rPr>
          <w:sz w:val="28"/>
          <w:szCs w:val="28"/>
        </w:rPr>
        <w:t xml:space="preserve"> профессионального образования, где нормативные сроки отражают требования к освоению компетентностной модели. Для программы бакалавра сестринского дела указаны сроки 3 года 6 месяца на базе 11 классов. </w:t>
      </w:r>
      <w:hyperlink r:id="rId11" w:tgtFrame="_blank" w:history="1">
        <w:r w:rsidRPr="000D4FA1">
          <w:rPr>
            <w:sz w:val="28"/>
            <w:szCs w:val="28"/>
          </w:rPr>
          <w:t>PED.kz+1</w:t>
        </w:r>
      </w:hyperlink>
      <w:r w:rsidRPr="000D4FA1">
        <w:rPr>
          <w:sz w:val="28"/>
          <w:szCs w:val="28"/>
        </w:rPr>
        <w:t>. Это означает, что колледж адаптирован под разные формы отбора (на базе 11 классов или на базе ТиПО) и разные образовательные уровни (среднее специальное и прикладной бакалавриат).</w:t>
      </w:r>
    </w:p>
    <w:p w:rsidR="00D144D6" w:rsidRPr="000D4FA1" w:rsidRDefault="00D144D6" w:rsidP="00D144D6">
      <w:pPr>
        <w:pStyle w:val="a4"/>
        <w:spacing w:before="0" w:beforeAutospacing="0" w:after="0" w:afterAutospacing="0"/>
        <w:ind w:firstLine="720"/>
        <w:jc w:val="both"/>
        <w:rPr>
          <w:sz w:val="28"/>
          <w:szCs w:val="28"/>
          <w:lang w:val="kk-KZ"/>
        </w:rPr>
      </w:pPr>
      <w:r w:rsidRPr="000D4FA1">
        <w:rPr>
          <w:sz w:val="28"/>
          <w:szCs w:val="28"/>
        </w:rPr>
        <w:lastRenderedPageBreak/>
        <w:t xml:space="preserve">Таблица </w:t>
      </w:r>
      <w:r w:rsidR="00B80F8B" w:rsidRPr="000D4FA1">
        <w:rPr>
          <w:sz w:val="28"/>
          <w:szCs w:val="28"/>
        </w:rPr>
        <w:t>1</w:t>
      </w:r>
      <w:r w:rsidRPr="000D4FA1">
        <w:rPr>
          <w:sz w:val="28"/>
          <w:szCs w:val="28"/>
        </w:rPr>
        <w:t>1</w:t>
      </w:r>
      <w:r w:rsidR="0068338D" w:rsidRPr="000D4FA1">
        <w:rPr>
          <w:sz w:val="28"/>
          <w:szCs w:val="28"/>
        </w:rPr>
        <w:t xml:space="preserve"> –</w:t>
      </w:r>
      <w:r w:rsidR="00F55C3F" w:rsidRPr="000D4FA1">
        <w:rPr>
          <w:sz w:val="28"/>
          <w:szCs w:val="28"/>
          <w:lang w:val="kk-KZ"/>
        </w:rPr>
        <w:t xml:space="preserve"> </w:t>
      </w:r>
      <w:r w:rsidRPr="000D4FA1">
        <w:rPr>
          <w:sz w:val="28"/>
          <w:szCs w:val="28"/>
        </w:rPr>
        <w:t>Образовательные программы и сроки обучения на базе 11 классов в Шымкентском высшем медицинском колледже</w:t>
      </w:r>
    </w:p>
    <w:p w:rsidR="00D144D6" w:rsidRPr="000D4FA1" w:rsidRDefault="00D144D6" w:rsidP="00D144D6">
      <w:pPr>
        <w:pStyle w:val="a4"/>
        <w:spacing w:before="0" w:beforeAutospacing="0" w:after="0" w:afterAutospacing="0"/>
        <w:ind w:firstLine="720"/>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2835"/>
        <w:gridCol w:w="3656"/>
      </w:tblGrid>
      <w:tr w:rsidR="00D144D6" w:rsidRPr="0036668B" w:rsidTr="004770BF">
        <w:trPr>
          <w:trHeight w:val="630"/>
        </w:trPr>
        <w:tc>
          <w:tcPr>
            <w:tcW w:w="3256" w:type="dxa"/>
            <w:hideMark/>
          </w:tcPr>
          <w:p w:rsidR="00D144D6" w:rsidRPr="007936F7" w:rsidRDefault="00D144D6" w:rsidP="00C76C5B">
            <w:pPr>
              <w:spacing w:after="0" w:line="240" w:lineRule="auto"/>
              <w:jc w:val="center"/>
              <w:rPr>
                <w:rFonts w:ascii="Times New Roman" w:eastAsia="Times New Roman" w:hAnsi="Times New Roman" w:cs="Times New Roman"/>
                <w:bCs/>
                <w:noProof/>
                <w:sz w:val="28"/>
                <w:szCs w:val="28"/>
                <w:lang w:val="kk-KZ"/>
              </w:rPr>
            </w:pPr>
            <w:r w:rsidRPr="007936F7">
              <w:rPr>
                <w:rFonts w:ascii="Times New Roman" w:eastAsia="Times New Roman" w:hAnsi="Times New Roman" w:cs="Times New Roman"/>
                <w:bCs/>
                <w:noProof/>
                <w:sz w:val="28"/>
                <w:szCs w:val="28"/>
                <w:lang w:val="kk-KZ"/>
              </w:rPr>
              <w:t>Код специальности</w:t>
            </w:r>
          </w:p>
        </w:tc>
        <w:tc>
          <w:tcPr>
            <w:tcW w:w="2835" w:type="dxa"/>
            <w:hideMark/>
          </w:tcPr>
          <w:p w:rsidR="00D144D6" w:rsidRPr="007936F7" w:rsidRDefault="00D144D6" w:rsidP="00C76C5B">
            <w:pPr>
              <w:spacing w:after="0" w:line="240" w:lineRule="auto"/>
              <w:jc w:val="center"/>
              <w:rPr>
                <w:rFonts w:ascii="Times New Roman" w:eastAsia="Times New Roman" w:hAnsi="Times New Roman" w:cs="Times New Roman"/>
                <w:bCs/>
                <w:noProof/>
                <w:color w:val="000000"/>
                <w:sz w:val="28"/>
                <w:szCs w:val="28"/>
                <w:lang w:val="kk-KZ"/>
              </w:rPr>
            </w:pPr>
            <w:r w:rsidRPr="007936F7">
              <w:rPr>
                <w:rFonts w:ascii="Times New Roman" w:eastAsia="Times New Roman" w:hAnsi="Times New Roman" w:cs="Times New Roman"/>
                <w:bCs/>
                <w:noProof/>
                <w:color w:val="000000"/>
                <w:sz w:val="28"/>
                <w:szCs w:val="28"/>
                <w:lang w:val="kk-KZ"/>
              </w:rPr>
              <w:t>Название квалификации</w:t>
            </w:r>
          </w:p>
        </w:tc>
        <w:tc>
          <w:tcPr>
            <w:tcW w:w="3656" w:type="dxa"/>
            <w:hideMark/>
          </w:tcPr>
          <w:p w:rsidR="00F55C3F" w:rsidRPr="007936F7" w:rsidRDefault="00D144D6" w:rsidP="00C76C5B">
            <w:pPr>
              <w:spacing w:after="0" w:line="240" w:lineRule="auto"/>
              <w:jc w:val="center"/>
              <w:rPr>
                <w:rFonts w:ascii="Times New Roman" w:eastAsia="Times New Roman" w:hAnsi="Times New Roman" w:cs="Times New Roman"/>
                <w:bCs/>
                <w:noProof/>
                <w:color w:val="000000"/>
                <w:sz w:val="28"/>
                <w:szCs w:val="28"/>
                <w:lang w:val="kk-KZ"/>
              </w:rPr>
            </w:pPr>
            <w:r w:rsidRPr="007936F7">
              <w:rPr>
                <w:rFonts w:ascii="Times New Roman" w:eastAsia="Times New Roman" w:hAnsi="Times New Roman" w:cs="Times New Roman"/>
                <w:bCs/>
                <w:noProof/>
                <w:color w:val="000000"/>
                <w:sz w:val="28"/>
                <w:szCs w:val="28"/>
                <w:lang w:val="kk-KZ"/>
              </w:rPr>
              <w:t>Срок обучения</w:t>
            </w:r>
          </w:p>
          <w:p w:rsidR="00D144D6" w:rsidRPr="007936F7" w:rsidRDefault="00D144D6" w:rsidP="00C76C5B">
            <w:pPr>
              <w:spacing w:after="0" w:line="240" w:lineRule="auto"/>
              <w:jc w:val="center"/>
              <w:rPr>
                <w:rFonts w:ascii="Times New Roman" w:eastAsia="Times New Roman" w:hAnsi="Times New Roman" w:cs="Times New Roman"/>
                <w:bCs/>
                <w:noProof/>
                <w:color w:val="000000"/>
                <w:sz w:val="28"/>
                <w:szCs w:val="28"/>
                <w:lang w:val="kk-KZ"/>
              </w:rPr>
            </w:pPr>
            <w:r w:rsidRPr="007936F7">
              <w:rPr>
                <w:rFonts w:ascii="Times New Roman" w:eastAsia="Times New Roman" w:hAnsi="Times New Roman" w:cs="Times New Roman"/>
                <w:bCs/>
                <w:noProof/>
                <w:color w:val="000000"/>
                <w:sz w:val="28"/>
                <w:szCs w:val="28"/>
                <w:lang w:val="kk-KZ"/>
              </w:rPr>
              <w:t xml:space="preserve"> (на базе 11 классов)</w:t>
            </w:r>
          </w:p>
        </w:tc>
      </w:tr>
      <w:tr w:rsidR="00D144D6" w:rsidRPr="007936F7" w:rsidTr="004770BF">
        <w:trPr>
          <w:trHeight w:val="315"/>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09110100 – Стоматология</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Дантист</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2"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630"/>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09110200 – Стоматология ортопедическая</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Зубной техник</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3"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1 год 10 месяцев (PED.kz)</w:t>
              </w:r>
            </w:hyperlink>
          </w:p>
        </w:tc>
      </w:tr>
      <w:tr w:rsidR="00D144D6" w:rsidRPr="007936F7" w:rsidTr="004770BF">
        <w:trPr>
          <w:trHeight w:val="315"/>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09120100 – Лечебное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Фельдшер</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4"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630"/>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09130100 – Сестринское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Медицинская сестра общей практики</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5"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315"/>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09130100 – Сестринское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Массажист</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6"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1 год 10 месяцев (PED.kz)</w:t>
              </w:r>
            </w:hyperlink>
          </w:p>
        </w:tc>
      </w:tr>
      <w:tr w:rsidR="00D144D6" w:rsidRPr="0036668B" w:rsidTr="004770BF">
        <w:trPr>
          <w:trHeight w:val="630"/>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09130100 – Сестринское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Прикладной бакалавр сестринского дела</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7"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 xml:space="preserve">3 года 6 месяцев (на базе 11 классов) </w:t>
              </w:r>
            </w:hyperlink>
          </w:p>
        </w:tc>
      </w:tr>
      <w:tr w:rsidR="00D144D6" w:rsidRPr="007936F7" w:rsidTr="004770BF">
        <w:trPr>
          <w:trHeight w:val="315"/>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09130200 – Акушерское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Акушер(</w:t>
            </w:r>
            <w:r w:rsidR="007B767F" w:rsidRPr="007936F7">
              <w:rPr>
                <w:rFonts w:ascii="Times New Roman" w:eastAsia="Times New Roman" w:hAnsi="Times New Roman" w:cs="Times New Roman"/>
                <w:noProof/>
                <w:color w:val="000000"/>
                <w:sz w:val="28"/>
                <w:szCs w:val="28"/>
                <w:lang w:val="kk-KZ"/>
              </w:rPr>
              <w:t>–</w:t>
            </w:r>
            <w:r w:rsidRPr="007936F7">
              <w:rPr>
                <w:rFonts w:ascii="Times New Roman" w:eastAsia="Times New Roman" w:hAnsi="Times New Roman" w:cs="Times New Roman"/>
                <w:noProof/>
                <w:color w:val="000000"/>
                <w:sz w:val="28"/>
                <w:szCs w:val="28"/>
                <w:lang w:val="kk-KZ"/>
              </w:rPr>
              <w:t>ка)</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8"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390"/>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09140100 – Лабораторная диагностика</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Медицинский лаборант</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19"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315"/>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09160100 – Фармация</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Фармацевт</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20"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7936F7" w:rsidTr="004770BF">
        <w:trPr>
          <w:trHeight w:val="450"/>
        </w:trPr>
        <w:tc>
          <w:tcPr>
            <w:tcW w:w="3256" w:type="dxa"/>
            <w:hideMark/>
          </w:tcPr>
          <w:p w:rsidR="00D144D6" w:rsidRPr="007936F7" w:rsidRDefault="00D144D6" w:rsidP="00C76C5B">
            <w:pPr>
              <w:spacing w:after="0" w:line="240" w:lineRule="auto"/>
              <w:rPr>
                <w:rFonts w:ascii="Times New Roman" w:eastAsia="Times New Roman" w:hAnsi="Times New Roman" w:cs="Times New Roman"/>
                <w:noProof/>
                <w:sz w:val="28"/>
                <w:szCs w:val="28"/>
                <w:lang w:val="kk-KZ"/>
              </w:rPr>
            </w:pPr>
            <w:r w:rsidRPr="007936F7">
              <w:rPr>
                <w:rFonts w:ascii="Times New Roman" w:eastAsia="Times New Roman" w:hAnsi="Times New Roman" w:cs="Times New Roman"/>
                <w:noProof/>
                <w:sz w:val="28"/>
                <w:szCs w:val="28"/>
                <w:lang w:val="kk-KZ"/>
              </w:rPr>
              <w:t>09880100 – Медико</w:t>
            </w:r>
            <w:r w:rsidR="007B767F" w:rsidRPr="007936F7">
              <w:rPr>
                <w:rFonts w:ascii="Times New Roman" w:eastAsia="Times New Roman" w:hAnsi="Times New Roman" w:cs="Times New Roman"/>
                <w:noProof/>
                <w:sz w:val="28"/>
                <w:szCs w:val="28"/>
                <w:lang w:val="kk-KZ"/>
              </w:rPr>
              <w:t>–</w:t>
            </w:r>
            <w:r w:rsidRPr="007936F7">
              <w:rPr>
                <w:rFonts w:ascii="Times New Roman" w:eastAsia="Times New Roman" w:hAnsi="Times New Roman" w:cs="Times New Roman"/>
                <w:noProof/>
                <w:sz w:val="28"/>
                <w:szCs w:val="28"/>
                <w:lang w:val="kk-KZ"/>
              </w:rPr>
              <w:t>профилактическое дело</w:t>
            </w:r>
          </w:p>
        </w:tc>
        <w:tc>
          <w:tcPr>
            <w:tcW w:w="2835" w:type="dxa"/>
            <w:hideMark/>
          </w:tcPr>
          <w:p w:rsidR="00D144D6" w:rsidRPr="007936F7" w:rsidRDefault="00D144D6" w:rsidP="00C76C5B">
            <w:pPr>
              <w:spacing w:after="0" w:line="240" w:lineRule="auto"/>
              <w:rPr>
                <w:rFonts w:ascii="Times New Roman" w:eastAsia="Times New Roman" w:hAnsi="Times New Roman" w:cs="Times New Roman"/>
                <w:noProof/>
                <w:color w:val="000000"/>
                <w:sz w:val="28"/>
                <w:szCs w:val="28"/>
                <w:lang w:val="kk-KZ"/>
              </w:rPr>
            </w:pPr>
            <w:r w:rsidRPr="007936F7">
              <w:rPr>
                <w:rFonts w:ascii="Times New Roman" w:eastAsia="Times New Roman" w:hAnsi="Times New Roman" w:cs="Times New Roman"/>
                <w:noProof/>
                <w:color w:val="000000"/>
                <w:sz w:val="28"/>
                <w:szCs w:val="28"/>
                <w:lang w:val="kk-KZ"/>
              </w:rPr>
              <w:t>Гигиенист</w:t>
            </w:r>
            <w:r w:rsidR="007B767F" w:rsidRPr="007936F7">
              <w:rPr>
                <w:rFonts w:ascii="Times New Roman" w:eastAsia="Times New Roman" w:hAnsi="Times New Roman" w:cs="Times New Roman"/>
                <w:noProof/>
                <w:color w:val="000000"/>
                <w:sz w:val="28"/>
                <w:szCs w:val="28"/>
                <w:lang w:val="kk-KZ"/>
              </w:rPr>
              <w:t>–</w:t>
            </w:r>
            <w:r w:rsidRPr="007936F7">
              <w:rPr>
                <w:rFonts w:ascii="Times New Roman" w:eastAsia="Times New Roman" w:hAnsi="Times New Roman" w:cs="Times New Roman"/>
                <w:noProof/>
                <w:color w:val="000000"/>
                <w:sz w:val="28"/>
                <w:szCs w:val="28"/>
                <w:lang w:val="kk-KZ"/>
              </w:rPr>
              <w:t>эпидемиолог</w:t>
            </w:r>
          </w:p>
        </w:tc>
        <w:tc>
          <w:tcPr>
            <w:tcW w:w="3656" w:type="dxa"/>
            <w:hideMark/>
          </w:tcPr>
          <w:p w:rsidR="00D144D6" w:rsidRPr="007936F7" w:rsidRDefault="00432205" w:rsidP="00C76C5B">
            <w:pPr>
              <w:spacing w:after="0" w:line="240" w:lineRule="auto"/>
              <w:rPr>
                <w:rFonts w:ascii="Times New Roman" w:eastAsia="Times New Roman" w:hAnsi="Times New Roman" w:cs="Times New Roman"/>
                <w:noProof/>
                <w:sz w:val="28"/>
                <w:szCs w:val="28"/>
                <w:lang w:val="kk-KZ"/>
              </w:rPr>
            </w:pPr>
            <w:hyperlink r:id="rId21" w:tooltip="Высший медицинский колледж Шымкента - PED.kz" w:history="1">
              <w:r w:rsidR="00D144D6" w:rsidRPr="007936F7">
                <w:rPr>
                  <w:rFonts w:ascii="Times New Roman" w:eastAsia="Times New Roman" w:hAnsi="Times New Roman" w:cs="Times New Roman"/>
                  <w:noProof/>
                  <w:sz w:val="28"/>
                  <w:szCs w:val="28"/>
                  <w:lang w:val="kk-KZ"/>
                </w:rPr>
                <w:t>2 года 10 месяцев (PED.kz)</w:t>
              </w:r>
            </w:hyperlink>
          </w:p>
        </w:tc>
      </w:tr>
      <w:tr w:rsidR="00D144D6" w:rsidRPr="0036668B" w:rsidTr="004770BF">
        <w:trPr>
          <w:trHeight w:val="450"/>
        </w:trPr>
        <w:tc>
          <w:tcPr>
            <w:tcW w:w="9747" w:type="dxa"/>
            <w:gridSpan w:val="3"/>
          </w:tcPr>
          <w:p w:rsidR="00D144D6" w:rsidRPr="007936F7" w:rsidRDefault="0068338D" w:rsidP="00ED0D22">
            <w:pPr>
              <w:spacing w:after="0" w:line="240" w:lineRule="auto"/>
              <w:rPr>
                <w:rFonts w:ascii="Times New Roman" w:eastAsia="Times New Roman" w:hAnsi="Times New Roman" w:cs="Times New Roman"/>
                <w:noProof/>
                <w:sz w:val="24"/>
                <w:szCs w:val="24"/>
                <w:lang w:val="kk-KZ"/>
              </w:rPr>
            </w:pPr>
            <w:r w:rsidRPr="007936F7">
              <w:rPr>
                <w:rFonts w:ascii="Times New Roman" w:eastAsia="Times New Roman" w:hAnsi="Times New Roman" w:cs="Times New Roman"/>
                <w:noProof/>
                <w:sz w:val="28"/>
                <w:szCs w:val="28"/>
                <w:lang w:val="kk-KZ"/>
              </w:rPr>
              <w:t xml:space="preserve">           </w:t>
            </w:r>
            <w:r w:rsidR="00D144D6" w:rsidRPr="007936F7">
              <w:rPr>
                <w:rFonts w:ascii="Times New Roman" w:eastAsia="Times New Roman" w:hAnsi="Times New Roman" w:cs="Times New Roman"/>
                <w:noProof/>
                <w:sz w:val="24"/>
                <w:szCs w:val="24"/>
                <w:lang w:val="kk-KZ"/>
              </w:rPr>
              <w:t>Примечание</w:t>
            </w:r>
            <w:r w:rsidRPr="007936F7">
              <w:rPr>
                <w:rFonts w:ascii="Times New Roman" w:eastAsia="Times New Roman" w:hAnsi="Times New Roman" w:cs="Times New Roman"/>
                <w:noProof/>
                <w:sz w:val="24"/>
                <w:szCs w:val="24"/>
                <w:lang w:val="kk-KZ"/>
              </w:rPr>
              <w:t xml:space="preserve"> – со</w:t>
            </w:r>
            <w:r w:rsidR="00D144D6" w:rsidRPr="007936F7">
              <w:rPr>
                <w:rFonts w:ascii="Times New Roman" w:hAnsi="Times New Roman" w:cs="Times New Roman"/>
                <w:noProof/>
                <w:sz w:val="24"/>
                <w:szCs w:val="24"/>
                <w:lang w:val="kk-KZ"/>
              </w:rPr>
              <w:t>ставлен</w:t>
            </w:r>
            <w:r w:rsidRPr="007936F7">
              <w:rPr>
                <w:rFonts w:ascii="Times New Roman" w:hAnsi="Times New Roman" w:cs="Times New Roman"/>
                <w:noProof/>
                <w:sz w:val="24"/>
                <w:szCs w:val="24"/>
                <w:lang w:val="kk-KZ"/>
              </w:rPr>
              <w:t>о</w:t>
            </w:r>
            <w:r w:rsidR="00D144D6" w:rsidRPr="007936F7">
              <w:rPr>
                <w:rFonts w:ascii="Times New Roman" w:hAnsi="Times New Roman" w:cs="Times New Roman"/>
                <w:noProof/>
                <w:sz w:val="24"/>
                <w:szCs w:val="24"/>
                <w:lang w:val="kk-KZ"/>
              </w:rPr>
              <w:t xml:space="preserve"> автором на основе данных официального сайта и справочных ресурсов колледжа</w:t>
            </w:r>
            <w:r w:rsidR="00D96177" w:rsidRPr="007936F7">
              <w:rPr>
                <w:rFonts w:ascii="Times New Roman" w:hAnsi="Times New Roman" w:cs="Times New Roman"/>
                <w:noProof/>
                <w:sz w:val="24"/>
                <w:szCs w:val="24"/>
                <w:lang w:val="kk-KZ"/>
              </w:rPr>
              <w:t xml:space="preserve"> </w:t>
            </w:r>
            <w:r w:rsidR="00DB46DA" w:rsidRPr="007936F7">
              <w:rPr>
                <w:rFonts w:ascii="Times New Roman" w:hAnsi="Times New Roman" w:cs="Times New Roman"/>
                <w:noProof/>
                <w:sz w:val="24"/>
                <w:szCs w:val="24"/>
                <w:lang w:val="kk-KZ"/>
              </w:rPr>
              <w:t>[</w:t>
            </w:r>
            <w:r w:rsidR="00ED0D22" w:rsidRPr="007936F7">
              <w:rPr>
                <w:rFonts w:ascii="Times New Roman" w:hAnsi="Times New Roman" w:cs="Times New Roman"/>
                <w:noProof/>
                <w:sz w:val="24"/>
                <w:szCs w:val="24"/>
                <w:lang w:val="kk-KZ"/>
              </w:rPr>
              <w:t>3</w:t>
            </w:r>
            <w:r w:rsidR="00DB46DA" w:rsidRPr="007936F7">
              <w:rPr>
                <w:rFonts w:ascii="Times New Roman" w:hAnsi="Times New Roman" w:cs="Times New Roman"/>
                <w:noProof/>
                <w:sz w:val="24"/>
                <w:szCs w:val="24"/>
                <w:lang w:val="kk-KZ"/>
              </w:rPr>
              <w:t>]</w:t>
            </w:r>
          </w:p>
        </w:tc>
      </w:tr>
    </w:tbl>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Предоставляемые программы по медицинским специальностям соответствуют государственным образовательным стандартам и профильным квалификациям</w:t>
      </w:r>
      <w:r w:rsidR="0087121B" w:rsidRPr="000D4FA1">
        <w:rPr>
          <w:sz w:val="28"/>
          <w:szCs w:val="28"/>
          <w:lang w:val="kk-KZ"/>
        </w:rPr>
        <w:t>, что</w:t>
      </w:r>
      <w:r w:rsidRPr="000D4FA1">
        <w:rPr>
          <w:sz w:val="28"/>
          <w:szCs w:val="28"/>
        </w:rPr>
        <w:t xml:space="preserve"> важно с точки зрения обеспечения качества подготовки и соответствия требованиям рынка труда и здравоохранения.</w:t>
      </w:r>
    </w:p>
    <w:p w:rsidR="00E12AE0" w:rsidRPr="000D4FA1" w:rsidRDefault="00D144D6" w:rsidP="00D144D6">
      <w:pPr>
        <w:pStyle w:val="a4"/>
        <w:spacing w:before="0" w:beforeAutospacing="0" w:after="0" w:afterAutospacing="0"/>
        <w:ind w:firstLine="720"/>
        <w:jc w:val="both"/>
        <w:rPr>
          <w:sz w:val="28"/>
          <w:szCs w:val="28"/>
        </w:rPr>
      </w:pPr>
      <w:r w:rsidRPr="000D4FA1">
        <w:rPr>
          <w:sz w:val="28"/>
          <w:szCs w:val="28"/>
        </w:rPr>
        <w:t>Пример колледжа демонстрирует наличие систематизированной структуры образовательных программ, адекватной нормативам и требованиям рынка труда, которое укрепляет кадровый потенциал учреждения и повышает его устойчивость. Однако существует пространство для улучшения в части открытости информации и представления деталей каждой программы (например, распределение часов, формы обучения</w:t>
      </w:r>
      <w:r w:rsidR="00ED0D22" w:rsidRPr="000D4FA1">
        <w:rPr>
          <w:sz w:val="28"/>
          <w:szCs w:val="28"/>
        </w:rPr>
        <w:t xml:space="preserve"> и др.</w:t>
      </w:r>
    </w:p>
    <w:p w:rsidR="00E12AE0" w:rsidRDefault="00E12AE0" w:rsidP="00D144D6">
      <w:pPr>
        <w:pStyle w:val="a4"/>
        <w:spacing w:before="0" w:beforeAutospacing="0" w:after="0" w:afterAutospacing="0"/>
        <w:ind w:firstLine="720"/>
        <w:jc w:val="both"/>
        <w:rPr>
          <w:sz w:val="28"/>
          <w:szCs w:val="28"/>
        </w:rPr>
      </w:pPr>
    </w:p>
    <w:p w:rsidR="00B26BDD" w:rsidRDefault="00B26BDD" w:rsidP="00D144D6">
      <w:pPr>
        <w:pStyle w:val="a4"/>
        <w:spacing w:before="0" w:beforeAutospacing="0" w:after="0" w:afterAutospacing="0"/>
        <w:ind w:firstLine="720"/>
        <w:jc w:val="both"/>
        <w:rPr>
          <w:sz w:val="28"/>
          <w:szCs w:val="28"/>
        </w:rPr>
      </w:pPr>
    </w:p>
    <w:p w:rsidR="00B26BDD" w:rsidRDefault="00B26BDD" w:rsidP="00D144D6">
      <w:pPr>
        <w:pStyle w:val="a4"/>
        <w:spacing w:before="0" w:beforeAutospacing="0" w:after="0" w:afterAutospacing="0"/>
        <w:ind w:firstLine="720"/>
        <w:jc w:val="both"/>
        <w:rPr>
          <w:sz w:val="28"/>
          <w:szCs w:val="28"/>
        </w:rPr>
      </w:pPr>
    </w:p>
    <w:p w:rsidR="00B26BDD" w:rsidRPr="000D4FA1" w:rsidRDefault="00B26BDD" w:rsidP="00D144D6">
      <w:pPr>
        <w:pStyle w:val="a4"/>
        <w:spacing w:before="0" w:beforeAutospacing="0" w:after="0" w:afterAutospacing="0"/>
        <w:ind w:firstLine="720"/>
        <w:jc w:val="both"/>
        <w:rPr>
          <w:sz w:val="28"/>
          <w:szCs w:val="28"/>
        </w:rPr>
      </w:pPr>
    </w:p>
    <w:p w:rsidR="00D144D6" w:rsidRDefault="00D144D6" w:rsidP="00D144D6">
      <w:pPr>
        <w:pStyle w:val="a4"/>
        <w:spacing w:before="0" w:beforeAutospacing="0" w:after="0" w:afterAutospacing="0"/>
        <w:ind w:firstLine="720"/>
        <w:jc w:val="both"/>
        <w:rPr>
          <w:sz w:val="28"/>
          <w:szCs w:val="28"/>
        </w:rPr>
      </w:pPr>
      <w:r w:rsidRPr="000D4FA1">
        <w:rPr>
          <w:sz w:val="28"/>
          <w:szCs w:val="28"/>
        </w:rPr>
        <w:lastRenderedPageBreak/>
        <w:t xml:space="preserve">Таблица </w:t>
      </w:r>
      <w:r w:rsidR="00B80F8B" w:rsidRPr="000D4FA1">
        <w:rPr>
          <w:sz w:val="28"/>
          <w:szCs w:val="28"/>
        </w:rPr>
        <w:t>12</w:t>
      </w:r>
      <w:r w:rsidR="0068338D" w:rsidRPr="000D4FA1">
        <w:rPr>
          <w:sz w:val="28"/>
          <w:szCs w:val="28"/>
        </w:rPr>
        <w:t xml:space="preserve"> –</w:t>
      </w:r>
      <w:r w:rsidR="00970AB1" w:rsidRPr="000D4FA1">
        <w:rPr>
          <w:sz w:val="28"/>
          <w:szCs w:val="28"/>
          <w:lang w:val="kk-KZ"/>
        </w:rPr>
        <w:t xml:space="preserve"> </w:t>
      </w:r>
      <w:r w:rsidRPr="000D4FA1">
        <w:rPr>
          <w:sz w:val="28"/>
          <w:szCs w:val="28"/>
        </w:rPr>
        <w:t>Учебные планы и компетентностная модель выпускника Шымкентского высшего медицинского колледжа</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119"/>
        <w:gridCol w:w="2693"/>
        <w:gridCol w:w="1949"/>
      </w:tblGrid>
      <w:tr w:rsidR="00D144D6" w:rsidRPr="00B26BDD" w:rsidTr="00B26BDD">
        <w:trPr>
          <w:trHeight w:val="899"/>
        </w:trPr>
        <w:tc>
          <w:tcPr>
            <w:tcW w:w="1809" w:type="dxa"/>
            <w:hideMark/>
          </w:tcPr>
          <w:p w:rsidR="00D144D6" w:rsidRPr="00B26BDD" w:rsidRDefault="00D144D6" w:rsidP="00C76C5B">
            <w:pPr>
              <w:spacing w:after="0" w:line="240" w:lineRule="auto"/>
              <w:jc w:val="center"/>
              <w:rPr>
                <w:rFonts w:ascii="Times New Roman" w:eastAsia="Times New Roman" w:hAnsi="Times New Roman" w:cs="Times New Roman"/>
                <w:bCs/>
                <w:color w:val="000000"/>
                <w:sz w:val="26"/>
                <w:szCs w:val="26"/>
              </w:rPr>
            </w:pPr>
            <w:bookmarkStart w:id="11" w:name="_Hlk214622320"/>
            <w:r w:rsidRPr="00B26BDD">
              <w:rPr>
                <w:rFonts w:ascii="Times New Roman" w:eastAsia="Times New Roman" w:hAnsi="Times New Roman" w:cs="Times New Roman"/>
                <w:bCs/>
                <w:color w:val="000000"/>
                <w:sz w:val="26"/>
                <w:szCs w:val="26"/>
              </w:rPr>
              <w:t>Блок анализа</w:t>
            </w:r>
          </w:p>
        </w:tc>
        <w:tc>
          <w:tcPr>
            <w:tcW w:w="3119" w:type="dxa"/>
            <w:hideMark/>
          </w:tcPr>
          <w:p w:rsidR="00D144D6" w:rsidRPr="00B26BDD" w:rsidRDefault="00D144D6" w:rsidP="00C76C5B">
            <w:pPr>
              <w:spacing w:after="0" w:line="240" w:lineRule="auto"/>
              <w:jc w:val="center"/>
              <w:rPr>
                <w:rFonts w:ascii="Times New Roman" w:eastAsia="Times New Roman" w:hAnsi="Times New Roman" w:cs="Times New Roman"/>
                <w:bCs/>
                <w:color w:val="000000"/>
                <w:sz w:val="26"/>
                <w:szCs w:val="26"/>
                <w:lang w:val="ru-RU"/>
              </w:rPr>
            </w:pPr>
            <w:r w:rsidRPr="00B26BDD">
              <w:rPr>
                <w:rFonts w:ascii="Times New Roman" w:eastAsia="Times New Roman" w:hAnsi="Times New Roman" w:cs="Times New Roman"/>
                <w:bCs/>
                <w:color w:val="000000"/>
                <w:sz w:val="26"/>
                <w:szCs w:val="26"/>
                <w:lang w:val="ru-RU"/>
              </w:rPr>
              <w:t>Содержание в колледже (по сайту и ГОСО)</w:t>
            </w:r>
          </w:p>
        </w:tc>
        <w:tc>
          <w:tcPr>
            <w:tcW w:w="2693" w:type="dxa"/>
            <w:hideMark/>
          </w:tcPr>
          <w:p w:rsidR="004770BF" w:rsidRPr="00B26BDD" w:rsidRDefault="00D144D6" w:rsidP="00B26BDD">
            <w:pPr>
              <w:spacing w:after="0" w:line="240" w:lineRule="auto"/>
              <w:jc w:val="center"/>
              <w:rPr>
                <w:rFonts w:ascii="Times New Roman" w:eastAsia="Times New Roman" w:hAnsi="Times New Roman" w:cs="Times New Roman"/>
                <w:bCs/>
                <w:color w:val="000000"/>
                <w:sz w:val="26"/>
                <w:szCs w:val="26"/>
              </w:rPr>
            </w:pPr>
            <w:r w:rsidRPr="00B26BDD">
              <w:rPr>
                <w:rFonts w:ascii="Times New Roman" w:eastAsia="Times New Roman" w:hAnsi="Times New Roman" w:cs="Times New Roman"/>
                <w:bCs/>
                <w:color w:val="000000"/>
                <w:sz w:val="26"/>
                <w:szCs w:val="26"/>
              </w:rPr>
              <w:t>Элементы компетентностной модели выпускника</w:t>
            </w:r>
          </w:p>
          <w:p w:rsidR="004770BF" w:rsidRPr="00B26BDD" w:rsidRDefault="004770BF" w:rsidP="00C76C5B">
            <w:pPr>
              <w:spacing w:after="0" w:line="240" w:lineRule="auto"/>
              <w:jc w:val="center"/>
              <w:rPr>
                <w:rFonts w:ascii="Times New Roman" w:eastAsia="Times New Roman" w:hAnsi="Times New Roman" w:cs="Times New Roman"/>
                <w:bCs/>
                <w:color w:val="000000"/>
                <w:sz w:val="26"/>
                <w:szCs w:val="26"/>
              </w:rPr>
            </w:pPr>
          </w:p>
        </w:tc>
        <w:tc>
          <w:tcPr>
            <w:tcW w:w="1949" w:type="dxa"/>
            <w:hideMark/>
          </w:tcPr>
          <w:p w:rsidR="00D144D6" w:rsidRPr="00B26BDD" w:rsidRDefault="00B26BDD" w:rsidP="00C76C5B">
            <w:pPr>
              <w:spacing w:after="0" w:line="240" w:lineRule="auto"/>
              <w:jc w:val="center"/>
              <w:rPr>
                <w:rFonts w:ascii="Times New Roman" w:eastAsia="Times New Roman" w:hAnsi="Times New Roman" w:cs="Times New Roman"/>
                <w:bCs/>
                <w:color w:val="000000"/>
                <w:sz w:val="26"/>
                <w:szCs w:val="26"/>
              </w:rPr>
            </w:pPr>
            <w:r w:rsidRPr="00B26BDD">
              <w:rPr>
                <w:rFonts w:ascii="Times New Roman" w:eastAsia="Times New Roman" w:hAnsi="Times New Roman" w:cs="Times New Roman"/>
                <w:bCs/>
                <w:color w:val="000000"/>
                <w:sz w:val="26"/>
                <w:szCs w:val="26"/>
              </w:rPr>
              <w:t>Комментарий</w:t>
            </w:r>
          </w:p>
        </w:tc>
      </w:tr>
      <w:tr w:rsidR="00D144D6" w:rsidRPr="0036668B" w:rsidTr="00B26BDD">
        <w:trPr>
          <w:trHeight w:val="3401"/>
        </w:trPr>
        <w:tc>
          <w:tcPr>
            <w:tcW w:w="1809" w:type="dxa"/>
            <w:hideMark/>
          </w:tcPr>
          <w:p w:rsidR="00D144D6" w:rsidRPr="00B26BDD" w:rsidRDefault="00D144D6" w:rsidP="00C76C5B">
            <w:pPr>
              <w:spacing w:after="0" w:line="240" w:lineRule="auto"/>
              <w:rPr>
                <w:rFonts w:ascii="Times New Roman" w:eastAsia="Times New Roman" w:hAnsi="Times New Roman" w:cs="Times New Roman"/>
                <w:color w:val="000000"/>
                <w:sz w:val="26"/>
                <w:szCs w:val="26"/>
              </w:rPr>
            </w:pPr>
            <w:r w:rsidRPr="00B26BDD">
              <w:rPr>
                <w:rFonts w:ascii="Times New Roman" w:eastAsia="Times New Roman" w:hAnsi="Times New Roman" w:cs="Times New Roman"/>
                <w:color w:val="000000"/>
                <w:sz w:val="26"/>
                <w:szCs w:val="26"/>
              </w:rPr>
              <w:t>Нормативная основа учебных планов</w:t>
            </w:r>
          </w:p>
        </w:tc>
        <w:tc>
          <w:tcPr>
            <w:tcW w:w="3119" w:type="dxa"/>
            <w:hideMark/>
          </w:tcPr>
          <w:p w:rsidR="004770BF" w:rsidRPr="00B26BDD" w:rsidRDefault="00D144D6" w:rsidP="00C76C5B">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 xml:space="preserve">Рабочие учебные планы по всем медицинским специальностям разрабатываются и утверждаются учебной частью колледжа в соответствии с </w:t>
            </w:r>
            <w:r w:rsidR="00B26BDD">
              <w:rPr>
                <w:rFonts w:ascii="Times New Roman" w:eastAsia="Times New Roman" w:hAnsi="Times New Roman" w:cs="Times New Roman"/>
                <w:color w:val="000000"/>
                <w:sz w:val="26"/>
                <w:szCs w:val="26"/>
                <w:lang w:val="ru-RU"/>
              </w:rPr>
              <w:t>ГОСО</w:t>
            </w:r>
            <w:r w:rsidRPr="00B26BDD">
              <w:rPr>
                <w:rFonts w:ascii="Times New Roman" w:eastAsia="Times New Roman" w:hAnsi="Times New Roman" w:cs="Times New Roman"/>
                <w:color w:val="000000"/>
                <w:sz w:val="26"/>
                <w:szCs w:val="26"/>
                <w:lang w:val="ru-RU"/>
              </w:rPr>
              <w:t xml:space="preserve"> РК и типовыми профессиональными программами по медицинским специальностям</w:t>
            </w:r>
          </w:p>
          <w:p w:rsidR="004770BF" w:rsidRPr="00B26BDD" w:rsidRDefault="004770BF" w:rsidP="00C76C5B">
            <w:pPr>
              <w:spacing w:after="0" w:line="240" w:lineRule="auto"/>
              <w:rPr>
                <w:rFonts w:ascii="Times New Roman" w:eastAsia="Times New Roman" w:hAnsi="Times New Roman" w:cs="Times New Roman"/>
                <w:color w:val="000000"/>
                <w:sz w:val="26"/>
                <w:szCs w:val="26"/>
                <w:lang w:val="ru-RU"/>
              </w:rPr>
            </w:pPr>
          </w:p>
        </w:tc>
        <w:tc>
          <w:tcPr>
            <w:tcW w:w="2693" w:type="dxa"/>
            <w:hideMark/>
          </w:tcPr>
          <w:p w:rsidR="00D144D6" w:rsidRPr="00B26BDD" w:rsidRDefault="00D144D6" w:rsidP="00C76C5B">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Обеспечивается соответствие результатов обучения перечню базовых и профессиональных компетенций, закреплённых в ГОСО по уровням образования в области здравоохранения.</w:t>
            </w:r>
          </w:p>
        </w:tc>
        <w:tc>
          <w:tcPr>
            <w:tcW w:w="1949" w:type="dxa"/>
            <w:hideMark/>
          </w:tcPr>
          <w:p w:rsidR="00D144D6" w:rsidRPr="00B26BDD" w:rsidRDefault="00B26BDD" w:rsidP="00C76C5B">
            <w:pP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С</w:t>
            </w:r>
            <w:r w:rsidR="00D144D6" w:rsidRPr="00B26BDD">
              <w:rPr>
                <w:rFonts w:ascii="Times New Roman" w:eastAsia="Times New Roman" w:hAnsi="Times New Roman" w:cs="Times New Roman"/>
                <w:color w:val="000000"/>
                <w:sz w:val="26"/>
                <w:szCs w:val="26"/>
                <w:lang w:val="ru-RU"/>
              </w:rPr>
              <w:t xml:space="preserve">труктура подготовки в колледже полностью встроена в национальную систему регулирования </w:t>
            </w:r>
          </w:p>
        </w:tc>
      </w:tr>
      <w:tr w:rsidR="00B26BDD" w:rsidRPr="0036668B" w:rsidTr="00B26BDD">
        <w:trPr>
          <w:trHeight w:val="4163"/>
        </w:trPr>
        <w:tc>
          <w:tcPr>
            <w:tcW w:w="180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Структура учебных планов по специальностям</w:t>
            </w:r>
          </w:p>
        </w:tc>
        <w:tc>
          <w:tcPr>
            <w:tcW w:w="311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Для специальностей «Сестринское дело», «Лечебное дело», «Стоматология», «Фармация» и др. на сайте указаны нормативный срок обучения и квалификация; рабочие планы включают общеобразовательные, общепрофессиональные и профильные дисциплины, а также практику.</w:t>
            </w:r>
          </w:p>
        </w:tc>
        <w:tc>
          <w:tcPr>
            <w:tcW w:w="2693"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Формируется комплекс профессиональных и клинических компетенций (оказание помощи, выполнение манипуляций, соблюдение стандартов сестринского и врачебного ухода)</w:t>
            </w:r>
            <w:r>
              <w:rPr>
                <w:rFonts w:ascii="Times New Roman" w:eastAsia="Times New Roman" w:hAnsi="Times New Roman" w:cs="Times New Roman"/>
                <w:color w:val="000000"/>
                <w:sz w:val="26"/>
                <w:szCs w:val="26"/>
                <w:lang w:val="ru-RU"/>
              </w:rPr>
              <w:t>.</w:t>
            </w:r>
          </w:p>
        </w:tc>
        <w:tc>
          <w:tcPr>
            <w:tcW w:w="194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С</w:t>
            </w:r>
            <w:r w:rsidRPr="00B26BDD">
              <w:rPr>
                <w:rFonts w:ascii="Times New Roman" w:eastAsia="Times New Roman" w:hAnsi="Times New Roman" w:cs="Times New Roman"/>
                <w:color w:val="000000"/>
                <w:sz w:val="26"/>
                <w:szCs w:val="26"/>
                <w:lang w:val="ru-RU"/>
              </w:rPr>
              <w:t>труктура учебных планов позволяет увязать дисциплины с конкретными трудовыми функциями будущего специалиста.</w:t>
            </w:r>
          </w:p>
        </w:tc>
      </w:tr>
      <w:tr w:rsidR="00B26BDD" w:rsidRPr="0036668B" w:rsidTr="00B26BDD">
        <w:trPr>
          <w:trHeight w:val="3759"/>
        </w:trPr>
        <w:tc>
          <w:tcPr>
            <w:tcW w:w="180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rPr>
              <w:t>Формы контроля и оценивания</w:t>
            </w:r>
          </w:p>
        </w:tc>
        <w:tc>
          <w:tcPr>
            <w:tcW w:w="311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 xml:space="preserve">В разделе «Лечебное дело» подчёркивается, что в рабочем учебном плане фиксируются текущий контроль, промежуточная аттестация, </w:t>
            </w:r>
            <w:r>
              <w:rPr>
                <w:rFonts w:ascii="Times New Roman" w:eastAsia="Times New Roman" w:hAnsi="Times New Roman" w:cs="Times New Roman"/>
                <w:color w:val="000000"/>
                <w:sz w:val="26"/>
                <w:szCs w:val="26"/>
                <w:lang w:val="ru-RU"/>
              </w:rPr>
              <w:t>ИА</w:t>
            </w:r>
            <w:r w:rsidRPr="00B26BDD">
              <w:rPr>
                <w:rFonts w:ascii="Times New Roman" w:eastAsia="Times New Roman" w:hAnsi="Times New Roman" w:cs="Times New Roman"/>
                <w:color w:val="000000"/>
                <w:sz w:val="26"/>
                <w:szCs w:val="26"/>
                <w:lang w:val="ru-RU"/>
              </w:rPr>
              <w:t>, оценка уровня профессиональной подготовленности и присвоение квалификации.</w:t>
            </w:r>
          </w:p>
        </w:tc>
        <w:tc>
          <w:tcPr>
            <w:tcW w:w="2693"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sidRPr="00B26BDD">
              <w:rPr>
                <w:rFonts w:ascii="Times New Roman" w:eastAsia="Times New Roman" w:hAnsi="Times New Roman" w:cs="Times New Roman"/>
                <w:color w:val="000000"/>
                <w:sz w:val="26"/>
                <w:szCs w:val="26"/>
                <w:lang w:val="ru-RU"/>
              </w:rPr>
              <w:t>Компетентностный подход реализуется через оценку не только теоретических знаний, но и практических навыков, клинического мышления, способности работать в команде.</w:t>
            </w:r>
          </w:p>
        </w:tc>
        <w:tc>
          <w:tcPr>
            <w:tcW w:w="1949" w:type="dxa"/>
          </w:tcPr>
          <w:p w:rsidR="00B26BDD" w:rsidRPr="00B26BDD" w:rsidRDefault="00B26BDD" w:rsidP="00B26BDD">
            <w:pP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С</w:t>
            </w:r>
            <w:r w:rsidRPr="00B26BDD">
              <w:rPr>
                <w:rFonts w:ascii="Times New Roman" w:eastAsia="Times New Roman" w:hAnsi="Times New Roman" w:cs="Times New Roman"/>
                <w:color w:val="000000"/>
                <w:sz w:val="26"/>
                <w:szCs w:val="26"/>
                <w:lang w:val="ru-RU"/>
              </w:rPr>
              <w:t>истема оценивания в колледже выстроена в логике «оценки компетенций», а не только академической успеваемости.</w:t>
            </w:r>
          </w:p>
        </w:tc>
      </w:tr>
      <w:tr w:rsidR="00B26BDD" w:rsidRPr="0036668B" w:rsidTr="00B26BDD">
        <w:trPr>
          <w:trHeight w:val="698"/>
        </w:trPr>
        <w:tc>
          <w:tcPr>
            <w:tcW w:w="9570" w:type="dxa"/>
            <w:gridSpan w:val="4"/>
          </w:tcPr>
          <w:p w:rsidR="00B26BDD" w:rsidRDefault="00B26BDD" w:rsidP="00B26BDD">
            <w:pPr>
              <w:spacing w:after="0" w:line="240" w:lineRule="auto"/>
              <w:rPr>
                <w:rFonts w:ascii="Times New Roman" w:eastAsia="Times New Roman" w:hAnsi="Times New Roman" w:cs="Times New Roman"/>
                <w:color w:val="000000"/>
                <w:sz w:val="26"/>
                <w:szCs w:val="26"/>
                <w:lang w:val="ru-RU"/>
              </w:rPr>
            </w:pPr>
            <w:r w:rsidRPr="000D4FA1">
              <w:rPr>
                <w:rFonts w:ascii="Times New Roman" w:hAnsi="Times New Roman" w:cs="Times New Roman"/>
                <w:lang w:val="ru-RU"/>
              </w:rPr>
              <w:t xml:space="preserve">Примечание – составлено автором на основе материалов официального сайта ГКП на ПХВ «Высший медицинский колледж» УЗ </w:t>
            </w:r>
            <w:proofErr w:type="gramStart"/>
            <w:r w:rsidRPr="000D4FA1">
              <w:rPr>
                <w:rFonts w:ascii="Times New Roman" w:hAnsi="Times New Roman" w:cs="Times New Roman"/>
                <w:lang w:val="ru-RU"/>
              </w:rPr>
              <w:t>г</w:t>
            </w:r>
            <w:proofErr w:type="gramEnd"/>
            <w:r w:rsidRPr="000D4FA1">
              <w:rPr>
                <w:rFonts w:ascii="Times New Roman" w:hAnsi="Times New Roman" w:cs="Times New Roman"/>
                <w:lang w:val="ru-RU"/>
              </w:rPr>
              <w:t xml:space="preserve">. Шымкент и действующих ГОСО по медицинским </w:t>
            </w:r>
            <w:r w:rsidRPr="000D4FA1">
              <w:rPr>
                <w:rFonts w:ascii="Times New Roman" w:hAnsi="Times New Roman" w:cs="Times New Roman"/>
                <w:lang w:val="ru-RU"/>
              </w:rPr>
              <w:lastRenderedPageBreak/>
              <w:t>специальностям</w:t>
            </w:r>
          </w:p>
        </w:tc>
      </w:tr>
    </w:tbl>
    <w:bookmarkEnd w:id="11"/>
    <w:p w:rsidR="00B26BDD" w:rsidRPr="000D4FA1" w:rsidRDefault="00B26BDD" w:rsidP="00B26BDD">
      <w:pPr>
        <w:pStyle w:val="a4"/>
        <w:spacing w:before="0" w:beforeAutospacing="0" w:after="0" w:afterAutospacing="0"/>
        <w:ind w:firstLine="720"/>
        <w:jc w:val="both"/>
        <w:rPr>
          <w:sz w:val="28"/>
          <w:szCs w:val="28"/>
        </w:rPr>
      </w:pPr>
      <w:r w:rsidRPr="000D4FA1">
        <w:rPr>
          <w:sz w:val="28"/>
          <w:szCs w:val="28"/>
        </w:rPr>
        <w:lastRenderedPageBreak/>
        <w:t xml:space="preserve">Учебные планы и компетентностная модель выпускника являются ключевыми элементами организации образовательного процесса в Шымкентском высшем медицинском колледже. Их содержание определяется государственными стандартами технического и профессионального образования, типовыми профессиональными программами и требованиями системы здравоохранения к квалификации среднего медицинского персонала. </w:t>
      </w:r>
    </w:p>
    <w:p w:rsidR="00B26BDD" w:rsidRPr="000D4FA1" w:rsidRDefault="00B26BDD" w:rsidP="00B26BDD">
      <w:pPr>
        <w:pStyle w:val="a4"/>
        <w:spacing w:before="0" w:beforeAutospacing="0" w:after="0" w:afterAutospacing="0"/>
        <w:ind w:firstLine="720"/>
        <w:jc w:val="both"/>
        <w:rPr>
          <w:sz w:val="28"/>
          <w:szCs w:val="28"/>
        </w:rPr>
      </w:pPr>
      <w:r w:rsidRPr="000D4FA1">
        <w:rPr>
          <w:sz w:val="28"/>
          <w:szCs w:val="28"/>
        </w:rPr>
        <w:t xml:space="preserve">В структуре подготовки отражена ориентация на компетентностный подход, предусматривающий формирование не только теоретических знаний, но и практических навыков, профессионального поведения, клинического мышления и коммуникативных качеств будущих специалистов. </w:t>
      </w:r>
    </w:p>
    <w:p w:rsidR="00B26BDD" w:rsidRPr="000D4FA1" w:rsidRDefault="00B26BDD" w:rsidP="00B26BDD">
      <w:pPr>
        <w:pStyle w:val="a4"/>
        <w:spacing w:before="0" w:beforeAutospacing="0" w:after="0" w:afterAutospacing="0"/>
        <w:ind w:firstLine="720"/>
        <w:jc w:val="both"/>
        <w:rPr>
          <w:sz w:val="28"/>
          <w:szCs w:val="28"/>
        </w:rPr>
      </w:pPr>
      <w:r w:rsidRPr="000D4FA1">
        <w:rPr>
          <w:sz w:val="28"/>
          <w:szCs w:val="28"/>
        </w:rPr>
        <w:t>Представленная таблица – 12 систематизирует основные компоненты учебных планов и раскрывает содержание компетентностной модели выпускника, демонстрируя взаимосвязь между учебными дисциплинами, практикой, формами оценивания и ожидаемыми результатами обучения.</w:t>
      </w:r>
    </w:p>
    <w:p w:rsidR="004770BF" w:rsidRPr="000D4FA1" w:rsidRDefault="004770BF"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13</w:t>
      </w:r>
      <w:r w:rsidR="0068338D" w:rsidRPr="000D4FA1">
        <w:rPr>
          <w:sz w:val="28"/>
          <w:szCs w:val="28"/>
        </w:rPr>
        <w:t xml:space="preserve"> –</w:t>
      </w:r>
      <w:r w:rsidR="00970AB1" w:rsidRPr="000D4FA1">
        <w:rPr>
          <w:sz w:val="28"/>
          <w:szCs w:val="28"/>
          <w:lang w:val="kk-KZ"/>
        </w:rPr>
        <w:t xml:space="preserve"> </w:t>
      </w:r>
      <w:r w:rsidRPr="000D4FA1">
        <w:rPr>
          <w:sz w:val="28"/>
          <w:szCs w:val="28"/>
        </w:rPr>
        <w:t>Учебные планы и компетентностная модель выпускника Шымкентского высшего медицинского колледжа</w:t>
      </w:r>
      <w:r w:rsidR="00E12AE0" w:rsidRPr="000D4FA1">
        <w:rPr>
          <w:sz w:val="28"/>
          <w:szCs w:val="28"/>
        </w:rPr>
        <w:t xml:space="preserve"> </w:t>
      </w:r>
      <w:r w:rsidRPr="000D4FA1">
        <w:rPr>
          <w:sz w:val="28"/>
          <w:szCs w:val="28"/>
        </w:rPr>
        <w:t>(продолжение)</w:t>
      </w:r>
    </w:p>
    <w:p w:rsidR="00E12AE0" w:rsidRPr="000D4FA1" w:rsidRDefault="00E12AE0" w:rsidP="00D144D6">
      <w:pPr>
        <w:pStyle w:val="a4"/>
        <w:spacing w:before="0" w:beforeAutospacing="0" w:after="0" w:afterAutospacing="0"/>
        <w:ind w:firstLine="720"/>
        <w:jc w:val="both"/>
        <w:rPr>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762"/>
        <w:gridCol w:w="2859"/>
        <w:gridCol w:w="2282"/>
      </w:tblGrid>
      <w:tr w:rsidR="00D144D6" w:rsidRPr="00046DBF" w:rsidTr="00EB066B">
        <w:trPr>
          <w:trHeight w:val="869"/>
        </w:trPr>
        <w:tc>
          <w:tcPr>
            <w:tcW w:w="1951" w:type="dxa"/>
          </w:tcPr>
          <w:p w:rsidR="00D144D6" w:rsidRPr="00EB066B" w:rsidRDefault="00D144D6" w:rsidP="00C76C5B">
            <w:pPr>
              <w:spacing w:after="0" w:line="240" w:lineRule="auto"/>
              <w:jc w:val="center"/>
              <w:rPr>
                <w:rFonts w:ascii="Times New Roman" w:eastAsia="Times New Roman" w:hAnsi="Times New Roman" w:cs="Times New Roman"/>
                <w:b/>
                <w:bCs/>
                <w:color w:val="000000"/>
                <w:sz w:val="26"/>
                <w:szCs w:val="26"/>
              </w:rPr>
            </w:pPr>
            <w:bookmarkStart w:id="12" w:name="_Hlk214622342"/>
            <w:r w:rsidRPr="00EB066B">
              <w:rPr>
                <w:rFonts w:ascii="Times New Roman" w:eastAsia="Times New Roman" w:hAnsi="Times New Roman" w:cs="Times New Roman"/>
                <w:b/>
                <w:bCs/>
                <w:color w:val="000000"/>
                <w:sz w:val="26"/>
                <w:szCs w:val="26"/>
              </w:rPr>
              <w:t>Блок анализа</w:t>
            </w:r>
          </w:p>
        </w:tc>
        <w:tc>
          <w:tcPr>
            <w:tcW w:w="2762" w:type="dxa"/>
          </w:tcPr>
          <w:p w:rsidR="00EB066B" w:rsidRDefault="00D144D6" w:rsidP="00C76C5B">
            <w:pPr>
              <w:spacing w:after="0" w:line="240" w:lineRule="auto"/>
              <w:jc w:val="center"/>
              <w:rPr>
                <w:rFonts w:ascii="Times New Roman" w:eastAsia="Times New Roman" w:hAnsi="Times New Roman" w:cs="Times New Roman"/>
                <w:b/>
                <w:bCs/>
                <w:color w:val="000000"/>
                <w:sz w:val="26"/>
                <w:szCs w:val="26"/>
                <w:lang w:val="ru-RU"/>
              </w:rPr>
            </w:pPr>
            <w:r w:rsidRPr="00EB066B">
              <w:rPr>
                <w:rFonts w:ascii="Times New Roman" w:eastAsia="Times New Roman" w:hAnsi="Times New Roman" w:cs="Times New Roman"/>
                <w:b/>
                <w:bCs/>
                <w:color w:val="000000"/>
                <w:sz w:val="26"/>
                <w:szCs w:val="26"/>
                <w:lang w:val="ru-RU"/>
              </w:rPr>
              <w:t>Содержание в колледже</w:t>
            </w:r>
          </w:p>
          <w:p w:rsidR="00D144D6" w:rsidRPr="00EB066B" w:rsidRDefault="00D144D6" w:rsidP="00C76C5B">
            <w:pPr>
              <w:spacing w:after="0" w:line="240" w:lineRule="auto"/>
              <w:jc w:val="center"/>
              <w:rPr>
                <w:rFonts w:ascii="Times New Roman" w:eastAsia="Times New Roman" w:hAnsi="Times New Roman" w:cs="Times New Roman"/>
                <w:bCs/>
                <w:color w:val="000000"/>
                <w:sz w:val="26"/>
                <w:szCs w:val="26"/>
                <w:lang w:val="ru-RU"/>
              </w:rPr>
            </w:pPr>
            <w:r w:rsidRPr="00EB066B">
              <w:rPr>
                <w:rFonts w:ascii="Times New Roman" w:eastAsia="Times New Roman" w:hAnsi="Times New Roman" w:cs="Times New Roman"/>
                <w:bCs/>
                <w:color w:val="000000"/>
                <w:sz w:val="26"/>
                <w:szCs w:val="26"/>
                <w:lang w:val="ru-RU"/>
              </w:rPr>
              <w:t xml:space="preserve"> (по сайту и ГОСО)</w:t>
            </w:r>
          </w:p>
        </w:tc>
        <w:tc>
          <w:tcPr>
            <w:tcW w:w="2859" w:type="dxa"/>
          </w:tcPr>
          <w:p w:rsidR="00D144D6" w:rsidRPr="00EB066B" w:rsidRDefault="00D144D6" w:rsidP="00C76C5B">
            <w:pPr>
              <w:spacing w:after="0" w:line="240" w:lineRule="auto"/>
              <w:jc w:val="center"/>
              <w:rPr>
                <w:rFonts w:ascii="Times New Roman" w:eastAsia="Times New Roman" w:hAnsi="Times New Roman" w:cs="Times New Roman"/>
                <w:b/>
                <w:bCs/>
                <w:color w:val="000000"/>
                <w:sz w:val="26"/>
                <w:szCs w:val="26"/>
              </w:rPr>
            </w:pPr>
            <w:r w:rsidRPr="00EB066B">
              <w:rPr>
                <w:rFonts w:ascii="Times New Roman" w:eastAsia="Times New Roman" w:hAnsi="Times New Roman" w:cs="Times New Roman"/>
                <w:b/>
                <w:bCs/>
                <w:color w:val="000000"/>
                <w:sz w:val="26"/>
                <w:szCs w:val="26"/>
              </w:rPr>
              <w:t>Элементы компетентностной модели выпускника</w:t>
            </w:r>
          </w:p>
        </w:tc>
        <w:tc>
          <w:tcPr>
            <w:tcW w:w="2282" w:type="dxa"/>
          </w:tcPr>
          <w:p w:rsidR="00D144D6" w:rsidRPr="00EB066B" w:rsidRDefault="00D144D6" w:rsidP="00C76C5B">
            <w:pPr>
              <w:spacing w:after="0" w:line="240" w:lineRule="auto"/>
              <w:jc w:val="center"/>
              <w:rPr>
                <w:rFonts w:ascii="Times New Roman" w:eastAsia="Times New Roman" w:hAnsi="Times New Roman" w:cs="Times New Roman"/>
                <w:b/>
                <w:bCs/>
                <w:color w:val="000000"/>
                <w:sz w:val="26"/>
                <w:szCs w:val="26"/>
              </w:rPr>
            </w:pPr>
            <w:r w:rsidRPr="00EB066B">
              <w:rPr>
                <w:rFonts w:ascii="Times New Roman" w:eastAsia="Times New Roman" w:hAnsi="Times New Roman" w:cs="Times New Roman"/>
                <w:b/>
                <w:bCs/>
                <w:color w:val="000000"/>
                <w:sz w:val="26"/>
                <w:szCs w:val="26"/>
              </w:rPr>
              <w:t xml:space="preserve">Комментарий </w:t>
            </w:r>
          </w:p>
        </w:tc>
      </w:tr>
      <w:tr w:rsidR="002B2717" w:rsidRPr="00046DBF" w:rsidTr="00EB066B">
        <w:trPr>
          <w:trHeight w:val="144"/>
        </w:trPr>
        <w:tc>
          <w:tcPr>
            <w:tcW w:w="1951" w:type="dxa"/>
          </w:tcPr>
          <w:p w:rsidR="002B2717" w:rsidRPr="00046DBF" w:rsidRDefault="002B2717" w:rsidP="00C76C5B">
            <w:pPr>
              <w:spacing w:after="0" w:line="240" w:lineRule="auto"/>
              <w:jc w:val="center"/>
              <w:rPr>
                <w:rFonts w:ascii="Times New Roman" w:eastAsia="Times New Roman" w:hAnsi="Times New Roman" w:cs="Times New Roman"/>
                <w:bCs/>
                <w:i/>
                <w:color w:val="000000"/>
                <w:sz w:val="26"/>
                <w:szCs w:val="26"/>
                <w:lang w:val="ru-RU"/>
              </w:rPr>
            </w:pPr>
            <w:r w:rsidRPr="00046DBF">
              <w:rPr>
                <w:rFonts w:ascii="Times New Roman" w:eastAsia="Times New Roman" w:hAnsi="Times New Roman" w:cs="Times New Roman"/>
                <w:bCs/>
                <w:i/>
                <w:color w:val="000000"/>
                <w:sz w:val="26"/>
                <w:szCs w:val="26"/>
                <w:lang w:val="ru-RU"/>
              </w:rPr>
              <w:t>1</w:t>
            </w:r>
          </w:p>
        </w:tc>
        <w:tc>
          <w:tcPr>
            <w:tcW w:w="2762" w:type="dxa"/>
          </w:tcPr>
          <w:p w:rsidR="002B2717" w:rsidRPr="00046DBF" w:rsidRDefault="002B2717" w:rsidP="00C76C5B">
            <w:pPr>
              <w:spacing w:after="0" w:line="240" w:lineRule="auto"/>
              <w:jc w:val="center"/>
              <w:rPr>
                <w:rFonts w:ascii="Times New Roman" w:eastAsia="Times New Roman" w:hAnsi="Times New Roman" w:cs="Times New Roman"/>
                <w:bCs/>
                <w:i/>
                <w:color w:val="000000"/>
                <w:sz w:val="26"/>
                <w:szCs w:val="26"/>
                <w:lang w:val="ru-RU"/>
              </w:rPr>
            </w:pPr>
            <w:r w:rsidRPr="00046DBF">
              <w:rPr>
                <w:rFonts w:ascii="Times New Roman" w:eastAsia="Times New Roman" w:hAnsi="Times New Roman" w:cs="Times New Roman"/>
                <w:bCs/>
                <w:i/>
                <w:color w:val="000000"/>
                <w:sz w:val="26"/>
                <w:szCs w:val="26"/>
                <w:lang w:val="ru-RU"/>
              </w:rPr>
              <w:t>2</w:t>
            </w:r>
          </w:p>
        </w:tc>
        <w:tc>
          <w:tcPr>
            <w:tcW w:w="2859" w:type="dxa"/>
          </w:tcPr>
          <w:p w:rsidR="002B2717" w:rsidRPr="00046DBF" w:rsidRDefault="002B2717" w:rsidP="00C76C5B">
            <w:pPr>
              <w:spacing w:after="0" w:line="240" w:lineRule="auto"/>
              <w:jc w:val="center"/>
              <w:rPr>
                <w:rFonts w:ascii="Times New Roman" w:eastAsia="Times New Roman" w:hAnsi="Times New Roman" w:cs="Times New Roman"/>
                <w:bCs/>
                <w:i/>
                <w:color w:val="000000"/>
                <w:sz w:val="26"/>
                <w:szCs w:val="26"/>
                <w:lang w:val="ru-RU"/>
              </w:rPr>
            </w:pPr>
            <w:r w:rsidRPr="00046DBF">
              <w:rPr>
                <w:rFonts w:ascii="Times New Roman" w:eastAsia="Times New Roman" w:hAnsi="Times New Roman" w:cs="Times New Roman"/>
                <w:bCs/>
                <w:i/>
                <w:color w:val="000000"/>
                <w:sz w:val="26"/>
                <w:szCs w:val="26"/>
                <w:lang w:val="ru-RU"/>
              </w:rPr>
              <w:t>3</w:t>
            </w:r>
          </w:p>
        </w:tc>
        <w:tc>
          <w:tcPr>
            <w:tcW w:w="2282" w:type="dxa"/>
          </w:tcPr>
          <w:p w:rsidR="002B2717" w:rsidRPr="00046DBF" w:rsidRDefault="002B2717" w:rsidP="00C76C5B">
            <w:pPr>
              <w:spacing w:after="0" w:line="240" w:lineRule="auto"/>
              <w:jc w:val="center"/>
              <w:rPr>
                <w:rFonts w:ascii="Times New Roman" w:eastAsia="Times New Roman" w:hAnsi="Times New Roman" w:cs="Times New Roman"/>
                <w:bCs/>
                <w:i/>
                <w:color w:val="000000"/>
                <w:sz w:val="26"/>
                <w:szCs w:val="26"/>
                <w:lang w:val="ru-RU"/>
              </w:rPr>
            </w:pPr>
            <w:r w:rsidRPr="00046DBF">
              <w:rPr>
                <w:rFonts w:ascii="Times New Roman" w:eastAsia="Times New Roman" w:hAnsi="Times New Roman" w:cs="Times New Roman"/>
                <w:bCs/>
                <w:i/>
                <w:color w:val="000000"/>
                <w:sz w:val="26"/>
                <w:szCs w:val="26"/>
                <w:lang w:val="ru-RU"/>
              </w:rPr>
              <w:t>4</w:t>
            </w:r>
          </w:p>
        </w:tc>
      </w:tr>
      <w:tr w:rsidR="00D144D6" w:rsidRPr="0036668B" w:rsidTr="00EB066B">
        <w:trPr>
          <w:trHeight w:val="3391"/>
        </w:trPr>
        <w:tc>
          <w:tcPr>
            <w:tcW w:w="1951" w:type="dxa"/>
            <w:hideMark/>
          </w:tcPr>
          <w:p w:rsidR="00D144D6" w:rsidRPr="00046DBF" w:rsidRDefault="00D144D6" w:rsidP="00C76C5B">
            <w:pPr>
              <w:spacing w:after="0" w:line="240" w:lineRule="auto"/>
              <w:rPr>
                <w:rFonts w:ascii="Times New Roman" w:eastAsia="Times New Roman" w:hAnsi="Times New Roman" w:cs="Times New Roman"/>
                <w:color w:val="000000"/>
                <w:sz w:val="26"/>
                <w:szCs w:val="26"/>
              </w:rPr>
            </w:pPr>
            <w:r w:rsidRPr="00046DBF">
              <w:rPr>
                <w:rFonts w:ascii="Times New Roman" w:eastAsia="Times New Roman" w:hAnsi="Times New Roman" w:cs="Times New Roman"/>
                <w:color w:val="000000"/>
                <w:sz w:val="26"/>
                <w:szCs w:val="26"/>
              </w:rPr>
              <w:t>Практико</w:t>
            </w:r>
            <w:r w:rsidR="00437817">
              <w:rPr>
                <w:rFonts w:ascii="Times New Roman" w:eastAsia="Times New Roman" w:hAnsi="Times New Roman" w:cs="Times New Roman"/>
                <w:color w:val="000000"/>
                <w:sz w:val="26"/>
                <w:szCs w:val="26"/>
                <w:lang w:val="ru-RU"/>
              </w:rPr>
              <w:t xml:space="preserve"> </w:t>
            </w:r>
            <w:r w:rsidR="007B767F" w:rsidRPr="00046DBF">
              <w:rPr>
                <w:rFonts w:ascii="Times New Roman" w:eastAsia="Times New Roman" w:hAnsi="Times New Roman" w:cs="Times New Roman"/>
                <w:color w:val="000000"/>
                <w:sz w:val="26"/>
                <w:szCs w:val="26"/>
              </w:rPr>
              <w:t>–</w:t>
            </w:r>
            <w:r w:rsidRPr="00046DBF">
              <w:rPr>
                <w:rFonts w:ascii="Times New Roman" w:eastAsia="Times New Roman" w:hAnsi="Times New Roman" w:cs="Times New Roman"/>
                <w:color w:val="000000"/>
                <w:sz w:val="26"/>
                <w:szCs w:val="26"/>
              </w:rPr>
              <w:t>ориентированность учебных планов</w:t>
            </w:r>
          </w:p>
        </w:tc>
        <w:tc>
          <w:tcPr>
            <w:tcW w:w="2762" w:type="dxa"/>
            <w:hideMark/>
          </w:tcPr>
          <w:p w:rsidR="00E12AE0" w:rsidRDefault="00D144D6"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Учебные планы предусматривают значительный объём производственной и преддипломной практики на клинических базах; формы практики и её продолжительность устанавливаются в соответствии с типовыми программами</w:t>
            </w:r>
            <w:r w:rsidR="00EB066B">
              <w:rPr>
                <w:rFonts w:ascii="Times New Roman" w:eastAsia="Times New Roman" w:hAnsi="Times New Roman" w:cs="Times New Roman"/>
                <w:color w:val="000000"/>
                <w:sz w:val="26"/>
                <w:szCs w:val="26"/>
                <w:lang w:val="ru-RU"/>
              </w:rPr>
              <w:t>.</w:t>
            </w:r>
            <w:r w:rsidRPr="00046DBF">
              <w:rPr>
                <w:rFonts w:ascii="Times New Roman" w:eastAsia="Times New Roman" w:hAnsi="Times New Roman" w:cs="Times New Roman"/>
                <w:color w:val="000000"/>
                <w:sz w:val="26"/>
                <w:szCs w:val="26"/>
                <w:lang w:val="ru-RU"/>
              </w:rPr>
              <w:t xml:space="preserve"> </w:t>
            </w:r>
          </w:p>
          <w:p w:rsidR="00EB066B" w:rsidRPr="00046DBF" w:rsidRDefault="00EB066B" w:rsidP="00C76C5B">
            <w:pPr>
              <w:spacing w:after="0" w:line="240" w:lineRule="auto"/>
              <w:rPr>
                <w:rFonts w:ascii="Times New Roman" w:eastAsia="Times New Roman" w:hAnsi="Times New Roman" w:cs="Times New Roman"/>
                <w:color w:val="000000"/>
                <w:sz w:val="26"/>
                <w:szCs w:val="26"/>
                <w:lang w:val="ru-RU"/>
              </w:rPr>
            </w:pPr>
          </w:p>
        </w:tc>
        <w:tc>
          <w:tcPr>
            <w:tcW w:w="2859" w:type="dxa"/>
            <w:hideMark/>
          </w:tcPr>
          <w:p w:rsidR="00D144D6" w:rsidRPr="00046DBF" w:rsidRDefault="00D144D6"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Усиливается блок клинических и организационных компетенций: умение применять теорию в клинике, работать с документацией, взаимодействовать с врачами и пациентами, соблюдать стандарты инфекционной безопасности.</w:t>
            </w:r>
          </w:p>
        </w:tc>
        <w:tc>
          <w:tcPr>
            <w:tcW w:w="2282" w:type="dxa"/>
            <w:hideMark/>
          </w:tcPr>
          <w:p w:rsidR="00D144D6" w:rsidRPr="00046DBF" w:rsidRDefault="00D144D6"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В диссертации можно сделать вывод, что именно практико</w:t>
            </w:r>
            <w:r w:rsidR="00437817">
              <w:rPr>
                <w:rFonts w:ascii="Times New Roman" w:eastAsia="Times New Roman" w:hAnsi="Times New Roman" w:cs="Times New Roman"/>
                <w:color w:val="000000"/>
                <w:sz w:val="26"/>
                <w:szCs w:val="26"/>
                <w:lang w:val="ru-RU"/>
              </w:rPr>
              <w:t xml:space="preserve"> </w:t>
            </w:r>
            <w:r w:rsidR="007B767F" w:rsidRPr="00046DBF">
              <w:rPr>
                <w:rFonts w:ascii="Times New Roman" w:eastAsia="Times New Roman" w:hAnsi="Times New Roman" w:cs="Times New Roman"/>
                <w:color w:val="000000"/>
                <w:sz w:val="26"/>
                <w:szCs w:val="26"/>
                <w:lang w:val="ru-RU"/>
              </w:rPr>
              <w:t>–</w:t>
            </w:r>
            <w:r w:rsidRPr="00046DBF">
              <w:rPr>
                <w:rFonts w:ascii="Times New Roman" w:eastAsia="Times New Roman" w:hAnsi="Times New Roman" w:cs="Times New Roman"/>
                <w:color w:val="000000"/>
                <w:sz w:val="26"/>
                <w:szCs w:val="26"/>
                <w:lang w:val="ru-RU"/>
              </w:rPr>
              <w:t>ориентированная часть учебного плана является ключевым механизмом формирования человеческого потенциала колледжа.</w:t>
            </w:r>
          </w:p>
        </w:tc>
      </w:tr>
      <w:tr w:rsidR="00D144D6" w:rsidRPr="0036668B" w:rsidTr="00EB066B">
        <w:trPr>
          <w:trHeight w:val="3300"/>
        </w:trPr>
        <w:tc>
          <w:tcPr>
            <w:tcW w:w="1951" w:type="dxa"/>
            <w:hideMark/>
          </w:tcPr>
          <w:p w:rsidR="00D144D6" w:rsidRPr="00046DBF" w:rsidRDefault="00D144D6"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lastRenderedPageBreak/>
              <w:t>Роль учебной части в управлении качеством</w:t>
            </w:r>
          </w:p>
        </w:tc>
        <w:tc>
          <w:tcPr>
            <w:tcW w:w="2762" w:type="dxa"/>
            <w:hideMark/>
          </w:tcPr>
          <w:p w:rsidR="00E12AE0" w:rsidRPr="00046DBF" w:rsidRDefault="00432205" w:rsidP="00C76C5B">
            <w:pPr>
              <w:spacing w:after="0" w:line="240" w:lineRule="auto"/>
              <w:rPr>
                <w:rFonts w:ascii="Times New Roman" w:eastAsia="Times New Roman" w:hAnsi="Times New Roman" w:cs="Times New Roman"/>
                <w:sz w:val="26"/>
                <w:szCs w:val="26"/>
                <w:u w:val="single"/>
                <w:lang w:val="ru-RU"/>
              </w:rPr>
            </w:pPr>
            <w:hyperlink r:id="rId22" w:tooltip="Учебная часть" w:history="1">
              <w:r w:rsidR="00D144D6" w:rsidRPr="00046DBF">
                <w:rPr>
                  <w:rFonts w:ascii="Times New Roman" w:eastAsia="Times New Roman" w:hAnsi="Times New Roman" w:cs="Times New Roman"/>
                  <w:sz w:val="26"/>
                  <w:szCs w:val="26"/>
                  <w:lang w:val="ru-RU"/>
                </w:rPr>
                <w:t xml:space="preserve">Учебная часть организует планирование учебного процесса, координирует разработку РУП, контролирует выполнение </w:t>
              </w:r>
              <w:r w:rsidR="00E12AE0" w:rsidRPr="00046DBF">
                <w:rPr>
                  <w:rFonts w:ascii="Times New Roman" w:eastAsia="Times New Roman" w:hAnsi="Times New Roman" w:cs="Times New Roman"/>
                  <w:sz w:val="26"/>
                  <w:szCs w:val="26"/>
                  <w:lang w:val="ru-RU"/>
                </w:rPr>
                <w:t xml:space="preserve">УП </w:t>
              </w:r>
              <w:r w:rsidR="00D144D6" w:rsidRPr="00046DBF">
                <w:rPr>
                  <w:rFonts w:ascii="Times New Roman" w:eastAsia="Times New Roman" w:hAnsi="Times New Roman" w:cs="Times New Roman"/>
                  <w:sz w:val="26"/>
                  <w:szCs w:val="26"/>
                  <w:lang w:val="ru-RU"/>
                </w:rPr>
                <w:t xml:space="preserve">и графика учебного процесса </w:t>
              </w:r>
              <w:r w:rsidR="00D144D6" w:rsidRPr="00046DBF">
                <w:rPr>
                  <w:rFonts w:ascii="Times New Roman" w:eastAsia="Times New Roman" w:hAnsi="Times New Roman" w:cs="Times New Roman"/>
                  <w:sz w:val="26"/>
                  <w:szCs w:val="26"/>
                  <w:u w:val="single"/>
                  <w:lang w:val="ru-RU"/>
                </w:rPr>
                <w:t>(</w:t>
              </w:r>
              <w:r w:rsidR="00D144D6" w:rsidRPr="00046DBF">
                <w:rPr>
                  <w:rFonts w:ascii="Times New Roman" w:eastAsia="Times New Roman" w:hAnsi="Times New Roman" w:cs="Times New Roman"/>
                  <w:sz w:val="26"/>
                  <w:szCs w:val="26"/>
                  <w:u w:val="single"/>
                </w:rPr>
                <w:t>shmk</w:t>
              </w:r>
              <w:r w:rsidR="00D144D6" w:rsidRPr="00046DBF">
                <w:rPr>
                  <w:rFonts w:ascii="Times New Roman" w:eastAsia="Times New Roman" w:hAnsi="Times New Roman" w:cs="Times New Roman"/>
                  <w:sz w:val="26"/>
                  <w:szCs w:val="26"/>
                  <w:u w:val="single"/>
                  <w:lang w:val="ru-RU"/>
                </w:rPr>
                <w:t>.</w:t>
              </w:r>
              <w:r w:rsidR="00D144D6" w:rsidRPr="00046DBF">
                <w:rPr>
                  <w:rFonts w:ascii="Times New Roman" w:eastAsia="Times New Roman" w:hAnsi="Times New Roman" w:cs="Times New Roman"/>
                  <w:sz w:val="26"/>
                  <w:szCs w:val="26"/>
                  <w:u w:val="single"/>
                </w:rPr>
                <w:t>edu</w:t>
              </w:r>
              <w:r w:rsidR="00D144D6" w:rsidRPr="00046DBF">
                <w:rPr>
                  <w:rFonts w:ascii="Times New Roman" w:eastAsia="Times New Roman" w:hAnsi="Times New Roman" w:cs="Times New Roman"/>
                  <w:sz w:val="26"/>
                  <w:szCs w:val="26"/>
                  <w:u w:val="single"/>
                  <w:lang w:val="ru-RU"/>
                </w:rPr>
                <w:t>.</w:t>
              </w:r>
              <w:r w:rsidR="00D144D6" w:rsidRPr="00046DBF">
                <w:rPr>
                  <w:rFonts w:ascii="Times New Roman" w:eastAsia="Times New Roman" w:hAnsi="Times New Roman" w:cs="Times New Roman"/>
                  <w:sz w:val="26"/>
                  <w:szCs w:val="26"/>
                  <w:u w:val="single"/>
                </w:rPr>
                <w:t>kz</w:t>
              </w:r>
              <w:r w:rsidR="00D144D6" w:rsidRPr="00046DBF">
                <w:rPr>
                  <w:rFonts w:ascii="Times New Roman" w:eastAsia="Times New Roman" w:hAnsi="Times New Roman" w:cs="Times New Roman"/>
                  <w:sz w:val="26"/>
                  <w:szCs w:val="26"/>
                  <w:u w:val="single"/>
                  <w:lang w:val="ru-RU"/>
                </w:rPr>
                <w:t>)</w:t>
              </w:r>
            </w:hyperlink>
          </w:p>
          <w:p w:rsidR="00E12AE0" w:rsidRPr="00046DBF" w:rsidRDefault="00E12AE0" w:rsidP="00C76C5B">
            <w:pPr>
              <w:spacing w:after="0" w:line="240" w:lineRule="auto"/>
              <w:rPr>
                <w:rFonts w:ascii="Times New Roman" w:eastAsia="Times New Roman" w:hAnsi="Times New Roman" w:cs="Times New Roman"/>
                <w:sz w:val="26"/>
                <w:szCs w:val="26"/>
                <w:u w:val="single"/>
                <w:lang w:val="ru-RU"/>
              </w:rPr>
            </w:pPr>
          </w:p>
        </w:tc>
        <w:tc>
          <w:tcPr>
            <w:tcW w:w="2859" w:type="dxa"/>
            <w:hideMark/>
          </w:tcPr>
          <w:p w:rsidR="00D144D6" w:rsidRPr="00046DBF" w:rsidRDefault="00D144D6"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Обеспечивается системность реализации компетентностной модели: согласование целей, содержания и оценки результатов обучения, поддержка профессионального роста преподавателей.</w:t>
            </w:r>
          </w:p>
        </w:tc>
        <w:tc>
          <w:tcPr>
            <w:tcW w:w="2282" w:type="dxa"/>
            <w:hideMark/>
          </w:tcPr>
          <w:p w:rsidR="00D144D6" w:rsidRPr="00046DBF" w:rsidRDefault="00E12AE0" w:rsidP="00C76C5B">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В</w:t>
            </w:r>
            <w:r w:rsidR="00D144D6" w:rsidRPr="00046DBF">
              <w:rPr>
                <w:rFonts w:ascii="Times New Roman" w:eastAsia="Times New Roman" w:hAnsi="Times New Roman" w:cs="Times New Roman"/>
                <w:color w:val="000000"/>
                <w:sz w:val="26"/>
                <w:szCs w:val="26"/>
                <w:lang w:val="ru-RU"/>
              </w:rPr>
              <w:t>ыступает «центром управления» человеческим потенциалом студентов и ППС через инструменты учебного планирования.</w:t>
            </w:r>
          </w:p>
        </w:tc>
      </w:tr>
      <w:tr w:rsidR="00E12AE0" w:rsidRPr="0036668B" w:rsidTr="00EB066B">
        <w:trPr>
          <w:trHeight w:val="3300"/>
        </w:trPr>
        <w:tc>
          <w:tcPr>
            <w:tcW w:w="1951"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Компетентностная модель выпускника (по ГОСО)</w:t>
            </w:r>
          </w:p>
        </w:tc>
        <w:tc>
          <w:tcPr>
            <w:tcW w:w="2762" w:type="dxa"/>
          </w:tcPr>
          <w:p w:rsidR="00E12AE0" w:rsidRPr="00046DBF" w:rsidRDefault="00432205" w:rsidP="00E12AE0">
            <w:pPr>
              <w:spacing w:after="0" w:line="240" w:lineRule="auto"/>
              <w:rPr>
                <w:rFonts w:ascii="Times New Roman" w:hAnsi="Times New Roman" w:cs="Times New Roman"/>
                <w:sz w:val="26"/>
                <w:szCs w:val="26"/>
                <w:lang w:val="ru-RU"/>
              </w:rPr>
            </w:pPr>
            <w:hyperlink r:id="rId23" w:tooltip="Об утверждении государственных общеобязательных ..." w:history="1">
              <w:proofErr w:type="gramStart"/>
              <w:r w:rsidR="00E12AE0" w:rsidRPr="00046DBF">
                <w:rPr>
                  <w:rFonts w:ascii="Times New Roman" w:eastAsia="Times New Roman" w:hAnsi="Times New Roman" w:cs="Times New Roman"/>
                  <w:sz w:val="26"/>
                  <w:szCs w:val="26"/>
                  <w:lang w:val="ru-RU"/>
                </w:rPr>
                <w:t>В ГОСО для специальностей 09130100 «Сестринское дело», 09120100 «Лечебное дело», 09160100 «Фармация» и др. выделяются базовые (общие) и профессиональные компетенции: клинические, коммуникативные, организационные, исследовательские, этические, цифровые и др.</w:t>
              </w:r>
              <w:r w:rsidR="00E12AE0" w:rsidRPr="00046DBF">
                <w:rPr>
                  <w:rFonts w:ascii="Times New Roman" w:eastAsia="Times New Roman" w:hAnsi="Times New Roman" w:cs="Times New Roman"/>
                  <w:sz w:val="26"/>
                  <w:szCs w:val="26"/>
                  <w:u w:val="single"/>
                  <w:lang w:val="ru-RU"/>
                </w:rPr>
                <w:t xml:space="preserve"> </w:t>
              </w:r>
            </w:hyperlink>
            <w:proofErr w:type="gramEnd"/>
          </w:p>
        </w:tc>
        <w:tc>
          <w:tcPr>
            <w:tcW w:w="2859"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Выпускник должен демонстрировать готовность к самостоятельной работе в системе здравоохранения, клиническому принятию решений в пределах своей компетенции, межпрофессиональному взаимодействию, соблюдению норм медицинской этики и непрерывному профессиональному развитию.</w:t>
            </w:r>
          </w:p>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p>
        </w:tc>
        <w:tc>
          <w:tcPr>
            <w:tcW w:w="2282"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В диссертации целесообразно показать, что колледж не разрабатывает компетенции «с нуля», а адаптирует национальную компетентностную модель к особенностям регионального рынка труда и конкретных клинических баз.</w:t>
            </w:r>
          </w:p>
        </w:tc>
      </w:tr>
      <w:tr w:rsidR="00E12AE0" w:rsidRPr="0036668B" w:rsidTr="00EB066B">
        <w:trPr>
          <w:trHeight w:val="4382"/>
        </w:trPr>
        <w:tc>
          <w:tcPr>
            <w:tcW w:w="1951"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Связь учебного плана и компетентностной модели</w:t>
            </w:r>
          </w:p>
        </w:tc>
        <w:tc>
          <w:tcPr>
            <w:tcW w:w="2762" w:type="dxa"/>
          </w:tcPr>
          <w:p w:rsidR="00E12AE0" w:rsidRPr="00046DBF" w:rsidRDefault="00E12AE0" w:rsidP="00E12AE0">
            <w:pPr>
              <w:spacing w:after="0" w:line="240" w:lineRule="auto"/>
              <w:rPr>
                <w:rFonts w:ascii="Times New Roman" w:eastAsia="Times New Roman" w:hAnsi="Times New Roman" w:cs="Times New Roman"/>
                <w:sz w:val="26"/>
                <w:szCs w:val="26"/>
                <w:u w:val="single"/>
                <w:lang w:val="ru-RU"/>
              </w:rPr>
            </w:pPr>
            <w:r w:rsidRPr="00046DBF">
              <w:rPr>
                <w:rFonts w:ascii="Times New Roman" w:eastAsia="Times New Roman" w:hAnsi="Times New Roman" w:cs="Times New Roman"/>
                <w:color w:val="000000"/>
                <w:sz w:val="26"/>
                <w:szCs w:val="26"/>
                <w:lang w:val="ru-RU"/>
              </w:rPr>
              <w:t>Учебные планы строятся</w:t>
            </w:r>
            <w:r w:rsidR="00437817">
              <w:rPr>
                <w:rFonts w:ascii="Times New Roman" w:eastAsia="Times New Roman" w:hAnsi="Times New Roman" w:cs="Times New Roman"/>
                <w:color w:val="000000"/>
                <w:sz w:val="26"/>
                <w:szCs w:val="26"/>
                <w:lang w:val="ru-RU"/>
              </w:rPr>
              <w:t xml:space="preserve">, так </w:t>
            </w:r>
            <w:r w:rsidRPr="00046DBF">
              <w:rPr>
                <w:rFonts w:ascii="Times New Roman" w:eastAsia="Times New Roman" w:hAnsi="Times New Roman" w:cs="Times New Roman"/>
                <w:color w:val="000000"/>
                <w:sz w:val="26"/>
                <w:szCs w:val="26"/>
                <w:lang w:val="ru-RU"/>
              </w:rPr>
              <w:t>каждый модуль были связаны с определёнными компетенциями (клинические дисциплины–с клиническими компетенциями, гуманитарные и социально</w:t>
            </w:r>
            <w:r w:rsidR="007B767F" w:rsidRPr="00046DBF">
              <w:rPr>
                <w:rFonts w:ascii="Times New Roman" w:eastAsia="Times New Roman" w:hAnsi="Times New Roman" w:cs="Times New Roman"/>
                <w:color w:val="000000"/>
                <w:sz w:val="26"/>
                <w:szCs w:val="26"/>
                <w:lang w:val="ru-RU"/>
              </w:rPr>
              <w:t>–</w:t>
            </w:r>
            <w:r w:rsidRPr="00046DBF">
              <w:rPr>
                <w:rFonts w:ascii="Times New Roman" w:eastAsia="Times New Roman" w:hAnsi="Times New Roman" w:cs="Times New Roman"/>
                <w:color w:val="000000"/>
                <w:sz w:val="26"/>
                <w:szCs w:val="26"/>
                <w:lang w:val="ru-RU"/>
              </w:rPr>
              <w:t>экономические дисциплины–с коммуникативными и этическими).</w:t>
            </w:r>
          </w:p>
        </w:tc>
        <w:tc>
          <w:tcPr>
            <w:tcW w:w="2859"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Компетентностная модель выступает целевым ориентиром: по её структуре определяются блоки дисциплин, виды практики и формы оценивания.</w:t>
            </w:r>
          </w:p>
        </w:tc>
        <w:tc>
          <w:tcPr>
            <w:tcW w:w="2282" w:type="dxa"/>
          </w:tcPr>
          <w:p w:rsidR="00E12AE0" w:rsidRPr="00046DBF" w:rsidRDefault="00E12AE0" w:rsidP="00E12AE0">
            <w:pPr>
              <w:spacing w:after="0" w:line="240" w:lineRule="auto"/>
              <w:rPr>
                <w:rFonts w:ascii="Times New Roman" w:eastAsia="Times New Roman" w:hAnsi="Times New Roman" w:cs="Times New Roman"/>
                <w:color w:val="000000"/>
                <w:sz w:val="26"/>
                <w:szCs w:val="26"/>
                <w:lang w:val="ru-RU"/>
              </w:rPr>
            </w:pPr>
            <w:r w:rsidRPr="00046DBF">
              <w:rPr>
                <w:rFonts w:ascii="Times New Roman" w:eastAsia="Times New Roman" w:hAnsi="Times New Roman" w:cs="Times New Roman"/>
                <w:color w:val="000000"/>
                <w:sz w:val="26"/>
                <w:szCs w:val="26"/>
                <w:lang w:val="ru-RU"/>
              </w:rPr>
              <w:t>В выводах можно акцентировать, что такая «матричная» увязка дисциплин и компетенций обеспечивает целостность подготовки и является основой устойчивости человеческого потенциала выпускников.</w:t>
            </w:r>
          </w:p>
        </w:tc>
      </w:tr>
      <w:tr w:rsidR="00E12AE0" w:rsidRPr="0036668B" w:rsidTr="00EB066B">
        <w:trPr>
          <w:trHeight w:val="513"/>
        </w:trPr>
        <w:tc>
          <w:tcPr>
            <w:tcW w:w="9854" w:type="dxa"/>
            <w:gridSpan w:val="4"/>
          </w:tcPr>
          <w:p w:rsidR="00E12AE0" w:rsidRPr="00046DBF" w:rsidRDefault="0068338D" w:rsidP="00E12AE0">
            <w:pPr>
              <w:spacing w:after="0" w:line="240" w:lineRule="auto"/>
              <w:jc w:val="both"/>
              <w:rPr>
                <w:rFonts w:ascii="Times New Roman" w:eastAsia="Times New Roman" w:hAnsi="Times New Roman" w:cs="Times New Roman"/>
                <w:color w:val="000000"/>
                <w:sz w:val="26"/>
                <w:szCs w:val="26"/>
                <w:lang w:val="ru-RU"/>
              </w:rPr>
            </w:pPr>
            <w:r w:rsidRPr="00437817">
              <w:rPr>
                <w:rFonts w:ascii="Times New Roman" w:hAnsi="Times New Roman" w:cs="Times New Roman"/>
                <w:sz w:val="24"/>
                <w:szCs w:val="24"/>
                <w:lang w:val="ru-RU"/>
              </w:rPr>
              <w:t xml:space="preserve">         </w:t>
            </w:r>
            <w:r w:rsidR="00E12AE0" w:rsidRPr="00437817">
              <w:rPr>
                <w:rFonts w:ascii="Times New Roman" w:hAnsi="Times New Roman" w:cs="Times New Roman"/>
                <w:sz w:val="24"/>
                <w:szCs w:val="24"/>
                <w:lang w:val="ru-RU"/>
              </w:rPr>
              <w:t>Примечание</w:t>
            </w:r>
            <w:r w:rsidRPr="00437817">
              <w:rPr>
                <w:rFonts w:ascii="Times New Roman" w:hAnsi="Times New Roman" w:cs="Times New Roman"/>
                <w:sz w:val="24"/>
                <w:szCs w:val="24"/>
                <w:lang w:val="ru-RU"/>
              </w:rPr>
              <w:t xml:space="preserve"> –</w:t>
            </w:r>
            <w:r w:rsidR="00E12AE0" w:rsidRPr="00437817">
              <w:rPr>
                <w:rFonts w:ascii="Times New Roman" w:hAnsi="Times New Roman" w:cs="Times New Roman"/>
                <w:sz w:val="24"/>
                <w:szCs w:val="24"/>
                <w:lang w:val="ru-RU"/>
              </w:rPr>
              <w:t xml:space="preserve"> составлен</w:t>
            </w:r>
            <w:r w:rsidRPr="00437817">
              <w:rPr>
                <w:rFonts w:ascii="Times New Roman" w:hAnsi="Times New Roman" w:cs="Times New Roman"/>
                <w:sz w:val="24"/>
                <w:szCs w:val="24"/>
                <w:lang w:val="ru-RU"/>
              </w:rPr>
              <w:t>о</w:t>
            </w:r>
            <w:r w:rsidR="00E12AE0" w:rsidRPr="00437817">
              <w:rPr>
                <w:rFonts w:ascii="Times New Roman" w:hAnsi="Times New Roman" w:cs="Times New Roman"/>
                <w:sz w:val="24"/>
                <w:szCs w:val="24"/>
                <w:lang w:val="ru-RU"/>
              </w:rPr>
              <w:t xml:space="preserve"> автором на основе материалов официального сайта ГКП на ПХВ «Высший медицинский колледж» УЗ </w:t>
            </w:r>
            <w:proofErr w:type="gramStart"/>
            <w:r w:rsidR="00E12AE0" w:rsidRPr="00437817">
              <w:rPr>
                <w:rFonts w:ascii="Times New Roman" w:hAnsi="Times New Roman" w:cs="Times New Roman"/>
                <w:sz w:val="24"/>
                <w:szCs w:val="24"/>
                <w:lang w:val="ru-RU"/>
              </w:rPr>
              <w:t>г</w:t>
            </w:r>
            <w:proofErr w:type="gramEnd"/>
            <w:r w:rsidR="00E12AE0" w:rsidRPr="00437817">
              <w:rPr>
                <w:rFonts w:ascii="Times New Roman" w:hAnsi="Times New Roman" w:cs="Times New Roman"/>
                <w:sz w:val="24"/>
                <w:szCs w:val="24"/>
                <w:lang w:val="ru-RU"/>
              </w:rPr>
              <w:t xml:space="preserve">. Шымкент и действующих </w:t>
            </w:r>
            <w:r w:rsidR="00FA259F" w:rsidRPr="00437817">
              <w:rPr>
                <w:rFonts w:ascii="Times New Roman" w:hAnsi="Times New Roman" w:cs="Times New Roman"/>
                <w:sz w:val="24"/>
                <w:szCs w:val="24"/>
                <w:lang w:val="ru-RU"/>
              </w:rPr>
              <w:t>ГОСО</w:t>
            </w:r>
            <w:r w:rsidR="00E12AE0" w:rsidRPr="00437817">
              <w:rPr>
                <w:rFonts w:ascii="Times New Roman" w:hAnsi="Times New Roman" w:cs="Times New Roman"/>
                <w:sz w:val="24"/>
                <w:szCs w:val="24"/>
                <w:lang w:val="ru-RU"/>
              </w:rPr>
              <w:t xml:space="preserve"> по медицинским специальностям</w:t>
            </w:r>
          </w:p>
        </w:tc>
      </w:tr>
      <w:bookmarkEnd w:id="12"/>
    </w:tbl>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Анализ данных таблицы </w:t>
      </w:r>
      <w:r w:rsidR="00FA259F" w:rsidRPr="000D4FA1">
        <w:rPr>
          <w:sz w:val="28"/>
          <w:szCs w:val="28"/>
        </w:rPr>
        <w:t xml:space="preserve">13 </w:t>
      </w:r>
      <w:r w:rsidRPr="000D4FA1">
        <w:rPr>
          <w:sz w:val="28"/>
          <w:szCs w:val="28"/>
        </w:rPr>
        <w:t>показывает, что учебные планы Шымкентского высшего медицинского колледжа выстроены в строгом соответствии с нормативно</w:t>
      </w:r>
      <w:r w:rsidR="007B767F" w:rsidRPr="000D4FA1">
        <w:rPr>
          <w:sz w:val="28"/>
          <w:szCs w:val="28"/>
        </w:rPr>
        <w:t>–</w:t>
      </w:r>
      <w:r w:rsidRPr="000D4FA1">
        <w:rPr>
          <w:sz w:val="28"/>
          <w:szCs w:val="28"/>
        </w:rPr>
        <w:t xml:space="preserve">правовой базой Республики Казахстан, что обеспечивает преемственность и единство требований к профессиональной подготовке специалистов среднего звена. </w:t>
      </w:r>
      <w:r w:rsidR="004770BF" w:rsidRPr="000D4FA1">
        <w:rPr>
          <w:sz w:val="28"/>
          <w:szCs w:val="28"/>
        </w:rPr>
        <w:t xml:space="preserve"> </w:t>
      </w:r>
      <w:r w:rsidRPr="000D4FA1">
        <w:rPr>
          <w:sz w:val="28"/>
          <w:szCs w:val="28"/>
        </w:rPr>
        <w:t>Наличие структурированного деления на общеобразовательный, общепрофессиональный и профильный циклы способствует системности освоения образовательных программ, а значительный объём практико</w:t>
      </w:r>
      <w:r w:rsidR="007B767F" w:rsidRPr="000D4FA1">
        <w:rPr>
          <w:sz w:val="28"/>
          <w:szCs w:val="28"/>
        </w:rPr>
        <w:t>–</w:t>
      </w:r>
      <w:r w:rsidRPr="000D4FA1">
        <w:rPr>
          <w:sz w:val="28"/>
          <w:szCs w:val="28"/>
        </w:rPr>
        <w:t>ориентированных модулей отражает потребность медицинской отрасли в специалистах, способных эффективно выполнять профессиональные функции в клинических условиях. Учебные планы интегрируют различные виды практик – производственную, преддипломную, учебную, – что подтверждает высокий уровень практической направленности подготовки.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Компетентностная модель выпускника, представленная в таблице, демонстрирует, что колледж ориентирован на формирование широкого спектра компетенций: клинических, профессиональных, коммуникативных, этических и цифровых. Такая модель соответствует современным требованиям здравоохранения, где значительную роль играют межпрофессиональное взаимодействие, соблюдение стандартов безопасности пациента, способность к принятию клинических решений</w:t>
      </w:r>
      <w:r w:rsidR="00437817">
        <w:rPr>
          <w:sz w:val="28"/>
          <w:szCs w:val="28"/>
        </w:rPr>
        <w:t>.</w:t>
      </w:r>
      <w:r w:rsidRPr="000D4FA1">
        <w:rPr>
          <w:sz w:val="28"/>
          <w:szCs w:val="28"/>
        </w:rPr>
        <w:t xml:space="preserve">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Важным аспектом является то, что структура учебного плана непосредственно соотносится с компетентностной моделью: каждая дисциплина и модуль направлены на развитие определённых компетенций, а формы оценивания позволяют фиксировать достижение результатов обучения.</w:t>
      </w:r>
    </w:p>
    <w:p w:rsidR="00FA259F" w:rsidRPr="000D4FA1" w:rsidRDefault="004770BF" w:rsidP="00437817">
      <w:pPr>
        <w:pStyle w:val="a4"/>
        <w:spacing w:before="0" w:beforeAutospacing="0" w:after="0" w:afterAutospacing="0"/>
        <w:ind w:firstLine="720"/>
        <w:jc w:val="center"/>
        <w:rPr>
          <w:b/>
        </w:rPr>
      </w:pPr>
      <w:r w:rsidRPr="000D4FA1">
        <w:rPr>
          <w:noProof/>
          <w:sz w:val="28"/>
          <w:szCs w:val="28"/>
        </w:rPr>
        <w:drawing>
          <wp:anchor distT="0" distB="0" distL="114300" distR="114300" simplePos="0" relativeHeight="251655168" behindDoc="1" locked="0" layoutInCell="1" allowOverlap="1">
            <wp:simplePos x="0" y="0"/>
            <wp:positionH relativeFrom="margin">
              <wp:posOffset>-80010</wp:posOffset>
            </wp:positionH>
            <wp:positionV relativeFrom="paragraph">
              <wp:posOffset>317500</wp:posOffset>
            </wp:positionV>
            <wp:extent cx="6143625" cy="2657475"/>
            <wp:effectExtent l="0" t="0" r="0" b="0"/>
            <wp:wrapTight wrapText="bothSides">
              <wp:wrapPolygon edited="0">
                <wp:start x="0" y="0"/>
                <wp:lineTo x="0" y="21523"/>
                <wp:lineTo x="21567" y="21523"/>
                <wp:lineTo x="2156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187"/>
                    <a:stretch/>
                  </pic:blipFill>
                  <pic:spPr bwMode="auto">
                    <a:xfrm>
                      <a:off x="0" y="0"/>
                      <a:ext cx="6143625" cy="2657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87121B" w:rsidRPr="000D4FA1" w:rsidRDefault="0087121B" w:rsidP="00FA259F">
      <w:pPr>
        <w:pStyle w:val="a4"/>
        <w:spacing w:before="0" w:beforeAutospacing="0" w:after="0" w:afterAutospacing="0"/>
        <w:ind w:firstLine="720"/>
        <w:jc w:val="center"/>
        <w:rPr>
          <w:sz w:val="28"/>
          <w:szCs w:val="28"/>
        </w:rPr>
      </w:pPr>
      <w:r w:rsidRPr="000D4FA1">
        <w:rPr>
          <w:sz w:val="28"/>
          <w:szCs w:val="28"/>
        </w:rPr>
        <w:t xml:space="preserve">Рисунок </w:t>
      </w:r>
      <w:r w:rsidR="00437817">
        <w:rPr>
          <w:sz w:val="28"/>
          <w:szCs w:val="28"/>
        </w:rPr>
        <w:t>4</w:t>
      </w:r>
      <w:r w:rsidRPr="000D4FA1">
        <w:rPr>
          <w:sz w:val="28"/>
          <w:szCs w:val="28"/>
        </w:rPr>
        <w:t xml:space="preserve"> – Структура компетентностной модели выпускника в медицинском образовании</w:t>
      </w:r>
    </w:p>
    <w:p w:rsidR="00D144D6" w:rsidRPr="000D4FA1" w:rsidRDefault="00D144D6" w:rsidP="00D144D6">
      <w:pPr>
        <w:pStyle w:val="a4"/>
        <w:spacing w:before="0" w:beforeAutospacing="0" w:after="0" w:afterAutospacing="0"/>
        <w:ind w:firstLine="720"/>
        <w:jc w:val="both"/>
        <w:rPr>
          <w:sz w:val="28"/>
          <w:szCs w:val="28"/>
        </w:rPr>
      </w:pPr>
      <w:r w:rsidRPr="000D4FA1">
        <w:t>Примечание – составлено автором на основании ГОСО и учебно</w:t>
      </w:r>
      <w:r w:rsidR="007B767F" w:rsidRPr="000D4FA1">
        <w:t>–</w:t>
      </w:r>
      <w:r w:rsidRPr="000D4FA1">
        <w:t>методических материалов колледжа</w:t>
      </w:r>
    </w:p>
    <w:p w:rsidR="00FA259F" w:rsidRPr="000D4FA1" w:rsidRDefault="00FA259F" w:rsidP="00FA259F">
      <w:pPr>
        <w:pStyle w:val="a4"/>
        <w:spacing w:before="0" w:beforeAutospacing="0" w:after="0" w:afterAutospacing="0"/>
        <w:ind w:firstLine="720"/>
        <w:jc w:val="both"/>
        <w:rPr>
          <w:sz w:val="28"/>
          <w:szCs w:val="28"/>
        </w:rPr>
      </w:pPr>
      <w:r w:rsidRPr="000D4FA1">
        <w:rPr>
          <w:sz w:val="28"/>
          <w:szCs w:val="28"/>
        </w:rPr>
        <w:lastRenderedPageBreak/>
        <w:t xml:space="preserve">В совокупности данные элементы свидетельствуют о высокой степени продуманности и управляемости образовательного процесса в колледже. </w:t>
      </w:r>
    </w:p>
    <w:p w:rsidR="00FA259F" w:rsidRPr="000D4FA1" w:rsidRDefault="00FA259F" w:rsidP="00FA259F">
      <w:pPr>
        <w:pStyle w:val="a4"/>
        <w:spacing w:before="0" w:beforeAutospacing="0" w:after="0" w:afterAutospacing="0"/>
        <w:ind w:firstLine="720"/>
        <w:jc w:val="both"/>
        <w:rPr>
          <w:sz w:val="28"/>
          <w:szCs w:val="28"/>
        </w:rPr>
      </w:pPr>
      <w:r w:rsidRPr="000D4FA1">
        <w:rPr>
          <w:sz w:val="28"/>
          <w:szCs w:val="28"/>
        </w:rPr>
        <w:t>Такая организация обеспечивает подготовку специалистов, отвечающих требованиям регионального рынка труда и способных эффективно выполнять профессиональные обязанности в медицинских организациях. В условиях растущего спроса на квалифицированный медицинский персонал именно сбалансированная структура учебного плана и компетентностная модель выпускника становятся ключевыми факторами формирования человеческого потенциала и устойчивости образовательной организации.</w:t>
      </w:r>
    </w:p>
    <w:p w:rsidR="00FA259F" w:rsidRPr="000D4FA1" w:rsidRDefault="00FA259F" w:rsidP="00FA259F">
      <w:pPr>
        <w:pStyle w:val="a4"/>
        <w:spacing w:before="0" w:beforeAutospacing="0" w:after="0" w:afterAutospacing="0"/>
        <w:ind w:firstLine="720"/>
        <w:jc w:val="both"/>
        <w:rPr>
          <w:sz w:val="28"/>
          <w:szCs w:val="28"/>
        </w:rPr>
      </w:pPr>
      <w:r w:rsidRPr="000D4FA1">
        <w:rPr>
          <w:sz w:val="28"/>
          <w:szCs w:val="28"/>
        </w:rPr>
        <w:t>Представленная схема отражает ключевые компоненты компетентностной модели выпускника в системе медицинского образования, применяемой в Шымкентском высшем медицинском колледже. Центральным элементом модели является интеграция профессиональных, клинических, коммуникативных и организационно</w:t>
      </w:r>
      <w:r w:rsidR="007B767F" w:rsidRPr="000D4FA1">
        <w:rPr>
          <w:sz w:val="28"/>
          <w:szCs w:val="28"/>
        </w:rPr>
        <w:t>–</w:t>
      </w:r>
      <w:r w:rsidRPr="000D4FA1">
        <w:rPr>
          <w:sz w:val="28"/>
          <w:szCs w:val="28"/>
        </w:rPr>
        <w:t>управленческих компетенций, обеспечивающих готовность будущего специалиста к эффективной работе в медицинских организациях.</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Первым структурным блоком выступает </w:t>
      </w:r>
      <w:r w:rsidRPr="000D4FA1">
        <w:rPr>
          <w:bCs/>
          <w:sz w:val="28"/>
          <w:szCs w:val="28"/>
        </w:rPr>
        <w:t>нормативная основа</w:t>
      </w:r>
      <w:r w:rsidRPr="000D4FA1">
        <w:rPr>
          <w:sz w:val="28"/>
          <w:szCs w:val="28"/>
        </w:rPr>
        <w:t>, включающая требования Государственного общеобязательного стандарта образования (ГОСО) и стандарты качества подготовки медицинского персонала. Эти документы определяют рамки компетенций, минимальные требования к знаниям, практическим навыкам и уровню профессиональной готовности выпускника. Нормативная база задаёт единые ориентиры для разработки учебных планов, программ практики и системы оценки.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Второй компонент–</w:t>
      </w:r>
      <w:r w:rsidRPr="000D4FA1">
        <w:rPr>
          <w:bCs/>
          <w:sz w:val="28"/>
          <w:szCs w:val="28"/>
        </w:rPr>
        <w:t>формы контроля и оценивания</w:t>
      </w:r>
      <w:r w:rsidRPr="000D4FA1">
        <w:rPr>
          <w:sz w:val="28"/>
          <w:szCs w:val="28"/>
        </w:rPr>
        <w:t>, которые в медицинском образовании играют ключевую роль. В структуре оценки широко применяются практические экзамены, клинические разборы, ситуационные задачи и демонстрация практических манипуляций. Такая система проверки позволяет оценить не только академическую подготовку, но и клиническое мышление, способность принимать решения и профессиональную готовность к реальной работе в лечебных учреждениях.</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Третьим блоком модели является </w:t>
      </w:r>
      <w:r w:rsidRPr="000D4FA1">
        <w:rPr>
          <w:bCs/>
          <w:sz w:val="28"/>
          <w:szCs w:val="28"/>
        </w:rPr>
        <w:t>роль учебной части</w:t>
      </w:r>
      <w:r w:rsidRPr="000D4FA1">
        <w:rPr>
          <w:sz w:val="28"/>
          <w:szCs w:val="28"/>
        </w:rPr>
        <w:t>, осуществляющей методическое руководство, согласование целей обучения, контроль выполнения учебных планов и поддержку преподавателей. Учебная часть обеспечивает связь между нормативными требованиями, содержанием дисциплин и формами оценивания, что делает подготовку студентов системной, последовательной и ориентированной на практику.</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Особое место занимает </w:t>
      </w:r>
      <w:r w:rsidRPr="000D4FA1">
        <w:rPr>
          <w:bCs/>
          <w:sz w:val="28"/>
          <w:szCs w:val="28"/>
        </w:rPr>
        <w:t>структура учебных планов</w:t>
      </w:r>
      <w:r w:rsidRPr="000D4FA1">
        <w:rPr>
          <w:sz w:val="28"/>
          <w:szCs w:val="28"/>
        </w:rPr>
        <w:t>, включающих модули, направленные на формирование профессиональных и клинических компетенций. Учебные планы предусматривают сочетание теории, практики и симуляционного обучения, что обеспечивает целостность и логичность профессиональной подготовки.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Завершающим элементом является </w:t>
      </w:r>
      <w:r w:rsidRPr="000D4FA1">
        <w:rPr>
          <w:bCs/>
          <w:sz w:val="28"/>
          <w:szCs w:val="28"/>
        </w:rPr>
        <w:t>практико</w:t>
      </w:r>
      <w:r w:rsidR="007B767F" w:rsidRPr="000D4FA1">
        <w:rPr>
          <w:bCs/>
          <w:sz w:val="28"/>
          <w:szCs w:val="28"/>
        </w:rPr>
        <w:t>–</w:t>
      </w:r>
      <w:r w:rsidRPr="000D4FA1">
        <w:rPr>
          <w:bCs/>
          <w:sz w:val="28"/>
          <w:szCs w:val="28"/>
        </w:rPr>
        <w:t>ориентированность подготовки</w:t>
      </w:r>
      <w:r w:rsidRPr="000D4FA1">
        <w:rPr>
          <w:sz w:val="28"/>
          <w:szCs w:val="28"/>
        </w:rPr>
        <w:t xml:space="preserve">, реализуемая через прохождение практики в медицинских организациях и использование симуляционных технологий. Полевые практики </w:t>
      </w:r>
      <w:r w:rsidRPr="000D4FA1">
        <w:rPr>
          <w:sz w:val="28"/>
          <w:szCs w:val="28"/>
        </w:rPr>
        <w:lastRenderedPageBreak/>
        <w:t>в больницах, поликлиниках и диагностических центрах обеспечивают формирование реальных профессиональных навыков, а симуляционные классы позволяют безопасно отрабатывать сложные клинические манипуляции.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Таким образом, схема демонстрирует, что компетентностная модель выпускника медицинского колледжа представляет собой многокомпонентную систему, основанную на нормативных требованиях, методической поддержке, сбалансированных учебных планах и практико</w:t>
      </w:r>
      <w:r w:rsidR="007B767F" w:rsidRPr="000D4FA1">
        <w:rPr>
          <w:sz w:val="28"/>
          <w:szCs w:val="28"/>
        </w:rPr>
        <w:t>–</w:t>
      </w:r>
      <w:r w:rsidRPr="000D4FA1">
        <w:rPr>
          <w:sz w:val="28"/>
          <w:szCs w:val="28"/>
        </w:rPr>
        <w:t>ориентированной подготовке. Такой подход обеспечивает формирование квалифицированных специалистов, способных эффективно интегрироваться в профессиональную среду и отвечать современным требованиям системы здравоохранения.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Кадровый состав образовательной организации является ключевым фактором её устойчивого развития и качественного выполнения образовательной миссии. Для Шымкентского высшего медицинского колледжа, готовящего специалистов среднего звена для системы здравоохранения, характеристики преподавательских и административных кадров определяют уровень человеческого потенциала учреждения, влияние на эффективность учебного процесса и качество подготовки выпускников.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ED0D22" w:rsidRPr="000D4FA1">
        <w:rPr>
          <w:sz w:val="28"/>
          <w:szCs w:val="28"/>
        </w:rPr>
        <w:t>14</w:t>
      </w:r>
      <w:r w:rsidRPr="000D4FA1">
        <w:rPr>
          <w:sz w:val="28"/>
          <w:szCs w:val="28"/>
        </w:rPr>
        <w:t xml:space="preserve"> систематизирует основные параметры кадрового состава колледжа, отражённые в официальных источниках: количественный состав профессорско</w:t>
      </w:r>
      <w:r w:rsidR="007B767F" w:rsidRPr="000D4FA1">
        <w:rPr>
          <w:sz w:val="28"/>
          <w:szCs w:val="28"/>
        </w:rPr>
        <w:t>–</w:t>
      </w:r>
      <w:r w:rsidRPr="000D4FA1">
        <w:rPr>
          <w:sz w:val="28"/>
          <w:szCs w:val="28"/>
        </w:rPr>
        <w:t xml:space="preserve">преподавательского персонала, квалификационную структуру, наличие управленческих и вспомогательных подразделений, динамику профессионального развития и особенности корпоративных компетенций. </w:t>
      </w:r>
      <w:r w:rsidR="00FA259F" w:rsidRPr="000D4FA1">
        <w:rPr>
          <w:sz w:val="28"/>
          <w:szCs w:val="28"/>
        </w:rPr>
        <w:t>Представленные</w:t>
      </w:r>
      <w:r w:rsidRPr="000D4FA1">
        <w:rPr>
          <w:sz w:val="28"/>
          <w:szCs w:val="28"/>
        </w:rPr>
        <w:t xml:space="preserve"> данные позволяют комплексно оценить кадровую базу колледжа и определить её соответствие современным требованиям медицинского образования.</w:t>
      </w:r>
    </w:p>
    <w:p w:rsidR="0087121B" w:rsidRPr="000D4FA1" w:rsidRDefault="0087121B" w:rsidP="00D144D6">
      <w:pPr>
        <w:pStyle w:val="a4"/>
        <w:spacing w:before="0" w:beforeAutospacing="0" w:after="0" w:afterAutospacing="0"/>
        <w:ind w:firstLine="720"/>
        <w:jc w:val="both"/>
        <w:rPr>
          <w:sz w:val="28"/>
          <w:szCs w:val="28"/>
        </w:rPr>
      </w:pPr>
    </w:p>
    <w:p w:rsidR="00D144D6"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14</w:t>
      </w:r>
      <w:r w:rsidR="0068338D" w:rsidRPr="000D4FA1">
        <w:rPr>
          <w:sz w:val="28"/>
          <w:szCs w:val="28"/>
        </w:rPr>
        <w:t xml:space="preserve"> – </w:t>
      </w:r>
      <w:r w:rsidRPr="000D4FA1">
        <w:rPr>
          <w:sz w:val="28"/>
          <w:szCs w:val="28"/>
        </w:rPr>
        <w:t>Характеристика кадрового состава Шымкентского высшего медицинского колледжа</w:t>
      </w:r>
    </w:p>
    <w:p w:rsidR="00EB066B" w:rsidRPr="000D4FA1" w:rsidRDefault="00EB066B" w:rsidP="00D144D6">
      <w:pPr>
        <w:pStyle w:val="a4"/>
        <w:spacing w:before="0" w:beforeAutospacing="0" w:after="0" w:afterAutospacing="0"/>
        <w:ind w:firstLine="720"/>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4253"/>
      </w:tblGrid>
      <w:tr w:rsidR="00D144D6" w:rsidRPr="000D4FA1" w:rsidTr="00EB066B">
        <w:trPr>
          <w:trHeight w:val="570"/>
        </w:trPr>
        <w:tc>
          <w:tcPr>
            <w:tcW w:w="1951" w:type="dxa"/>
            <w:hideMark/>
          </w:tcPr>
          <w:p w:rsidR="00D144D6" w:rsidRPr="000D4FA1" w:rsidRDefault="00D144D6" w:rsidP="00C76C5B">
            <w:pPr>
              <w:spacing w:after="0" w:line="240" w:lineRule="auto"/>
              <w:jc w:val="center"/>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Направление характеристики</w:t>
            </w:r>
          </w:p>
        </w:tc>
        <w:tc>
          <w:tcPr>
            <w:tcW w:w="3402" w:type="dxa"/>
            <w:hideMark/>
          </w:tcPr>
          <w:p w:rsidR="00D144D6" w:rsidRPr="000D4FA1" w:rsidRDefault="00D144D6" w:rsidP="00C76C5B">
            <w:pPr>
              <w:spacing w:after="0" w:line="240" w:lineRule="auto"/>
              <w:jc w:val="center"/>
              <w:rPr>
                <w:rFonts w:ascii="Times New Roman" w:eastAsia="Times New Roman" w:hAnsi="Times New Roman" w:cs="Times New Roman"/>
                <w:bCs/>
                <w:sz w:val="24"/>
                <w:szCs w:val="24"/>
                <w:lang w:val="ru-RU"/>
              </w:rPr>
            </w:pPr>
            <w:r w:rsidRPr="000D4FA1">
              <w:rPr>
                <w:rFonts w:ascii="Times New Roman" w:eastAsia="Times New Roman" w:hAnsi="Times New Roman" w:cs="Times New Roman"/>
                <w:bCs/>
                <w:sz w:val="24"/>
                <w:szCs w:val="24"/>
                <w:lang w:val="ru-RU"/>
              </w:rPr>
              <w:t>Данные из официальных источников колледжа</w:t>
            </w:r>
          </w:p>
        </w:tc>
        <w:tc>
          <w:tcPr>
            <w:tcW w:w="4253" w:type="dxa"/>
            <w:hideMark/>
          </w:tcPr>
          <w:p w:rsidR="00D144D6" w:rsidRPr="000D4FA1" w:rsidRDefault="00D144D6" w:rsidP="00C76C5B">
            <w:pPr>
              <w:spacing w:after="0" w:line="240" w:lineRule="auto"/>
              <w:jc w:val="center"/>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 xml:space="preserve">Аналитическая интерпретация </w:t>
            </w:r>
          </w:p>
        </w:tc>
      </w:tr>
      <w:tr w:rsidR="004770BF" w:rsidRPr="000D4FA1" w:rsidTr="00EB066B">
        <w:trPr>
          <w:trHeight w:val="271"/>
        </w:trPr>
        <w:tc>
          <w:tcPr>
            <w:tcW w:w="1951" w:type="dxa"/>
          </w:tcPr>
          <w:p w:rsidR="004770BF" w:rsidRPr="000D4FA1" w:rsidRDefault="004770BF" w:rsidP="00C76C5B">
            <w:pPr>
              <w:spacing w:after="0" w:line="240" w:lineRule="auto"/>
              <w:jc w:val="center"/>
              <w:rPr>
                <w:rFonts w:ascii="Times New Roman" w:eastAsia="Times New Roman" w:hAnsi="Times New Roman" w:cs="Times New Roman"/>
                <w:bCs/>
                <w:i/>
                <w:sz w:val="24"/>
                <w:szCs w:val="24"/>
                <w:lang w:val="ru-RU"/>
              </w:rPr>
            </w:pPr>
            <w:r w:rsidRPr="000D4FA1">
              <w:rPr>
                <w:rFonts w:ascii="Times New Roman" w:eastAsia="Times New Roman" w:hAnsi="Times New Roman" w:cs="Times New Roman"/>
                <w:bCs/>
                <w:i/>
                <w:sz w:val="24"/>
                <w:szCs w:val="24"/>
                <w:lang w:val="ru-RU"/>
              </w:rPr>
              <w:t>1</w:t>
            </w:r>
          </w:p>
        </w:tc>
        <w:tc>
          <w:tcPr>
            <w:tcW w:w="3402" w:type="dxa"/>
          </w:tcPr>
          <w:p w:rsidR="004770BF" w:rsidRPr="000D4FA1" w:rsidRDefault="004770BF" w:rsidP="00C76C5B">
            <w:pPr>
              <w:spacing w:after="0" w:line="240" w:lineRule="auto"/>
              <w:jc w:val="center"/>
              <w:rPr>
                <w:rFonts w:ascii="Times New Roman" w:eastAsia="Times New Roman" w:hAnsi="Times New Roman" w:cs="Times New Roman"/>
                <w:bCs/>
                <w:i/>
                <w:sz w:val="24"/>
                <w:szCs w:val="24"/>
                <w:lang w:val="ru-RU"/>
              </w:rPr>
            </w:pPr>
            <w:r w:rsidRPr="000D4FA1">
              <w:rPr>
                <w:rFonts w:ascii="Times New Roman" w:eastAsia="Times New Roman" w:hAnsi="Times New Roman" w:cs="Times New Roman"/>
                <w:bCs/>
                <w:i/>
                <w:sz w:val="24"/>
                <w:szCs w:val="24"/>
                <w:lang w:val="ru-RU"/>
              </w:rPr>
              <w:t>2</w:t>
            </w:r>
          </w:p>
        </w:tc>
        <w:tc>
          <w:tcPr>
            <w:tcW w:w="4253" w:type="dxa"/>
          </w:tcPr>
          <w:p w:rsidR="004770BF" w:rsidRPr="000D4FA1" w:rsidRDefault="004770BF" w:rsidP="00EB066B">
            <w:pPr>
              <w:spacing w:after="0" w:line="240" w:lineRule="auto"/>
              <w:jc w:val="center"/>
              <w:rPr>
                <w:rFonts w:ascii="Times New Roman" w:eastAsia="Times New Roman" w:hAnsi="Times New Roman" w:cs="Times New Roman"/>
                <w:bCs/>
                <w:i/>
                <w:sz w:val="24"/>
                <w:szCs w:val="24"/>
                <w:lang w:val="ru-RU"/>
              </w:rPr>
            </w:pPr>
            <w:r w:rsidRPr="000D4FA1">
              <w:rPr>
                <w:rFonts w:ascii="Times New Roman" w:eastAsia="Times New Roman" w:hAnsi="Times New Roman" w:cs="Times New Roman"/>
                <w:bCs/>
                <w:i/>
                <w:sz w:val="24"/>
                <w:szCs w:val="24"/>
                <w:lang w:val="ru-RU"/>
              </w:rPr>
              <w:t>3</w:t>
            </w:r>
          </w:p>
        </w:tc>
      </w:tr>
      <w:tr w:rsidR="00D144D6" w:rsidRPr="0036668B" w:rsidTr="00EB066B">
        <w:trPr>
          <w:trHeight w:val="3000"/>
        </w:trPr>
        <w:tc>
          <w:tcPr>
            <w:tcW w:w="1951" w:type="dxa"/>
            <w:hideMark/>
          </w:tcPr>
          <w:p w:rsidR="00D144D6" w:rsidRPr="000D4FA1" w:rsidRDefault="00D144D6" w:rsidP="00C76C5B">
            <w:pPr>
              <w:spacing w:after="0" w:line="240" w:lineRule="auto"/>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Количественный состав преподавателей</w:t>
            </w:r>
          </w:p>
        </w:tc>
        <w:tc>
          <w:tcPr>
            <w:tcW w:w="3402" w:type="dxa"/>
            <w:hideMark/>
          </w:tcPr>
          <w:p w:rsidR="00D144D6" w:rsidRPr="000D4FA1" w:rsidRDefault="00432205" w:rsidP="00C76C5B">
            <w:pPr>
              <w:spacing w:after="0" w:line="240" w:lineRule="auto"/>
              <w:rPr>
                <w:rFonts w:ascii="Times New Roman" w:eastAsia="Times New Roman" w:hAnsi="Times New Roman" w:cs="Times New Roman"/>
                <w:sz w:val="24"/>
                <w:szCs w:val="24"/>
                <w:lang w:val="ru-RU"/>
              </w:rPr>
            </w:pPr>
            <w:hyperlink r:id="rId25" w:tooltip="Как поступить — Высший медицинский колледж Шымкента" w:history="1">
              <w:r w:rsidR="00D144D6" w:rsidRPr="000D4FA1">
                <w:rPr>
                  <w:rFonts w:ascii="Times New Roman" w:eastAsia="Times New Roman" w:hAnsi="Times New Roman" w:cs="Times New Roman"/>
                  <w:sz w:val="24"/>
                  <w:szCs w:val="24"/>
                  <w:lang w:val="ru-RU"/>
                </w:rPr>
                <w:t>На странице «Как поступить» указано, что в колледже работают 132 преподавателя, при этом «более 45 % – специалисты с высшей и первой категорией». Источник: официальный сайт ВМК, раздел «Как поступить абитуриенту». (</w:t>
              </w:r>
              <w:r w:rsidR="00D144D6" w:rsidRPr="000D4FA1">
                <w:rPr>
                  <w:rFonts w:ascii="Times New Roman" w:eastAsia="Times New Roman" w:hAnsi="Times New Roman" w:cs="Times New Roman"/>
                  <w:sz w:val="24"/>
                  <w:szCs w:val="24"/>
                </w:rPr>
                <w:t>shmk</w:t>
              </w:r>
              <w:r w:rsidR="00D144D6"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rPr>
                <w:t>edu</w:t>
              </w:r>
              <w:r w:rsidR="00D144D6"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rPr>
                <w:t>kz</w:t>
              </w:r>
              <w:r w:rsidR="00D144D6" w:rsidRPr="000D4FA1">
                <w:rPr>
                  <w:rFonts w:ascii="Times New Roman" w:eastAsia="Times New Roman" w:hAnsi="Times New Roman" w:cs="Times New Roman"/>
                  <w:sz w:val="24"/>
                  <w:szCs w:val="24"/>
                  <w:lang w:val="ru-RU"/>
                </w:rPr>
                <w:t>)</w:t>
              </w:r>
            </w:hyperlink>
          </w:p>
          <w:p w:rsidR="00492236" w:rsidRPr="000D4FA1" w:rsidRDefault="00492236" w:rsidP="00C76C5B">
            <w:pPr>
              <w:spacing w:after="0" w:line="240" w:lineRule="auto"/>
              <w:rPr>
                <w:rFonts w:ascii="Times New Roman" w:eastAsia="Times New Roman" w:hAnsi="Times New Roman" w:cs="Times New Roman"/>
                <w:sz w:val="24"/>
                <w:szCs w:val="24"/>
                <w:lang w:val="ru-RU"/>
              </w:rPr>
            </w:pPr>
          </w:p>
        </w:tc>
        <w:tc>
          <w:tcPr>
            <w:tcW w:w="4253" w:type="dxa"/>
            <w:hideMark/>
          </w:tcPr>
          <w:p w:rsidR="004770BF" w:rsidRDefault="00D144D6" w:rsidP="00C76C5B">
            <w:pPr>
              <w:spacing w:after="0" w:line="240" w:lineRule="auto"/>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Численность профессорско</w:t>
            </w:r>
            <w:r w:rsidR="007B767F" w:rsidRPr="000D4FA1">
              <w:rPr>
                <w:rFonts w:ascii="Times New Roman" w:eastAsia="Times New Roman" w:hAnsi="Times New Roman" w:cs="Times New Roman"/>
                <w:sz w:val="24"/>
                <w:szCs w:val="24"/>
                <w:lang w:val="ru-RU"/>
              </w:rPr>
              <w:t>–</w:t>
            </w:r>
            <w:r w:rsidRPr="000D4FA1">
              <w:rPr>
                <w:rFonts w:ascii="Times New Roman" w:eastAsia="Times New Roman" w:hAnsi="Times New Roman" w:cs="Times New Roman"/>
                <w:sz w:val="24"/>
                <w:szCs w:val="24"/>
                <w:lang w:val="ru-RU"/>
              </w:rPr>
              <w:t>преподавательского состава позволяет обеспечивать широкий спектр образовательных программ и поддерживать приемлемое соотношение «преподаватель–студент». Высокая доля педагогов с высшей и первой квалификационной категорией свидетельствует о значительном потенциале кадрó</w:t>
            </w:r>
            <w:r w:rsidRPr="000D4FA1">
              <w:rPr>
                <w:rFonts w:ascii="Times New Roman" w:eastAsia="Times New Roman" w:hAnsi="Times New Roman" w:cs="Times New Roman"/>
                <w:sz w:val="24"/>
                <w:szCs w:val="24"/>
              </w:rPr>
              <w:t>w</w:t>
            </w:r>
            <w:r w:rsidRPr="000D4FA1">
              <w:rPr>
                <w:rFonts w:ascii="Times New Roman" w:eastAsia="Times New Roman" w:hAnsi="Times New Roman" w:cs="Times New Roman"/>
                <w:sz w:val="24"/>
                <w:szCs w:val="24"/>
                <w:lang w:val="ru-RU"/>
              </w:rPr>
              <w:t xml:space="preserve"> и устойчивости образовательного процесса.</w:t>
            </w:r>
          </w:p>
          <w:p w:rsidR="00EB066B" w:rsidRDefault="00EB066B" w:rsidP="00C76C5B">
            <w:pPr>
              <w:spacing w:after="0" w:line="240" w:lineRule="auto"/>
              <w:rPr>
                <w:rFonts w:ascii="Times New Roman" w:eastAsia="Times New Roman" w:hAnsi="Times New Roman" w:cs="Times New Roman"/>
                <w:sz w:val="24"/>
                <w:szCs w:val="24"/>
                <w:lang w:val="ru-RU"/>
              </w:rPr>
            </w:pPr>
          </w:p>
          <w:p w:rsidR="00EB066B" w:rsidRDefault="00EB066B" w:rsidP="00C76C5B">
            <w:pPr>
              <w:spacing w:after="0" w:line="240" w:lineRule="auto"/>
              <w:rPr>
                <w:rFonts w:ascii="Times New Roman" w:eastAsia="Times New Roman" w:hAnsi="Times New Roman" w:cs="Times New Roman"/>
                <w:sz w:val="24"/>
                <w:szCs w:val="24"/>
                <w:lang w:val="ru-RU"/>
              </w:rPr>
            </w:pPr>
          </w:p>
          <w:p w:rsidR="00EB066B" w:rsidRPr="000D4FA1" w:rsidRDefault="00EB066B" w:rsidP="00C76C5B">
            <w:pPr>
              <w:spacing w:after="0" w:line="240" w:lineRule="auto"/>
              <w:rPr>
                <w:rFonts w:ascii="Times New Roman" w:eastAsia="Times New Roman" w:hAnsi="Times New Roman" w:cs="Times New Roman"/>
                <w:sz w:val="24"/>
                <w:szCs w:val="24"/>
                <w:lang w:val="ru-RU"/>
              </w:rPr>
            </w:pPr>
          </w:p>
        </w:tc>
      </w:tr>
      <w:tr w:rsidR="004770BF" w:rsidRPr="000D4FA1" w:rsidTr="00EB066B">
        <w:trPr>
          <w:trHeight w:val="273"/>
        </w:trPr>
        <w:tc>
          <w:tcPr>
            <w:tcW w:w="1951" w:type="dxa"/>
          </w:tcPr>
          <w:p w:rsidR="004770BF" w:rsidRPr="000D4FA1" w:rsidRDefault="004770BF" w:rsidP="004770BF">
            <w:pPr>
              <w:spacing w:after="0" w:line="240" w:lineRule="auto"/>
              <w:jc w:val="center"/>
              <w:rPr>
                <w:rFonts w:ascii="Times New Roman" w:eastAsia="Times New Roman" w:hAnsi="Times New Roman" w:cs="Times New Roman"/>
                <w:bCs/>
                <w:i/>
                <w:sz w:val="24"/>
                <w:szCs w:val="24"/>
                <w:lang w:val="ru-RU"/>
              </w:rPr>
            </w:pPr>
            <w:r w:rsidRPr="000D4FA1">
              <w:rPr>
                <w:rFonts w:ascii="Times New Roman" w:eastAsia="Times New Roman" w:hAnsi="Times New Roman" w:cs="Times New Roman"/>
                <w:bCs/>
                <w:i/>
                <w:sz w:val="24"/>
                <w:szCs w:val="24"/>
                <w:lang w:val="ru-RU"/>
              </w:rPr>
              <w:lastRenderedPageBreak/>
              <w:t>1</w:t>
            </w:r>
          </w:p>
        </w:tc>
        <w:tc>
          <w:tcPr>
            <w:tcW w:w="3402" w:type="dxa"/>
          </w:tcPr>
          <w:p w:rsidR="004770BF" w:rsidRPr="000D4FA1" w:rsidRDefault="004770BF" w:rsidP="004770BF">
            <w:pPr>
              <w:spacing w:after="0" w:line="240" w:lineRule="auto"/>
              <w:jc w:val="center"/>
              <w:rPr>
                <w:rFonts w:ascii="Times New Roman" w:hAnsi="Times New Roman" w:cs="Times New Roman"/>
                <w:i/>
                <w:lang w:val="ru-RU"/>
              </w:rPr>
            </w:pPr>
            <w:r w:rsidRPr="000D4FA1">
              <w:rPr>
                <w:rFonts w:ascii="Times New Roman" w:hAnsi="Times New Roman" w:cs="Times New Roman"/>
                <w:i/>
                <w:lang w:val="ru-RU"/>
              </w:rPr>
              <w:t>2</w:t>
            </w:r>
          </w:p>
        </w:tc>
        <w:tc>
          <w:tcPr>
            <w:tcW w:w="4253" w:type="dxa"/>
          </w:tcPr>
          <w:p w:rsidR="004770BF" w:rsidRPr="000D4FA1" w:rsidRDefault="004770BF" w:rsidP="004770BF">
            <w:pPr>
              <w:spacing w:after="0" w:line="240" w:lineRule="auto"/>
              <w:jc w:val="center"/>
              <w:rPr>
                <w:rFonts w:ascii="Times New Roman" w:eastAsia="Times New Roman" w:hAnsi="Times New Roman" w:cs="Times New Roman"/>
                <w:i/>
                <w:sz w:val="24"/>
                <w:szCs w:val="24"/>
                <w:lang w:val="ru-RU"/>
              </w:rPr>
            </w:pPr>
            <w:r w:rsidRPr="000D4FA1">
              <w:rPr>
                <w:rFonts w:ascii="Times New Roman" w:eastAsia="Times New Roman" w:hAnsi="Times New Roman" w:cs="Times New Roman"/>
                <w:i/>
                <w:sz w:val="24"/>
                <w:szCs w:val="24"/>
                <w:lang w:val="ru-RU"/>
              </w:rPr>
              <w:t>3</w:t>
            </w:r>
          </w:p>
        </w:tc>
      </w:tr>
      <w:tr w:rsidR="00D144D6" w:rsidRPr="0036668B" w:rsidTr="00EB066B">
        <w:trPr>
          <w:trHeight w:val="3000"/>
        </w:trPr>
        <w:tc>
          <w:tcPr>
            <w:tcW w:w="1951" w:type="dxa"/>
            <w:hideMark/>
          </w:tcPr>
          <w:p w:rsidR="00D144D6" w:rsidRPr="000D4FA1" w:rsidRDefault="00D144D6" w:rsidP="00C76C5B">
            <w:pPr>
              <w:spacing w:after="0" w:line="240" w:lineRule="auto"/>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Административный и вспомогательный персонал</w:t>
            </w:r>
          </w:p>
        </w:tc>
        <w:tc>
          <w:tcPr>
            <w:tcW w:w="3402" w:type="dxa"/>
            <w:hideMark/>
          </w:tcPr>
          <w:p w:rsidR="00D144D6" w:rsidRDefault="00432205" w:rsidP="00C76C5B">
            <w:pPr>
              <w:spacing w:after="0" w:line="240" w:lineRule="auto"/>
              <w:rPr>
                <w:lang w:val="ru-RU"/>
              </w:rPr>
            </w:pPr>
            <w:hyperlink r:id="rId26" w:tooltip="Штатное расписание — Высший медицинский колледж Шымкента" w:history="1">
              <w:r w:rsidR="00D144D6" w:rsidRPr="000D4FA1">
                <w:rPr>
                  <w:rFonts w:ascii="Times New Roman" w:eastAsia="Times New Roman" w:hAnsi="Times New Roman" w:cs="Times New Roman"/>
                  <w:sz w:val="24"/>
                  <w:szCs w:val="24"/>
                  <w:lang w:val="ru-RU"/>
                </w:rPr>
                <w:t xml:space="preserve">В открытом доступе точное количество административных сотрудников не публикуется. На странице «Штатное расписание» перечислены структурные единицы (учебная часть, методический кабинет, отделение дополнительного образования, центр цифровизации, центр симуляции и профессиональных компетенций и др.), но без числовых показателей. </w:t>
              </w:r>
              <w:r w:rsidR="00D144D6" w:rsidRPr="000D4FA1">
                <w:rPr>
                  <w:rFonts w:ascii="Times New Roman" w:eastAsia="Times New Roman" w:hAnsi="Times New Roman" w:cs="Times New Roman"/>
                  <w:sz w:val="24"/>
                  <w:szCs w:val="24"/>
                </w:rPr>
                <w:t>(shmk.edu.kz)</w:t>
              </w:r>
            </w:hyperlink>
          </w:p>
          <w:p w:rsidR="00EB066B" w:rsidRPr="00EB066B" w:rsidRDefault="00EB066B" w:rsidP="00C76C5B">
            <w:pPr>
              <w:spacing w:after="0" w:line="240" w:lineRule="auto"/>
              <w:rPr>
                <w:rFonts w:ascii="Times New Roman" w:eastAsia="Times New Roman" w:hAnsi="Times New Roman" w:cs="Times New Roman"/>
                <w:sz w:val="24"/>
                <w:szCs w:val="24"/>
                <w:lang w:val="ru-RU"/>
              </w:rPr>
            </w:pPr>
          </w:p>
        </w:tc>
        <w:tc>
          <w:tcPr>
            <w:tcW w:w="4253" w:type="dxa"/>
            <w:hideMark/>
          </w:tcPr>
          <w:p w:rsidR="00D144D6" w:rsidRPr="000D4FA1" w:rsidRDefault="00D144D6" w:rsidP="00C76C5B">
            <w:pPr>
              <w:spacing w:after="0" w:line="240" w:lineRule="auto"/>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Наличие разветвлённой административно</w:t>
            </w:r>
            <w:r w:rsidR="007B767F" w:rsidRPr="000D4FA1">
              <w:rPr>
                <w:rFonts w:ascii="Times New Roman" w:eastAsia="Times New Roman" w:hAnsi="Times New Roman" w:cs="Times New Roman"/>
                <w:sz w:val="24"/>
                <w:szCs w:val="24"/>
                <w:lang w:val="ru-RU"/>
              </w:rPr>
              <w:t>–</w:t>
            </w:r>
            <w:r w:rsidRPr="000D4FA1">
              <w:rPr>
                <w:rFonts w:ascii="Times New Roman" w:eastAsia="Times New Roman" w:hAnsi="Times New Roman" w:cs="Times New Roman"/>
                <w:sz w:val="24"/>
                <w:szCs w:val="24"/>
                <w:lang w:val="ru-RU"/>
              </w:rPr>
              <w:t>управленческой структуры указывает на институционализированную систему поддержки учебного процесса, методической работы и цифровой трансформации. Однако отсутствие публичных данных по численности усложняет количественную оценку кадрового потенциала непедагогического персонала.</w:t>
            </w:r>
          </w:p>
        </w:tc>
      </w:tr>
      <w:tr w:rsidR="00D144D6" w:rsidRPr="0036668B" w:rsidTr="00EB066B">
        <w:trPr>
          <w:trHeight w:val="3600"/>
        </w:trPr>
        <w:tc>
          <w:tcPr>
            <w:tcW w:w="1951" w:type="dxa"/>
            <w:hideMark/>
          </w:tcPr>
          <w:p w:rsidR="00D144D6" w:rsidRPr="000D4FA1" w:rsidRDefault="00D144D6" w:rsidP="00C76C5B">
            <w:pPr>
              <w:spacing w:after="0" w:line="240" w:lineRule="auto"/>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Квалификационная структура ППС</w:t>
            </w:r>
          </w:p>
        </w:tc>
        <w:tc>
          <w:tcPr>
            <w:tcW w:w="3402" w:type="dxa"/>
            <w:hideMark/>
          </w:tcPr>
          <w:p w:rsidR="00D144D6" w:rsidRPr="000D4FA1" w:rsidRDefault="00432205" w:rsidP="00C76C5B">
            <w:pPr>
              <w:spacing w:after="0" w:line="240" w:lineRule="auto"/>
              <w:rPr>
                <w:rFonts w:ascii="Times New Roman" w:eastAsia="Times New Roman" w:hAnsi="Times New Roman" w:cs="Times New Roman"/>
                <w:sz w:val="24"/>
                <w:szCs w:val="24"/>
              </w:rPr>
            </w:pPr>
            <w:hyperlink r:id="rId27" w:tooltip="Как поступить — Высший медицинский колледж Шымкента" w:history="1">
              <w:r w:rsidR="00D144D6" w:rsidRPr="000D4FA1">
                <w:rPr>
                  <w:rFonts w:ascii="Times New Roman" w:eastAsia="Times New Roman" w:hAnsi="Times New Roman" w:cs="Times New Roman"/>
                  <w:sz w:val="24"/>
                  <w:szCs w:val="24"/>
                  <w:lang w:val="ru-RU"/>
                </w:rPr>
                <w:t xml:space="preserve">Официально отмечено, что «более 45 %» преподавателей имеют высшую и первую квалификационные категории. Иные категории (вторая, без категории, совместители) в открытом доступе не детализированы. </w:t>
              </w:r>
              <w:r w:rsidR="00D144D6" w:rsidRPr="000D4FA1">
                <w:rPr>
                  <w:rFonts w:ascii="Times New Roman" w:eastAsia="Times New Roman" w:hAnsi="Times New Roman" w:cs="Times New Roman"/>
                  <w:sz w:val="24"/>
                  <w:szCs w:val="24"/>
                </w:rPr>
                <w:t>(shmk.edu.kz)</w:t>
              </w:r>
            </w:hyperlink>
          </w:p>
        </w:tc>
        <w:tc>
          <w:tcPr>
            <w:tcW w:w="4253" w:type="dxa"/>
            <w:hideMark/>
          </w:tcPr>
          <w:p w:rsidR="00D144D6" w:rsidRDefault="00D144D6" w:rsidP="00C76C5B">
            <w:pPr>
              <w:spacing w:after="0" w:line="240" w:lineRule="auto"/>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Высокая удельная доля педагогов с высшей и первой категорией характеризует кадровый состав как профессионально зрелый и методически подготовленный. Это создает предпосылки для высокого качества образовательных услуг и формирования у студентов устойчивых профессиональных компетенций. В диссертации можно акцентировать, что именно квалификационная структура выступает одним из ключевых индикаторов человеческого потенциала колледжа.</w:t>
            </w:r>
          </w:p>
          <w:p w:rsidR="00EB066B" w:rsidRPr="000D4FA1" w:rsidRDefault="00EB066B" w:rsidP="00C76C5B">
            <w:pPr>
              <w:spacing w:after="0" w:line="240" w:lineRule="auto"/>
              <w:rPr>
                <w:rFonts w:ascii="Times New Roman" w:eastAsia="Times New Roman" w:hAnsi="Times New Roman" w:cs="Times New Roman"/>
                <w:sz w:val="24"/>
                <w:szCs w:val="24"/>
                <w:lang w:val="ru-RU"/>
              </w:rPr>
            </w:pPr>
          </w:p>
        </w:tc>
      </w:tr>
      <w:tr w:rsidR="00D144D6" w:rsidRPr="0036668B" w:rsidTr="00EB066B">
        <w:trPr>
          <w:trHeight w:val="70"/>
        </w:trPr>
        <w:tc>
          <w:tcPr>
            <w:tcW w:w="9606" w:type="dxa"/>
            <w:gridSpan w:val="3"/>
          </w:tcPr>
          <w:p w:rsidR="00D144D6" w:rsidRPr="000D4FA1" w:rsidRDefault="0068338D" w:rsidP="00C76C5B">
            <w:pPr>
              <w:spacing w:after="0" w:line="240" w:lineRule="auto"/>
              <w:rPr>
                <w:rFonts w:ascii="Times New Roman" w:eastAsia="Times New Roman" w:hAnsi="Times New Roman" w:cs="Times New Roman"/>
                <w:sz w:val="24"/>
                <w:szCs w:val="24"/>
                <w:lang w:val="ru-RU"/>
              </w:rPr>
            </w:pPr>
            <w:r w:rsidRPr="000D4FA1">
              <w:rPr>
                <w:rFonts w:ascii="Times New Roman" w:hAnsi="Times New Roman" w:cs="Times New Roman"/>
                <w:sz w:val="24"/>
                <w:szCs w:val="24"/>
                <w:lang w:val="ru-RU"/>
              </w:rPr>
              <w:t xml:space="preserve">              </w:t>
            </w:r>
            <w:r w:rsidR="00D144D6" w:rsidRPr="000D4FA1">
              <w:rPr>
                <w:rFonts w:ascii="Times New Roman" w:hAnsi="Times New Roman" w:cs="Times New Roman"/>
                <w:sz w:val="24"/>
                <w:szCs w:val="24"/>
                <w:lang w:val="ru-RU"/>
              </w:rPr>
              <w:t>Примечание</w:t>
            </w:r>
            <w:r w:rsidRPr="000D4FA1">
              <w:rPr>
                <w:rFonts w:ascii="Times New Roman" w:hAnsi="Times New Roman" w:cs="Times New Roman"/>
                <w:sz w:val="24"/>
                <w:szCs w:val="24"/>
                <w:lang w:val="ru-RU"/>
              </w:rPr>
              <w:t xml:space="preserve"> –</w:t>
            </w:r>
            <w:r w:rsidR="00D144D6" w:rsidRPr="000D4FA1">
              <w:rPr>
                <w:rFonts w:ascii="Times New Roman" w:hAnsi="Times New Roman" w:cs="Times New Roman"/>
                <w:sz w:val="24"/>
                <w:szCs w:val="24"/>
                <w:lang w:val="ru-RU"/>
              </w:rPr>
              <w:t xml:space="preserve"> составлен</w:t>
            </w:r>
            <w:r w:rsidRPr="000D4FA1">
              <w:rPr>
                <w:rFonts w:ascii="Times New Roman" w:hAnsi="Times New Roman" w:cs="Times New Roman"/>
                <w:sz w:val="24"/>
                <w:szCs w:val="24"/>
                <w:lang w:val="ru-RU"/>
              </w:rPr>
              <w:t>о</w:t>
            </w:r>
            <w:r w:rsidR="00D144D6" w:rsidRPr="000D4FA1">
              <w:rPr>
                <w:rFonts w:ascii="Times New Roman" w:hAnsi="Times New Roman" w:cs="Times New Roman"/>
                <w:sz w:val="24"/>
                <w:szCs w:val="24"/>
                <w:lang w:val="ru-RU"/>
              </w:rPr>
              <w:t xml:space="preserve"> автором на основе анализа официального сайта ГКП на ПХВ «Высший медицинский колледж» УЗ </w:t>
            </w:r>
            <w:proofErr w:type="gramStart"/>
            <w:r w:rsidR="00D144D6" w:rsidRPr="000D4FA1">
              <w:rPr>
                <w:rFonts w:ascii="Times New Roman" w:hAnsi="Times New Roman" w:cs="Times New Roman"/>
                <w:sz w:val="24"/>
                <w:szCs w:val="24"/>
                <w:lang w:val="ru-RU"/>
              </w:rPr>
              <w:t>г</w:t>
            </w:r>
            <w:proofErr w:type="gramEnd"/>
            <w:r w:rsidR="00D144D6" w:rsidRPr="000D4FA1">
              <w:rPr>
                <w:rFonts w:ascii="Times New Roman" w:hAnsi="Times New Roman" w:cs="Times New Roman"/>
                <w:sz w:val="24"/>
                <w:szCs w:val="24"/>
                <w:lang w:val="ru-RU"/>
              </w:rPr>
              <w:t>. Шымкент и доступных портфолио преподавателей</w:t>
            </w:r>
          </w:p>
        </w:tc>
      </w:tr>
    </w:tbl>
    <w:p w:rsidR="00970AB1" w:rsidRPr="000D4FA1" w:rsidRDefault="00970AB1" w:rsidP="00D144D6">
      <w:pPr>
        <w:pStyle w:val="a4"/>
        <w:spacing w:before="0" w:beforeAutospacing="0" w:after="0" w:afterAutospacing="0"/>
        <w:ind w:firstLine="720"/>
        <w:jc w:val="both"/>
        <w:rPr>
          <w:sz w:val="28"/>
          <w:szCs w:val="28"/>
        </w:rPr>
      </w:pPr>
    </w:p>
    <w:p w:rsidR="00437817" w:rsidRDefault="00437817" w:rsidP="00437817">
      <w:pPr>
        <w:pStyle w:val="a4"/>
        <w:spacing w:before="0" w:beforeAutospacing="0" w:after="0" w:afterAutospacing="0"/>
        <w:ind w:firstLine="720"/>
        <w:jc w:val="both"/>
        <w:rPr>
          <w:sz w:val="28"/>
          <w:szCs w:val="28"/>
        </w:rPr>
      </w:pPr>
      <w:r w:rsidRPr="000D4FA1">
        <w:rPr>
          <w:sz w:val="28"/>
          <w:szCs w:val="28"/>
        </w:rPr>
        <w:t>Анализ представленной таблицы 15 показывает, что кадровый потенциал Шымкентского высшего медицинского колледжа обладает рядом устойчивых характеристик, обеспечивающих стабильность образовательного процесса и высокое качество подготовки специалистов. Одним из ключевых показателей является численность преподавательского состава–132 педагога, что позволяет поддерживать оптимальное соотношение между количеством обучающихся и преподавателей. Значимым является и тот факт, что более 45 % ППС имеют высшую и первую квалификационные категории, что свидетельствует о высоком уровне профессиональной зрелости сотрудников и сформированной методической школе внутри организации.</w:t>
      </w:r>
    </w:p>
    <w:p w:rsidR="00437817" w:rsidRPr="000D4FA1" w:rsidRDefault="00437817" w:rsidP="00437817">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 xml:space="preserve">Таблица </w:t>
      </w:r>
      <w:r w:rsidR="00B80F8B" w:rsidRPr="000D4FA1">
        <w:rPr>
          <w:sz w:val="28"/>
          <w:szCs w:val="28"/>
        </w:rPr>
        <w:t>15</w:t>
      </w:r>
      <w:r w:rsidR="0068338D" w:rsidRPr="000D4FA1">
        <w:rPr>
          <w:sz w:val="28"/>
          <w:szCs w:val="28"/>
        </w:rPr>
        <w:t xml:space="preserve"> –</w:t>
      </w:r>
      <w:r w:rsidR="00970AB1" w:rsidRPr="000D4FA1">
        <w:rPr>
          <w:sz w:val="28"/>
          <w:szCs w:val="28"/>
          <w:lang w:val="kk-KZ"/>
        </w:rPr>
        <w:t xml:space="preserve"> </w:t>
      </w:r>
      <w:r w:rsidRPr="000D4FA1">
        <w:rPr>
          <w:sz w:val="28"/>
          <w:szCs w:val="28"/>
        </w:rPr>
        <w:t>Характеристика кадрового состава Шымкентского высшего медицинского колледжа</w:t>
      </w:r>
      <w:r w:rsidR="00970AB1" w:rsidRPr="000D4FA1">
        <w:rPr>
          <w:sz w:val="28"/>
          <w:szCs w:val="28"/>
          <w:lang w:val="kk-KZ"/>
        </w:rPr>
        <w:t xml:space="preserve"> </w:t>
      </w:r>
      <w:r w:rsidRPr="000D4FA1">
        <w:rPr>
          <w:sz w:val="28"/>
          <w:szCs w:val="28"/>
        </w:rPr>
        <w:t>(</w:t>
      </w:r>
      <w:r w:rsidR="00970AB1" w:rsidRPr="000D4FA1">
        <w:rPr>
          <w:sz w:val="28"/>
          <w:szCs w:val="28"/>
          <w:lang w:val="kk-KZ"/>
        </w:rPr>
        <w:t>п</w:t>
      </w:r>
      <w:r w:rsidRPr="000D4FA1">
        <w:rPr>
          <w:sz w:val="28"/>
          <w:szCs w:val="28"/>
        </w:rPr>
        <w:t>родолжение)</w:t>
      </w:r>
    </w:p>
    <w:p w:rsidR="00FA259F" w:rsidRPr="000D4FA1" w:rsidRDefault="00FA259F" w:rsidP="00D144D6">
      <w:pPr>
        <w:pStyle w:val="a4"/>
        <w:spacing w:before="0" w:beforeAutospacing="0" w:after="0" w:afterAutospacing="0"/>
        <w:ind w:firstLine="720"/>
        <w:jc w:val="both"/>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402"/>
        <w:gridCol w:w="4678"/>
      </w:tblGrid>
      <w:tr w:rsidR="00D144D6" w:rsidRPr="0036668B" w:rsidTr="004770BF">
        <w:trPr>
          <w:trHeight w:val="273"/>
        </w:trPr>
        <w:tc>
          <w:tcPr>
            <w:tcW w:w="1384" w:type="dxa"/>
            <w:hideMark/>
          </w:tcPr>
          <w:p w:rsidR="00D144D6" w:rsidRPr="000D4FA1" w:rsidRDefault="00D144D6" w:rsidP="00C76C5B">
            <w:pPr>
              <w:spacing w:after="0" w:line="240" w:lineRule="auto"/>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Возрастная структура</w:t>
            </w:r>
          </w:p>
        </w:tc>
        <w:tc>
          <w:tcPr>
            <w:tcW w:w="3402" w:type="dxa"/>
            <w:hideMark/>
          </w:tcPr>
          <w:p w:rsidR="00D144D6" w:rsidRPr="000D4FA1" w:rsidRDefault="00432205" w:rsidP="00492236">
            <w:pPr>
              <w:spacing w:after="0" w:line="240" w:lineRule="auto"/>
              <w:jc w:val="both"/>
              <w:rPr>
                <w:rFonts w:ascii="Times New Roman" w:eastAsia="Times New Roman" w:hAnsi="Times New Roman" w:cs="Times New Roman"/>
                <w:sz w:val="24"/>
                <w:szCs w:val="24"/>
              </w:rPr>
            </w:pPr>
            <w:hyperlink r:id="rId28" w:tooltip="Торжественное мероприятие, посвященное Дню ..." w:history="1">
              <w:r w:rsidR="00D144D6" w:rsidRPr="000D4FA1">
                <w:rPr>
                  <w:rFonts w:ascii="Times New Roman" w:eastAsia="Times New Roman" w:hAnsi="Times New Roman" w:cs="Times New Roman"/>
                  <w:sz w:val="24"/>
                  <w:szCs w:val="24"/>
                  <w:lang w:val="ru-RU"/>
                </w:rPr>
                <w:t xml:space="preserve">Конкретные возрастные группы и средний возраст ППС на сайте не приводятся. В новостных материалах регулярно упоминаются как «ветераны колледжа», так и молодые преподаватели, участвующие в мероприятиях и конкурсах. </w:t>
              </w:r>
              <w:r w:rsidR="00D144D6" w:rsidRPr="000D4FA1">
                <w:rPr>
                  <w:rFonts w:ascii="Times New Roman" w:eastAsia="Times New Roman" w:hAnsi="Times New Roman" w:cs="Times New Roman"/>
                  <w:sz w:val="24"/>
                  <w:szCs w:val="24"/>
                </w:rPr>
                <w:t>(shmk.kz)</w:t>
              </w:r>
            </w:hyperlink>
          </w:p>
        </w:tc>
        <w:tc>
          <w:tcPr>
            <w:tcW w:w="4678" w:type="dxa"/>
            <w:hideMark/>
          </w:tcPr>
          <w:p w:rsidR="00D144D6" w:rsidRPr="000D4FA1" w:rsidRDefault="00D144D6" w:rsidP="00492236">
            <w:pPr>
              <w:spacing w:after="0" w:line="240" w:lineRule="auto"/>
              <w:jc w:val="both"/>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Косвенно можно говорить о сочетании опытного и молодого кадрового ядра. Наличие ветеранов обеспечивает преемственность традиций и методической школы, а привлечение молодых специалистов – обновление компетенций и адаптацию к современным цифровым и клиническим практикам. В тексте рекомендуется подчеркнуть смешанный возрастной профиль как фактор устойчивости организации.</w:t>
            </w:r>
          </w:p>
        </w:tc>
      </w:tr>
      <w:tr w:rsidR="00D144D6" w:rsidRPr="0036668B" w:rsidTr="004770BF">
        <w:trPr>
          <w:trHeight w:val="3000"/>
        </w:trPr>
        <w:tc>
          <w:tcPr>
            <w:tcW w:w="1384" w:type="dxa"/>
            <w:hideMark/>
          </w:tcPr>
          <w:p w:rsidR="00D144D6" w:rsidRPr="000D4FA1" w:rsidRDefault="00D144D6" w:rsidP="00C76C5B">
            <w:pPr>
              <w:spacing w:after="0" w:line="240" w:lineRule="auto"/>
              <w:rPr>
                <w:rFonts w:ascii="Times New Roman" w:eastAsia="Times New Roman" w:hAnsi="Times New Roman" w:cs="Times New Roman"/>
                <w:bCs/>
                <w:sz w:val="24"/>
                <w:szCs w:val="24"/>
              </w:rPr>
            </w:pPr>
            <w:r w:rsidRPr="000D4FA1">
              <w:rPr>
                <w:rFonts w:ascii="Times New Roman" w:eastAsia="Times New Roman" w:hAnsi="Times New Roman" w:cs="Times New Roman"/>
                <w:bCs/>
                <w:sz w:val="24"/>
                <w:szCs w:val="24"/>
              </w:rPr>
              <w:t>Стаж педагогической деятельности</w:t>
            </w:r>
          </w:p>
        </w:tc>
        <w:tc>
          <w:tcPr>
            <w:tcW w:w="3402" w:type="dxa"/>
            <w:hideMark/>
          </w:tcPr>
          <w:p w:rsidR="00D144D6" w:rsidRPr="000D4FA1" w:rsidRDefault="00432205" w:rsidP="00492236">
            <w:pPr>
              <w:spacing w:after="0" w:line="240" w:lineRule="auto"/>
              <w:jc w:val="both"/>
              <w:rPr>
                <w:rFonts w:ascii="Times New Roman" w:eastAsia="Times New Roman" w:hAnsi="Times New Roman" w:cs="Times New Roman"/>
                <w:sz w:val="24"/>
                <w:szCs w:val="24"/>
              </w:rPr>
            </w:pPr>
            <w:hyperlink r:id="rId29" w:tooltip="Портфолио Батырходжаева Мадина Маратовна - SKMA" w:history="1">
              <w:r w:rsidR="00D144D6" w:rsidRPr="000D4FA1">
                <w:rPr>
                  <w:rFonts w:ascii="Times New Roman" w:eastAsia="Times New Roman" w:hAnsi="Times New Roman" w:cs="Times New Roman"/>
                  <w:sz w:val="24"/>
                  <w:szCs w:val="24"/>
                  <w:lang w:val="ru-RU"/>
                </w:rPr>
                <w:t>В открытом доступе отсутствует сводный показатель среднего стажа, однако отдельные портфолио преподавателей (например, 19 лет научно</w:t>
              </w:r>
              <w:r w:rsidR="007B767F"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lang w:val="ru-RU"/>
                </w:rPr>
                <w:t xml:space="preserve">педагогической работы у отдельных сотрудников) демонстрируют наличие значительной группы педагогов с длительным стажем. </w:t>
              </w:r>
              <w:r w:rsidR="00D144D6" w:rsidRPr="000D4FA1">
                <w:rPr>
                  <w:rFonts w:ascii="Times New Roman" w:eastAsia="Times New Roman" w:hAnsi="Times New Roman" w:cs="Times New Roman"/>
                  <w:sz w:val="24"/>
                  <w:szCs w:val="24"/>
                </w:rPr>
                <w:t>(new.skma.edu.kz)</w:t>
              </w:r>
            </w:hyperlink>
          </w:p>
        </w:tc>
        <w:tc>
          <w:tcPr>
            <w:tcW w:w="4678" w:type="dxa"/>
            <w:hideMark/>
          </w:tcPr>
          <w:p w:rsidR="00D144D6" w:rsidRPr="000D4FA1" w:rsidRDefault="00D144D6" w:rsidP="00492236">
            <w:pPr>
              <w:spacing w:after="0" w:line="240" w:lineRule="auto"/>
              <w:jc w:val="both"/>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Можно сделать вывод о преобладании опытных специалистов, имеющих многолетнюю педагогическую и клиническую практику. Это положительно влияет на качество реализации образовательных программ и на эффективность наставничества для молодых преподавателей и студентов. В диссертации важно аккуратно указать, что вывод основан на анализе выборочных портфолио, а не на полной статистике.</w:t>
            </w:r>
          </w:p>
        </w:tc>
      </w:tr>
      <w:tr w:rsidR="00D144D6" w:rsidRPr="0036668B" w:rsidTr="004770BF">
        <w:trPr>
          <w:trHeight w:val="2700"/>
        </w:trPr>
        <w:tc>
          <w:tcPr>
            <w:tcW w:w="1384" w:type="dxa"/>
            <w:hideMark/>
          </w:tcPr>
          <w:p w:rsidR="00D144D6" w:rsidRPr="000D4FA1" w:rsidRDefault="00D144D6" w:rsidP="00C76C5B">
            <w:pPr>
              <w:spacing w:after="0" w:line="240" w:lineRule="auto"/>
              <w:rPr>
                <w:rFonts w:ascii="Times New Roman" w:eastAsia="Times New Roman" w:hAnsi="Times New Roman" w:cs="Times New Roman"/>
                <w:bCs/>
                <w:sz w:val="24"/>
                <w:szCs w:val="24"/>
                <w:lang w:val="ru-RU"/>
              </w:rPr>
            </w:pPr>
            <w:r w:rsidRPr="000D4FA1">
              <w:rPr>
                <w:rFonts w:ascii="Times New Roman" w:eastAsia="Times New Roman" w:hAnsi="Times New Roman" w:cs="Times New Roman"/>
                <w:bCs/>
                <w:sz w:val="24"/>
                <w:szCs w:val="24"/>
                <w:lang w:val="ru-RU"/>
              </w:rPr>
              <w:t>Повышение квалификации и непрерывное профессиональное развитие</w:t>
            </w:r>
          </w:p>
        </w:tc>
        <w:tc>
          <w:tcPr>
            <w:tcW w:w="3402" w:type="dxa"/>
            <w:hideMark/>
          </w:tcPr>
          <w:p w:rsidR="00D144D6" w:rsidRPr="000D4FA1" w:rsidRDefault="00432205" w:rsidP="00492236">
            <w:pPr>
              <w:spacing w:after="0" w:line="240" w:lineRule="auto"/>
              <w:jc w:val="both"/>
              <w:rPr>
                <w:rFonts w:ascii="Times New Roman" w:eastAsia="Times New Roman" w:hAnsi="Times New Roman" w:cs="Times New Roman"/>
                <w:sz w:val="24"/>
                <w:szCs w:val="24"/>
                <w:lang w:val="ru-RU"/>
              </w:rPr>
            </w:pPr>
            <w:hyperlink r:id="rId30" w:tooltip="Штатное расписание — Высший медицинский колледж Шымкента" w:history="1">
              <w:r w:rsidR="00D144D6" w:rsidRPr="000D4FA1">
                <w:rPr>
                  <w:rFonts w:ascii="Times New Roman" w:eastAsia="Times New Roman" w:hAnsi="Times New Roman" w:cs="Times New Roman"/>
                  <w:sz w:val="24"/>
                  <w:szCs w:val="24"/>
                  <w:lang w:val="ru-RU"/>
                </w:rPr>
                <w:t>На сайте предусмотрен отдельный раздел «Повышение квалификации» и штатные единицы по направлению «Повышение квалификации и переподготовки кадров», что отражено в структуре и штатном расписании колледжа. (</w:t>
              </w:r>
              <w:r w:rsidR="00D144D6" w:rsidRPr="000D4FA1">
                <w:rPr>
                  <w:rFonts w:ascii="Times New Roman" w:eastAsia="Times New Roman" w:hAnsi="Times New Roman" w:cs="Times New Roman"/>
                  <w:sz w:val="24"/>
                  <w:szCs w:val="24"/>
                </w:rPr>
                <w:t>shmk</w:t>
              </w:r>
              <w:r w:rsidR="00D144D6"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rPr>
                <w:t>edu</w:t>
              </w:r>
              <w:r w:rsidR="00D144D6"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rPr>
                <w:t>kz</w:t>
              </w:r>
              <w:r w:rsidR="00D144D6" w:rsidRPr="000D4FA1">
                <w:rPr>
                  <w:rFonts w:ascii="Times New Roman" w:eastAsia="Times New Roman" w:hAnsi="Times New Roman" w:cs="Times New Roman"/>
                  <w:sz w:val="24"/>
                  <w:szCs w:val="24"/>
                  <w:lang w:val="ru-RU"/>
                </w:rPr>
                <w:t>)</w:t>
              </w:r>
            </w:hyperlink>
          </w:p>
        </w:tc>
        <w:tc>
          <w:tcPr>
            <w:tcW w:w="4678" w:type="dxa"/>
            <w:hideMark/>
          </w:tcPr>
          <w:p w:rsidR="00D144D6" w:rsidRPr="000D4FA1" w:rsidRDefault="00D144D6" w:rsidP="00492236">
            <w:pPr>
              <w:spacing w:after="0" w:line="240" w:lineRule="auto"/>
              <w:jc w:val="both"/>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Наличие специализированных подразделений по повышению квалификации подтверждает системный подход к непрерывному профессиональному развитию ППС. Это позволяет регулярно обновлять знания преподавателей в области медицины, педагогики и цифровых технологий, что прямо влияет на качество человеческого потенциала организации.</w:t>
            </w:r>
          </w:p>
        </w:tc>
      </w:tr>
      <w:tr w:rsidR="00D144D6" w:rsidRPr="0036668B" w:rsidTr="004770BF">
        <w:trPr>
          <w:trHeight w:val="3000"/>
        </w:trPr>
        <w:tc>
          <w:tcPr>
            <w:tcW w:w="1384" w:type="dxa"/>
            <w:hideMark/>
          </w:tcPr>
          <w:p w:rsidR="00D144D6" w:rsidRPr="000D4FA1" w:rsidRDefault="00D144D6" w:rsidP="00C76C5B">
            <w:pPr>
              <w:spacing w:after="0" w:line="240" w:lineRule="auto"/>
              <w:rPr>
                <w:rFonts w:ascii="Times New Roman" w:eastAsia="Times New Roman" w:hAnsi="Times New Roman" w:cs="Times New Roman"/>
                <w:bCs/>
                <w:sz w:val="24"/>
                <w:szCs w:val="24"/>
                <w:lang w:val="ru-RU"/>
              </w:rPr>
            </w:pPr>
            <w:r w:rsidRPr="000D4FA1">
              <w:rPr>
                <w:rFonts w:ascii="Times New Roman" w:eastAsia="Times New Roman" w:hAnsi="Times New Roman" w:cs="Times New Roman"/>
                <w:bCs/>
                <w:sz w:val="24"/>
                <w:szCs w:val="24"/>
                <w:lang w:val="ru-RU"/>
              </w:rPr>
              <w:t>Корпоративные компетенции (цифровая грамотность, клинический опыт, менеджмент)</w:t>
            </w:r>
          </w:p>
        </w:tc>
        <w:tc>
          <w:tcPr>
            <w:tcW w:w="3402" w:type="dxa"/>
            <w:hideMark/>
          </w:tcPr>
          <w:p w:rsidR="00D144D6" w:rsidRPr="000D4FA1" w:rsidRDefault="00432205" w:rsidP="00492236">
            <w:pPr>
              <w:spacing w:after="0" w:line="240" w:lineRule="auto"/>
              <w:jc w:val="both"/>
              <w:rPr>
                <w:rFonts w:ascii="Times New Roman" w:eastAsia="Times New Roman" w:hAnsi="Times New Roman" w:cs="Times New Roman"/>
                <w:sz w:val="24"/>
                <w:szCs w:val="24"/>
              </w:rPr>
            </w:pPr>
            <w:hyperlink r:id="rId31" w:tooltip="Как поступить — Высший медицинский колледж Шымкента" w:history="1">
              <w:r w:rsidR="00D144D6" w:rsidRPr="000D4FA1">
                <w:rPr>
                  <w:rFonts w:ascii="Times New Roman" w:eastAsia="Times New Roman" w:hAnsi="Times New Roman" w:cs="Times New Roman"/>
                  <w:sz w:val="24"/>
                  <w:szCs w:val="24"/>
                  <w:lang w:val="ru-RU"/>
                </w:rPr>
                <w:t>В структуре колледжа выделены «Центр развития цифровизации учебного процесса» и «Центр симуляции и профессиональных компетенций», активно используются электронные ресурсы, симуляционные кабинеты и 3</w:t>
              </w:r>
              <w:r w:rsidR="00D144D6" w:rsidRPr="000D4FA1">
                <w:rPr>
                  <w:rFonts w:ascii="Times New Roman" w:eastAsia="Times New Roman" w:hAnsi="Times New Roman" w:cs="Times New Roman"/>
                  <w:sz w:val="24"/>
                  <w:szCs w:val="24"/>
                </w:rPr>
                <w:t>D</w:t>
              </w:r>
              <w:r w:rsidR="007B767F" w:rsidRPr="000D4FA1">
                <w:rPr>
                  <w:rFonts w:ascii="Times New Roman" w:eastAsia="Times New Roman" w:hAnsi="Times New Roman" w:cs="Times New Roman"/>
                  <w:sz w:val="24"/>
                  <w:szCs w:val="24"/>
                  <w:lang w:val="ru-RU"/>
                </w:rPr>
                <w:t>–</w:t>
              </w:r>
              <w:r w:rsidR="00D144D6" w:rsidRPr="000D4FA1">
                <w:rPr>
                  <w:rFonts w:ascii="Times New Roman" w:eastAsia="Times New Roman" w:hAnsi="Times New Roman" w:cs="Times New Roman"/>
                  <w:sz w:val="24"/>
                  <w:szCs w:val="24"/>
                  <w:lang w:val="ru-RU"/>
                </w:rPr>
                <w:t xml:space="preserve">анатомический стол. </w:t>
              </w:r>
              <w:r w:rsidR="00D144D6" w:rsidRPr="000D4FA1">
                <w:rPr>
                  <w:rFonts w:ascii="Times New Roman" w:eastAsia="Times New Roman" w:hAnsi="Times New Roman" w:cs="Times New Roman"/>
                  <w:sz w:val="24"/>
                  <w:szCs w:val="24"/>
                </w:rPr>
                <w:t>(shmk.edu.kz)</w:t>
              </w:r>
            </w:hyperlink>
          </w:p>
        </w:tc>
        <w:tc>
          <w:tcPr>
            <w:tcW w:w="4678" w:type="dxa"/>
            <w:hideMark/>
          </w:tcPr>
          <w:p w:rsidR="00D144D6" w:rsidRPr="000D4FA1" w:rsidRDefault="00D144D6" w:rsidP="00492236">
            <w:pPr>
              <w:spacing w:after="0" w:line="240" w:lineRule="auto"/>
              <w:jc w:val="both"/>
              <w:rPr>
                <w:rFonts w:ascii="Times New Roman" w:eastAsia="Times New Roman" w:hAnsi="Times New Roman" w:cs="Times New Roman"/>
                <w:sz w:val="24"/>
                <w:szCs w:val="24"/>
                <w:lang w:val="ru-RU"/>
              </w:rPr>
            </w:pPr>
            <w:r w:rsidRPr="000D4FA1">
              <w:rPr>
                <w:rFonts w:ascii="Times New Roman" w:eastAsia="Times New Roman" w:hAnsi="Times New Roman" w:cs="Times New Roman"/>
                <w:sz w:val="24"/>
                <w:szCs w:val="24"/>
                <w:lang w:val="ru-RU"/>
              </w:rPr>
              <w:t>Функционирование специализированных центров предполагает наличие у части преподавателей развитых цифровых и клинических компетенций, умения работать с симуляционным оборудованием и реализовывать практико</w:t>
            </w:r>
            <w:r w:rsidR="007B767F" w:rsidRPr="000D4FA1">
              <w:rPr>
                <w:rFonts w:ascii="Times New Roman" w:eastAsia="Times New Roman" w:hAnsi="Times New Roman" w:cs="Times New Roman"/>
                <w:sz w:val="24"/>
                <w:szCs w:val="24"/>
                <w:lang w:val="ru-RU"/>
              </w:rPr>
              <w:t>–</w:t>
            </w:r>
            <w:r w:rsidRPr="000D4FA1">
              <w:rPr>
                <w:rFonts w:ascii="Times New Roman" w:eastAsia="Times New Roman" w:hAnsi="Times New Roman" w:cs="Times New Roman"/>
                <w:sz w:val="24"/>
                <w:szCs w:val="24"/>
                <w:lang w:val="ru-RU"/>
              </w:rPr>
              <w:t>ориентированные методики обучения. Это формирует основу для развития корпоративных компетенций в области цифровой медицины, клинического обучения и образовательного менеджмента.</w:t>
            </w:r>
          </w:p>
        </w:tc>
      </w:tr>
      <w:tr w:rsidR="00D144D6" w:rsidRPr="0036668B" w:rsidTr="004770BF">
        <w:trPr>
          <w:trHeight w:val="556"/>
        </w:trPr>
        <w:tc>
          <w:tcPr>
            <w:tcW w:w="9464" w:type="dxa"/>
            <w:gridSpan w:val="3"/>
          </w:tcPr>
          <w:p w:rsidR="00D144D6" w:rsidRPr="000D4FA1" w:rsidRDefault="0068338D" w:rsidP="00C76C5B">
            <w:pPr>
              <w:spacing w:after="0" w:line="240" w:lineRule="auto"/>
              <w:rPr>
                <w:rFonts w:ascii="Times New Roman" w:eastAsia="Times New Roman" w:hAnsi="Times New Roman" w:cs="Times New Roman"/>
                <w:lang w:val="ru-RU"/>
              </w:rPr>
            </w:pPr>
            <w:r w:rsidRPr="000D4FA1">
              <w:rPr>
                <w:rFonts w:ascii="Times New Roman" w:hAnsi="Times New Roman" w:cs="Times New Roman"/>
                <w:sz w:val="24"/>
                <w:szCs w:val="24"/>
                <w:lang w:val="ru-RU"/>
              </w:rPr>
              <w:t xml:space="preserve">          </w:t>
            </w:r>
            <w:r w:rsidR="00D144D6" w:rsidRPr="000D4FA1">
              <w:rPr>
                <w:rFonts w:ascii="Times New Roman" w:hAnsi="Times New Roman" w:cs="Times New Roman"/>
                <w:lang w:val="ru-RU"/>
              </w:rPr>
              <w:t>Примечание</w:t>
            </w:r>
            <w:r w:rsidRPr="000D4FA1">
              <w:rPr>
                <w:rFonts w:ascii="Times New Roman" w:hAnsi="Times New Roman" w:cs="Times New Roman"/>
                <w:lang w:val="ru-RU"/>
              </w:rPr>
              <w:t xml:space="preserve"> –</w:t>
            </w:r>
            <w:r w:rsidR="00D144D6" w:rsidRPr="000D4FA1">
              <w:rPr>
                <w:rFonts w:ascii="Times New Roman" w:hAnsi="Times New Roman" w:cs="Times New Roman"/>
                <w:lang w:val="ru-RU"/>
              </w:rPr>
              <w:t xml:space="preserve"> составлен</w:t>
            </w:r>
            <w:r w:rsidRPr="000D4FA1">
              <w:rPr>
                <w:rFonts w:ascii="Times New Roman" w:hAnsi="Times New Roman" w:cs="Times New Roman"/>
                <w:lang w:val="ru-RU"/>
              </w:rPr>
              <w:t>о</w:t>
            </w:r>
            <w:r w:rsidR="00D144D6" w:rsidRPr="000D4FA1">
              <w:rPr>
                <w:rFonts w:ascii="Times New Roman" w:hAnsi="Times New Roman" w:cs="Times New Roman"/>
                <w:lang w:val="ru-RU"/>
              </w:rPr>
              <w:t xml:space="preserve"> автором на основе анализа официального сайта ГКП на ПХВ «Высший медицинский колледж» УЗ </w:t>
            </w:r>
            <w:proofErr w:type="gramStart"/>
            <w:r w:rsidR="00D144D6" w:rsidRPr="000D4FA1">
              <w:rPr>
                <w:rFonts w:ascii="Times New Roman" w:hAnsi="Times New Roman" w:cs="Times New Roman"/>
                <w:lang w:val="ru-RU"/>
              </w:rPr>
              <w:t>г</w:t>
            </w:r>
            <w:proofErr w:type="gramEnd"/>
            <w:r w:rsidR="00D144D6" w:rsidRPr="000D4FA1">
              <w:rPr>
                <w:rFonts w:ascii="Times New Roman" w:hAnsi="Times New Roman" w:cs="Times New Roman"/>
                <w:lang w:val="ru-RU"/>
              </w:rPr>
              <w:t>. Шымкент и доступных портфолио преподавателей</w:t>
            </w:r>
          </w:p>
        </w:tc>
      </w:tr>
    </w:tbl>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Несмотря на отсутствие точных числовых данных о количестве административных работников, структура колледжа включает учебную часть, методический кабинет, центры цифровизации и симуляционного обучения, что указывает на наличие развитой инфраструктуры поддержки образовательного процесса. Это косвенно подтверждает устойчивость управленческой системы, её способность обеспечивать методическую, организационную и цифровую поддержку преподавателей и студентов.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Квалификационная структура преподавателей демонстрирует преобладание педагогов с высокой категорией, что напрямую влияет на качество образовательного процесса, развитие компетентностно</w:t>
      </w:r>
      <w:r w:rsidR="007B767F" w:rsidRPr="000D4FA1">
        <w:rPr>
          <w:sz w:val="28"/>
          <w:szCs w:val="28"/>
        </w:rPr>
        <w:t>–</w:t>
      </w:r>
      <w:r w:rsidRPr="000D4FA1">
        <w:rPr>
          <w:sz w:val="28"/>
          <w:szCs w:val="28"/>
        </w:rPr>
        <w:t>ориентированных методик и применение современных технологий обучения. Анализ возрастной структуры и стажа педагогов, хотя и основан на косвенных данных, показывает сочетание опытных специалистов и молодых преподавателей, что формирует благоприятные условия для преемственности и инновационного развития</w:t>
      </w:r>
      <w:r w:rsidR="00575EAA"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Особое значение имеет участие сотрудников в повышении квалификации. Наличие специализированных подразделений по развитию цифровых навыков, симуляционных технологий и педагогического мастерства свидетельствует о системном подходе к профессиональному развитию кадров. Это позволяет адаптировать образовательный процесс к современным требованиям медицины, внедрять новые образовательные технологии и поддерживать актуальность профессиональных компетенций преподавателей.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Корпоративные компетенции преподавателей, такие как цифровая грамотность, клинический опыт и управленческие навыки, также формируют важный компонент человеческого потенциала колледжа. Их развитие обеспечивается функционированием центров цифровизации и симуляции, что подчёркивает стремление колледжа интегрировать современные учебные практики и технологии в образовательный процесс.</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совокупности данные таблицы позволяют заключить, что кадровый состав Шымкентского высшего медицинского колледжа характеризуется стабильностью, профессиональной зрелостью и высокой степенью готовности к реализации современных требований медицинского образования. Эти факторы являются ключевыми для обеспечения устойчивости организации, качества подготовки выпускников и дальнейшего развития образовательной деятельности в условиях обновления системы здравоохранения.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Проведённый анализ образовательного процесса и кадрового состава Шымкентского высшего медицинского колледжа показывает, что организация обладает устойчивой институциональной и кадровой основой, соответствующей требованиям современной системы здравоохранения. Структура учебных планов сформирована в логике компетентностной модели подготовки, обеспечивая оптимальное сочетание теоретических модулей, практико</w:t>
      </w:r>
      <w:r w:rsidR="007B767F" w:rsidRPr="000D4FA1">
        <w:rPr>
          <w:sz w:val="28"/>
          <w:szCs w:val="28"/>
        </w:rPr>
        <w:t>–</w:t>
      </w:r>
      <w:r w:rsidRPr="000D4FA1">
        <w:rPr>
          <w:sz w:val="28"/>
          <w:szCs w:val="28"/>
        </w:rPr>
        <w:t>ориентированных дисциплин и клинической практики. Наличие специализированных симуляционных кабинетов, современной материально</w:t>
      </w:r>
      <w:r w:rsidR="007B767F" w:rsidRPr="000D4FA1">
        <w:rPr>
          <w:sz w:val="28"/>
          <w:szCs w:val="28"/>
        </w:rPr>
        <w:t>–</w:t>
      </w:r>
      <w:r w:rsidRPr="000D4FA1">
        <w:rPr>
          <w:sz w:val="28"/>
          <w:szCs w:val="28"/>
        </w:rPr>
        <w:lastRenderedPageBreak/>
        <w:t>технической базы и цифровых инструментов обучения усиливает практическую направленность образовательного процесса.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Кадровый состав колледжа характеризуется достаточной численностью и высоким уровнем квалификации: более 45 % преподавателей имеют высшую и первую категории. Которое свидетельствует о наличии сформированной методической школы, профессиональной зрелости педагогов и устойчивости учебного процесса. При этом наблюдается сочетание опытных специалистов и молодых преподавателей, что обеспечивает преемственность и обновление педагогических практик.</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Развитая структура административных и вспомогательных подразделений – учебная часть, методический кабинет, центр симуляции, центр цифровизации – отражает системный подход к управлению качеством образования и цифровой трансформации учебного процесса. Наличие механизмов повышения квалификации подтверждает ориентацию на непрерывное профессиональное развитие ППС.</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совокупности эти элементы формируют значительный человеческий потенциал колледжа, обеспечивают его устойчивость и способность готовить востребованных специалистов среднего звена для региональной системы здравоохранения. Образовательный процесс демонстрирует высокий уровень соответствия требованиям ГОСО, запросам медицинских организаций и современным тенденциям развития ТиПО.</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На основе выявленных особенностей и текущего состояния образовательного процесса предлагается ряд практических рекомендаций, направленных на укрепление человеческого потенциала колледжа и повышение устойчивости организации:</w:t>
      </w:r>
    </w:p>
    <w:p w:rsidR="00D144D6" w:rsidRPr="000D4FA1" w:rsidRDefault="00D144D6" w:rsidP="00FA259F">
      <w:pPr>
        <w:pStyle w:val="a4"/>
        <w:spacing w:before="0" w:beforeAutospacing="0" w:after="0" w:afterAutospacing="0"/>
        <w:jc w:val="both"/>
        <w:rPr>
          <w:i/>
          <w:iCs/>
          <w:sz w:val="28"/>
          <w:szCs w:val="28"/>
        </w:rPr>
      </w:pPr>
      <w:r w:rsidRPr="000D4FA1">
        <w:rPr>
          <w:i/>
          <w:iCs/>
          <w:sz w:val="28"/>
          <w:szCs w:val="28"/>
        </w:rPr>
        <w:t>1. Укрепление кадровой политики</w:t>
      </w:r>
    </w:p>
    <w:p w:rsidR="00437817"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расширить систему мониторинга квалификации ППС с фиксацией возраста, стажа, профессиональных компетенций;</w:t>
      </w:r>
    </w:p>
    <w:p w:rsidR="00437817" w:rsidRDefault="00437817" w:rsidP="00437817">
      <w:pPr>
        <w:pStyle w:val="a4"/>
        <w:spacing w:before="0" w:beforeAutospacing="0" w:after="0" w:afterAutospacing="0"/>
        <w:jc w:val="both"/>
        <w:rPr>
          <w:sz w:val="28"/>
          <w:szCs w:val="28"/>
        </w:rPr>
      </w:pPr>
      <w:r>
        <w:rPr>
          <w:sz w:val="28"/>
          <w:szCs w:val="28"/>
        </w:rPr>
        <w:t>–</w:t>
      </w:r>
      <w:r w:rsidR="00D144D6" w:rsidRPr="000D4FA1">
        <w:rPr>
          <w:sz w:val="28"/>
          <w:szCs w:val="28"/>
        </w:rPr>
        <w:t>усилить работу по привлечению молодых специалистов, особенно с клиническим опытом и цифровыми компетенциями;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разработать программу наставничества «опытный преподаватель–молодой педагог».</w:t>
      </w:r>
    </w:p>
    <w:p w:rsidR="00D144D6" w:rsidRPr="000D4FA1" w:rsidRDefault="00D144D6" w:rsidP="00FA259F">
      <w:pPr>
        <w:pStyle w:val="a4"/>
        <w:spacing w:before="0" w:beforeAutospacing="0" w:after="0" w:afterAutospacing="0"/>
        <w:jc w:val="both"/>
        <w:rPr>
          <w:i/>
          <w:iCs/>
          <w:sz w:val="28"/>
          <w:szCs w:val="28"/>
        </w:rPr>
      </w:pPr>
      <w:r w:rsidRPr="000D4FA1">
        <w:rPr>
          <w:i/>
          <w:iCs/>
          <w:sz w:val="28"/>
          <w:szCs w:val="28"/>
        </w:rPr>
        <w:t>2. Совершенствование компетентностной модели выпускника</w:t>
      </w:r>
    </w:p>
    <w:p w:rsidR="00437817"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обновлять учебные планы с учётом цифровизации здравоохранения, внедряя элементы телемедицины, электронных медицинских записей и цифровой безопасности;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расширять симуляционные модули для моделирования клинических ситуаций повышенной сложности.</w:t>
      </w:r>
    </w:p>
    <w:p w:rsidR="00D144D6" w:rsidRPr="000D4FA1" w:rsidRDefault="00D144D6" w:rsidP="00FA259F">
      <w:pPr>
        <w:pStyle w:val="a4"/>
        <w:spacing w:before="0" w:beforeAutospacing="0" w:after="0" w:afterAutospacing="0"/>
        <w:jc w:val="both"/>
        <w:rPr>
          <w:i/>
          <w:iCs/>
          <w:sz w:val="28"/>
          <w:szCs w:val="28"/>
        </w:rPr>
      </w:pPr>
      <w:r w:rsidRPr="000D4FA1">
        <w:rPr>
          <w:i/>
          <w:iCs/>
          <w:sz w:val="28"/>
          <w:szCs w:val="28"/>
        </w:rPr>
        <w:t>3. Развитие цифровых образовательных технологий</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интегрировать адаптивные электронные курсы, виртуальные тренажёры и цифровые клинические сценарии;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 xml:space="preserve">совершенствовать </w:t>
      </w:r>
      <w:r w:rsidR="00AD7F1B" w:rsidRPr="000D4FA1">
        <w:rPr>
          <w:bCs/>
          <w:sz w:val="28"/>
          <w:szCs w:val="28"/>
        </w:rPr>
        <w:t>ISEDU</w:t>
      </w:r>
      <w:r w:rsidR="007B767F" w:rsidRPr="000D4FA1">
        <w:rPr>
          <w:bCs/>
          <w:sz w:val="28"/>
          <w:szCs w:val="28"/>
        </w:rPr>
        <w:t>–</w:t>
      </w:r>
      <w:r w:rsidR="00AD7F1B" w:rsidRPr="000D4FA1">
        <w:rPr>
          <w:bCs/>
          <w:sz w:val="28"/>
          <w:szCs w:val="28"/>
        </w:rPr>
        <w:t>платформ</w:t>
      </w:r>
      <w:r w:rsidR="00AD7F1B" w:rsidRPr="000D4FA1">
        <w:rPr>
          <w:bCs/>
          <w:sz w:val="28"/>
          <w:szCs w:val="28"/>
          <w:lang w:val="kk-KZ"/>
        </w:rPr>
        <w:t>у</w:t>
      </w:r>
      <w:r w:rsidR="00D144D6" w:rsidRPr="000D4FA1">
        <w:rPr>
          <w:sz w:val="28"/>
          <w:szCs w:val="28"/>
        </w:rPr>
        <w:t>, расширив функциональность для студентов и преподавателей.</w:t>
      </w:r>
    </w:p>
    <w:p w:rsidR="00D144D6" w:rsidRPr="000D4FA1" w:rsidRDefault="00D144D6" w:rsidP="00FA259F">
      <w:pPr>
        <w:pStyle w:val="a4"/>
        <w:spacing w:before="0" w:beforeAutospacing="0" w:after="0" w:afterAutospacing="0"/>
        <w:ind w:firstLine="142"/>
        <w:jc w:val="both"/>
        <w:rPr>
          <w:i/>
          <w:iCs/>
          <w:sz w:val="28"/>
          <w:szCs w:val="28"/>
        </w:rPr>
      </w:pPr>
      <w:r w:rsidRPr="000D4FA1">
        <w:rPr>
          <w:i/>
          <w:iCs/>
          <w:sz w:val="28"/>
          <w:szCs w:val="28"/>
        </w:rPr>
        <w:t>4. Усиление сотрудничества с клиническими базами</w:t>
      </w:r>
    </w:p>
    <w:p w:rsidR="00D144D6" w:rsidRPr="000D4FA1" w:rsidRDefault="00437817" w:rsidP="00437817">
      <w:pPr>
        <w:pStyle w:val="a4"/>
        <w:spacing w:before="0" w:beforeAutospacing="0" w:after="0" w:afterAutospacing="0"/>
        <w:jc w:val="both"/>
        <w:rPr>
          <w:sz w:val="28"/>
          <w:szCs w:val="28"/>
        </w:rPr>
      </w:pPr>
      <w:r>
        <w:rPr>
          <w:sz w:val="28"/>
          <w:szCs w:val="28"/>
        </w:rPr>
        <w:lastRenderedPageBreak/>
        <w:t xml:space="preserve">– </w:t>
      </w:r>
      <w:r w:rsidR="00D144D6" w:rsidRPr="000D4FA1">
        <w:rPr>
          <w:sz w:val="28"/>
          <w:szCs w:val="28"/>
        </w:rPr>
        <w:t>заключать долгосрочные договоры с дополнительными лечебно</w:t>
      </w:r>
      <w:r w:rsidR="007B767F" w:rsidRPr="000D4FA1">
        <w:rPr>
          <w:sz w:val="28"/>
          <w:szCs w:val="28"/>
        </w:rPr>
        <w:t>–</w:t>
      </w:r>
      <w:r w:rsidR="00D144D6" w:rsidRPr="000D4FA1">
        <w:rPr>
          <w:sz w:val="28"/>
          <w:szCs w:val="28"/>
        </w:rPr>
        <w:t>профилактическими учреждениями;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развивать модели дуального обучения и совместные программы повышения квалификации педагогов на клинических базах.</w:t>
      </w:r>
    </w:p>
    <w:p w:rsidR="00D144D6" w:rsidRPr="000D4FA1" w:rsidRDefault="00D144D6" w:rsidP="00FA259F">
      <w:pPr>
        <w:pStyle w:val="a4"/>
        <w:spacing w:before="0" w:beforeAutospacing="0" w:after="0" w:afterAutospacing="0"/>
        <w:ind w:firstLine="142"/>
        <w:jc w:val="both"/>
        <w:rPr>
          <w:i/>
          <w:iCs/>
          <w:sz w:val="28"/>
          <w:szCs w:val="28"/>
        </w:rPr>
      </w:pPr>
      <w:r w:rsidRPr="000D4FA1">
        <w:rPr>
          <w:i/>
          <w:iCs/>
          <w:sz w:val="28"/>
          <w:szCs w:val="28"/>
        </w:rPr>
        <w:t>5. Повышение прозрачности и доступности информации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систематизировать и публиковать данные о кадровом составе, стаже, квалификации, результатах повышения квалификации;</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расширить открытый доступ к учебным планам, рабочим программам и нормативным документам.</w:t>
      </w:r>
    </w:p>
    <w:p w:rsidR="00D144D6" w:rsidRPr="000D4FA1" w:rsidRDefault="00D144D6" w:rsidP="00FA259F">
      <w:pPr>
        <w:pStyle w:val="a4"/>
        <w:spacing w:before="0" w:beforeAutospacing="0" w:after="0" w:afterAutospacing="0"/>
        <w:ind w:firstLine="142"/>
        <w:jc w:val="both"/>
        <w:rPr>
          <w:i/>
          <w:iCs/>
          <w:sz w:val="28"/>
          <w:szCs w:val="28"/>
        </w:rPr>
      </w:pPr>
      <w:r w:rsidRPr="000D4FA1">
        <w:rPr>
          <w:i/>
          <w:iCs/>
          <w:sz w:val="28"/>
          <w:szCs w:val="28"/>
        </w:rPr>
        <w:t>6. Развитие корпоративных компетенций ППС</w:t>
      </w:r>
    </w:p>
    <w:p w:rsidR="00D144D6" w:rsidRPr="000D4FA1"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организовать курсы повышения квалификации по симуляционному обучению, цифровым методам преподавания, образовательному менеджменту;</w:t>
      </w:r>
    </w:p>
    <w:p w:rsidR="00D144D6" w:rsidRPr="0036668B" w:rsidRDefault="00437817" w:rsidP="00437817">
      <w:pPr>
        <w:pStyle w:val="a4"/>
        <w:spacing w:before="0" w:beforeAutospacing="0" w:after="0" w:afterAutospacing="0"/>
        <w:jc w:val="both"/>
        <w:rPr>
          <w:sz w:val="28"/>
          <w:szCs w:val="28"/>
        </w:rPr>
      </w:pPr>
      <w:r>
        <w:rPr>
          <w:sz w:val="28"/>
          <w:szCs w:val="28"/>
        </w:rPr>
        <w:t xml:space="preserve">– </w:t>
      </w:r>
      <w:r w:rsidR="00D144D6" w:rsidRPr="000D4FA1">
        <w:rPr>
          <w:sz w:val="28"/>
          <w:szCs w:val="28"/>
        </w:rPr>
        <w:t xml:space="preserve">создавать внутренние профессиональные сообщества для обмена опытом и </w:t>
      </w:r>
      <w:r w:rsidR="00D144D6" w:rsidRPr="0036668B">
        <w:rPr>
          <w:sz w:val="28"/>
          <w:szCs w:val="28"/>
        </w:rPr>
        <w:t>тиражирования эффективных практик.</w:t>
      </w:r>
    </w:p>
    <w:p w:rsidR="008105C4" w:rsidRPr="0036668B" w:rsidRDefault="008105C4" w:rsidP="00C820F8">
      <w:pPr>
        <w:pStyle w:val="a4"/>
        <w:spacing w:before="0" w:beforeAutospacing="0" w:after="0" w:afterAutospacing="0"/>
        <w:ind w:firstLine="720"/>
        <w:jc w:val="both"/>
        <w:rPr>
          <w:sz w:val="28"/>
          <w:szCs w:val="28"/>
        </w:rPr>
      </w:pPr>
      <w:r w:rsidRPr="0036668B">
        <w:rPr>
          <w:sz w:val="28"/>
          <w:szCs w:val="28"/>
        </w:rPr>
        <w:t>Одним из направлений совершенствования деятельности Шымкентского высшего медицинского колледжа в условиях модернизации системы технического и профессионального образования является усиление взаимосвязи между развитием человеческого потенциала и обеспечением организационной устойчивости. Проведённый анализ показал, что устойчивость колледжа зависит не только от уровня материально-технического обеспечения и финансирования, но и от качества кадрового состава, эффективности системы управления персоналом и способности образовательной организации адаптироваться к изменениям внешней среды.</w:t>
      </w:r>
    </w:p>
    <w:p w:rsidR="008105C4" w:rsidRPr="0036668B" w:rsidRDefault="008105C4" w:rsidP="00C820F8">
      <w:pPr>
        <w:pStyle w:val="a4"/>
        <w:spacing w:before="0" w:beforeAutospacing="0" w:after="0" w:afterAutospacing="0"/>
        <w:ind w:firstLine="720"/>
        <w:jc w:val="both"/>
        <w:rPr>
          <w:sz w:val="28"/>
          <w:szCs w:val="28"/>
        </w:rPr>
      </w:pPr>
      <w:r w:rsidRPr="0036668B">
        <w:rPr>
          <w:sz w:val="28"/>
          <w:szCs w:val="28"/>
        </w:rPr>
        <w:t>В ходе исследования установлено, что Шымкентский высший медицинский колледж обладает стабильным кадровым потенциалом, обеспечивающим подготовку специалистов среднего медицинского звена для организаций здравоохранения региона. Значительная часть преподавателей имеет профильное медицинское образование, квалификационные категории и практический опыт работы в системе здравоохранения. Данный фактор оказывает положительное влияние на качество образовательного процесса и способствует формированию у обучающихся практических профессиональных компетенций.</w:t>
      </w:r>
    </w:p>
    <w:p w:rsidR="008105C4" w:rsidRPr="0036668B" w:rsidRDefault="008105C4" w:rsidP="00C820F8">
      <w:pPr>
        <w:pStyle w:val="a4"/>
        <w:spacing w:before="0" w:beforeAutospacing="0" w:after="0" w:afterAutospacing="0"/>
        <w:ind w:firstLine="720"/>
        <w:jc w:val="both"/>
        <w:rPr>
          <w:sz w:val="28"/>
          <w:szCs w:val="28"/>
        </w:rPr>
      </w:pPr>
      <w:r w:rsidRPr="0036668B">
        <w:rPr>
          <w:sz w:val="28"/>
          <w:szCs w:val="28"/>
        </w:rPr>
        <w:t>Вместе с тем проведённый анализ выявил необходимость дальнейшего совершенствования механизмов профессионального развития преподавателей. В современных условиях цифровизации образования и обновления требований к медицинским кадрам возрастает потребность в развитии цифровых навыков, внедрении симуляционных технологий обучения и расширении программ повышения квалификации педагогических работников. Установлено, что развитие человеческого потенциала колледжа напрямую связано с возможностью образовательной организации сохранять устойчивость в условиях изменений рынка труда и реформирования системы образования.</w:t>
      </w:r>
    </w:p>
    <w:p w:rsidR="008105C4" w:rsidRPr="0036668B" w:rsidRDefault="008105C4" w:rsidP="00C820F8">
      <w:pPr>
        <w:pStyle w:val="a4"/>
        <w:spacing w:before="0" w:beforeAutospacing="0" w:after="0" w:afterAutospacing="0"/>
        <w:ind w:firstLine="720"/>
        <w:jc w:val="both"/>
        <w:rPr>
          <w:sz w:val="28"/>
          <w:szCs w:val="28"/>
        </w:rPr>
      </w:pPr>
      <w:r w:rsidRPr="0036668B">
        <w:rPr>
          <w:sz w:val="28"/>
          <w:szCs w:val="28"/>
        </w:rPr>
        <w:t xml:space="preserve">Дополнительно установлено, что важным фактором устойчивости колледжа выступает взаимодействие с медицинскими организациями города Шымкент. Практическая подготовка обучающихся на базе медицинских </w:t>
      </w:r>
      <w:r w:rsidRPr="0036668B">
        <w:rPr>
          <w:sz w:val="28"/>
          <w:szCs w:val="28"/>
        </w:rPr>
        <w:lastRenderedPageBreak/>
        <w:t>учреждений способствует повышению качества подготовки специалистов, формированию профессиональных навыков и адаптации выпускников к требованиям работодателей. Анализ показал, что практико-ориентированное обучение положительно влияет на показатели трудоустройства выпускников и укрепляет позиции колледжа в региональной системе подготовки медицинских кадров.</w:t>
      </w:r>
    </w:p>
    <w:p w:rsidR="008105C4" w:rsidRPr="0036668B" w:rsidRDefault="008105C4" w:rsidP="00C820F8">
      <w:pPr>
        <w:pStyle w:val="a4"/>
        <w:spacing w:before="0" w:beforeAutospacing="0" w:after="0" w:afterAutospacing="0"/>
        <w:ind w:firstLine="720"/>
        <w:jc w:val="both"/>
        <w:rPr>
          <w:sz w:val="28"/>
          <w:szCs w:val="28"/>
        </w:rPr>
      </w:pPr>
      <w:r w:rsidRPr="0036668B">
        <w:rPr>
          <w:sz w:val="28"/>
          <w:szCs w:val="28"/>
        </w:rPr>
        <w:t>В результате исследования определено, что человеческий потенциал необходимо рассматривать как стратегический ресурс устойчивого развития образовательной организации. Эффективное управление кадровым потенциалом, поддержка профессионального роста преподавателей, внедрение современных образовательных технологий и расширение взаимодействия с работодателями создают условия для повышения конкурентоспособности колледжа и укрепления его организационной устойчивости.</w:t>
      </w:r>
    </w:p>
    <w:p w:rsidR="008105C4" w:rsidRPr="00C820F8" w:rsidRDefault="008105C4" w:rsidP="00C820F8">
      <w:pPr>
        <w:pStyle w:val="a4"/>
        <w:spacing w:before="0" w:beforeAutospacing="0" w:after="0" w:afterAutospacing="0"/>
        <w:ind w:firstLine="720"/>
        <w:jc w:val="both"/>
        <w:rPr>
          <w:sz w:val="28"/>
          <w:szCs w:val="28"/>
        </w:rPr>
      </w:pPr>
      <w:r w:rsidRPr="0036668B">
        <w:rPr>
          <w:sz w:val="28"/>
          <w:szCs w:val="28"/>
        </w:rPr>
        <w:t>На основе проведённого анализа в диссертации дополнительно предложены практические рекомендации, направленные на совершенствование системы управления человеческим потенциалом Шымкентского высшего медицинского колледжа. К числу приоритетных направлений отнесены развитие системы непрерывного профессионального обучения преподавателей, расширение элементов дуального обучения, внедрение цифровых образовательных технологий и укрепление партнёрства с медицинскими организациями региона.</w:t>
      </w:r>
    </w:p>
    <w:p w:rsidR="008105C4" w:rsidRPr="00C820F8" w:rsidRDefault="008105C4" w:rsidP="00C820F8">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b/>
          <w:bCs/>
          <w:sz w:val="28"/>
          <w:szCs w:val="28"/>
        </w:rPr>
        <w:t>2.2</w:t>
      </w:r>
      <w:r w:rsidRPr="000D4FA1">
        <w:rPr>
          <w:bCs/>
          <w:sz w:val="28"/>
          <w:szCs w:val="28"/>
        </w:rPr>
        <w:t xml:space="preserve"> </w:t>
      </w:r>
      <w:r w:rsidRPr="000D4FA1">
        <w:rPr>
          <w:b/>
          <w:sz w:val="28"/>
          <w:szCs w:val="28"/>
        </w:rPr>
        <w:t xml:space="preserve">Оценка уровня человеческого потенциала на основе микроэкономических данных </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Оценка уровня человеческого потенциала образовательной организации требует не только анализа содержания учебного процесса и характеристик кадрового состава, но и исследования ключевых микроэкономических показателей, отражающих результативность деятельности колледжа. В условиях модернизации системы ТиПО и роста требований к качеству подготовки медицинских кадров именно сочетание кадровых, организационных и результативных индикаторов позволяет сформировать комплексное представление о состоянии и динамике человеческого потенциала учреждения.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Микроэкономические показатели деятельности колледжа включают данные о контингенте обучающихся, сохранности набора, уровне успеваемости и качества знаний, трудоустройстве выпускников, результатах аккредитации, интенсивности повышения квалификации преподавателей, а также характеристиках кадровой структуры. Эти данные позволяют провести объективную оценку того, насколько эффективно организация формирует человеческий потенциал и в какой мере достигаются заданные образовательные и социально</w:t>
      </w:r>
      <w:r w:rsidR="007B767F" w:rsidRPr="000D4FA1">
        <w:rPr>
          <w:sz w:val="28"/>
          <w:szCs w:val="28"/>
        </w:rPr>
        <w:t>–</w:t>
      </w:r>
      <w:r w:rsidRPr="000D4FA1">
        <w:rPr>
          <w:sz w:val="28"/>
          <w:szCs w:val="28"/>
        </w:rPr>
        <w:t>экономические результаты.</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Особое значение имеют показатели качества образовательных услуг, такие как результаты промежуточной и итоговой аттестации, показатели профессиональной практики, участие студентов в олимпиадах и конкурсах, а </w:t>
      </w:r>
      <w:r w:rsidRPr="000D4FA1">
        <w:rPr>
          <w:sz w:val="28"/>
          <w:szCs w:val="28"/>
        </w:rPr>
        <w:lastRenderedPageBreak/>
        <w:t>также уровень удовлетворённости работодателей подготовкой выпускников. Они отражают не только внутренние процессы организации, но и степень соответствия подготовки специалистов текущим потребностям региональной системы здравоохранения.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Кроме того, данные о кадровом составе</w:t>
      </w:r>
      <w:r w:rsidR="006B526A" w:rsidRPr="000D4FA1">
        <w:rPr>
          <w:sz w:val="28"/>
          <w:szCs w:val="28"/>
        </w:rPr>
        <w:t xml:space="preserve"> </w:t>
      </w:r>
      <w:r w:rsidR="007B767F" w:rsidRPr="000D4FA1">
        <w:rPr>
          <w:sz w:val="28"/>
          <w:szCs w:val="28"/>
        </w:rPr>
        <w:t>–</w:t>
      </w:r>
      <w:r w:rsidR="006B526A" w:rsidRPr="000D4FA1">
        <w:rPr>
          <w:sz w:val="28"/>
          <w:szCs w:val="28"/>
        </w:rPr>
        <w:t xml:space="preserve"> </w:t>
      </w:r>
      <w:r w:rsidRPr="000D4FA1">
        <w:rPr>
          <w:sz w:val="28"/>
          <w:szCs w:val="28"/>
        </w:rPr>
        <w:t>квалификационных категориях, стаже педагогов, интенсивности повышения квалификации и уровне цифровой готовности</w:t>
      </w:r>
      <w:r w:rsidR="006B526A" w:rsidRPr="000D4FA1">
        <w:rPr>
          <w:sz w:val="28"/>
          <w:szCs w:val="28"/>
        </w:rPr>
        <w:t xml:space="preserve"> </w:t>
      </w:r>
      <w:r w:rsidR="0068338D" w:rsidRPr="000D4FA1">
        <w:rPr>
          <w:sz w:val="28"/>
          <w:szCs w:val="28"/>
        </w:rPr>
        <w:t>–</w:t>
      </w:r>
      <w:r w:rsidR="006B526A" w:rsidRPr="000D4FA1">
        <w:rPr>
          <w:sz w:val="28"/>
          <w:szCs w:val="28"/>
        </w:rPr>
        <w:t xml:space="preserve"> </w:t>
      </w:r>
      <w:r w:rsidRPr="000D4FA1">
        <w:rPr>
          <w:sz w:val="28"/>
          <w:szCs w:val="28"/>
        </w:rPr>
        <w:t>позволяют оценить потенциал преподавательского корпуса как ключевого носителя профессиональных и методических компетенций. В совокупности кадровые и результативные микроэкономические показатели формируют объективную картину человеческого капитала колледжа и служат основой для последующего анализа влияния организационных факторов на устойчивость образовательной организации</w:t>
      </w:r>
      <w:r w:rsidR="00575EAA"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Таким образом, данный раздел направлен на системную оценку уровня человеческого потенциала Шымкентского высшего медицинского колледжа на основе структурированных micro</w:t>
      </w:r>
      <w:r w:rsidR="007B767F" w:rsidRPr="000D4FA1">
        <w:rPr>
          <w:sz w:val="28"/>
          <w:szCs w:val="28"/>
        </w:rPr>
        <w:t>–</w:t>
      </w:r>
      <w:r w:rsidRPr="000D4FA1">
        <w:rPr>
          <w:sz w:val="28"/>
          <w:szCs w:val="28"/>
        </w:rPr>
        <w:t>данных, что позволит выявить сильные стороны, ограничения и направления дальнейшего развития, обеспечивающие устойчивость учреждения в долгосрочной перспективе.</w:t>
      </w:r>
    </w:p>
    <w:p w:rsidR="00D144D6" w:rsidRPr="000D4FA1" w:rsidRDefault="00D144D6" w:rsidP="00D144D6">
      <w:pPr>
        <w:pStyle w:val="a4"/>
        <w:spacing w:before="0" w:beforeAutospacing="0" w:after="0" w:afterAutospacing="0"/>
        <w:ind w:firstLine="720"/>
        <w:jc w:val="both"/>
        <w:rPr>
          <w:i/>
          <w:sz w:val="28"/>
          <w:szCs w:val="28"/>
        </w:rPr>
      </w:pPr>
      <w:r w:rsidRPr="000D4FA1">
        <w:rPr>
          <w:i/>
          <w:sz w:val="28"/>
          <w:szCs w:val="28"/>
        </w:rPr>
        <w:t>Оценка условий и факторов, влияющих на человеческий потенциал преподавателей.</w:t>
      </w:r>
    </w:p>
    <w:p w:rsidR="001140E9" w:rsidRPr="000D4FA1" w:rsidRDefault="00D144D6" w:rsidP="00D144D6">
      <w:pPr>
        <w:pStyle w:val="a4"/>
        <w:spacing w:before="0" w:beforeAutospacing="0" w:after="0" w:afterAutospacing="0"/>
        <w:ind w:firstLine="720"/>
        <w:jc w:val="both"/>
        <w:rPr>
          <w:sz w:val="28"/>
          <w:szCs w:val="28"/>
        </w:rPr>
      </w:pPr>
      <w:r w:rsidRPr="000D4FA1">
        <w:rPr>
          <w:sz w:val="28"/>
          <w:szCs w:val="28"/>
        </w:rPr>
        <w:t>Условия труда, особенности рабочей среды и система управленческих воздействий оказывают прямое влияние на развитие человеческого потенциала преподавателей Шымкентского высшего медицинского колледжа. Рабочий климат образовательной организации формируется сочетанием организационной культуры, отношений в трудовом коллективе, стиля управления и качества внутренней коммуникации. Согласно международным исследованиям, именно корпоративная культура и психологический микроклимат являются ключевыми факторами удержания педагогических кадров и повышения их мотивации в медицинском образовании.</w:t>
      </w:r>
    </w:p>
    <w:p w:rsidR="001140E9" w:rsidRPr="000D4FA1" w:rsidRDefault="001140E9" w:rsidP="001140E9">
      <w:pPr>
        <w:pStyle w:val="a4"/>
        <w:spacing w:before="0" w:beforeAutospacing="0" w:after="0" w:afterAutospacing="0"/>
        <w:ind w:firstLine="720"/>
        <w:jc w:val="both"/>
        <w:rPr>
          <w:sz w:val="28"/>
          <w:szCs w:val="28"/>
        </w:rPr>
      </w:pPr>
      <w:r w:rsidRPr="000D4FA1">
        <w:rPr>
          <w:sz w:val="28"/>
          <w:szCs w:val="28"/>
        </w:rPr>
        <w:t xml:space="preserve"> Анализ структуры колледжа показывает, что наличие методического кабинета, учебной части и центров развития профессиональных компетенций способствует созданию профессионально поддерживающей среды, обеспечивающей обмен опытом, наставничество и постоянную методическую поддержку. </w:t>
      </w:r>
    </w:p>
    <w:p w:rsidR="001140E9" w:rsidRPr="000D4FA1" w:rsidRDefault="001140E9" w:rsidP="001140E9">
      <w:pPr>
        <w:pStyle w:val="a4"/>
        <w:spacing w:before="0" w:beforeAutospacing="0" w:after="0" w:afterAutospacing="0"/>
        <w:ind w:firstLine="720"/>
        <w:jc w:val="both"/>
        <w:rPr>
          <w:sz w:val="28"/>
          <w:szCs w:val="28"/>
        </w:rPr>
      </w:pPr>
      <w:r w:rsidRPr="000D4FA1">
        <w:rPr>
          <w:sz w:val="28"/>
          <w:szCs w:val="28"/>
        </w:rPr>
        <w:t xml:space="preserve">Система мотивации персонала педагогических организаций включает материальные и нематериальные элементы, такие как присвоение квалификационных категорий, надбавки за качество работы, участие в конкурсах профессионального мастерства, признание достижений и вовлечённость в академические проекты. </w:t>
      </w:r>
    </w:p>
    <w:p w:rsidR="00D144D6" w:rsidRPr="000D4FA1" w:rsidRDefault="008A38ED" w:rsidP="008A38ED">
      <w:pPr>
        <w:pStyle w:val="a4"/>
        <w:spacing w:before="0" w:beforeAutospacing="0" w:after="0" w:afterAutospacing="0"/>
        <w:ind w:firstLine="720"/>
        <w:jc w:val="both"/>
        <w:rPr>
          <w:sz w:val="28"/>
          <w:szCs w:val="28"/>
        </w:rPr>
      </w:pPr>
      <w:r>
        <w:rPr>
          <w:noProof/>
          <w:sz w:val="28"/>
          <w:szCs w:val="28"/>
        </w:rPr>
        <w:lastRenderedPageBreak/>
        <w:drawing>
          <wp:anchor distT="0" distB="0" distL="114300" distR="114300" simplePos="0" relativeHeight="251659264" behindDoc="1" locked="0" layoutInCell="1" allowOverlap="1">
            <wp:simplePos x="0" y="0"/>
            <wp:positionH relativeFrom="column">
              <wp:posOffset>-3810</wp:posOffset>
            </wp:positionH>
            <wp:positionV relativeFrom="paragraph">
              <wp:posOffset>1223010</wp:posOffset>
            </wp:positionV>
            <wp:extent cx="6105525" cy="3914775"/>
            <wp:effectExtent l="0" t="0" r="0" b="0"/>
            <wp:wrapTight wrapText="bothSides">
              <wp:wrapPolygon edited="0">
                <wp:start x="0" y="0"/>
                <wp:lineTo x="0" y="21547"/>
                <wp:lineTo x="21566" y="21547"/>
                <wp:lineTo x="21566" y="0"/>
                <wp:lineTo x="0" y="0"/>
              </wp:wrapPolygon>
            </wp:wrapTight>
            <wp:docPr id="7" name="Рисунок 7" descr="C:\Users\Admi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5525" cy="3914775"/>
                    </a:xfrm>
                    <a:prstGeom prst="rect">
                      <a:avLst/>
                    </a:prstGeom>
                    <a:noFill/>
                    <a:ln>
                      <a:noFill/>
                    </a:ln>
                  </pic:spPr>
                </pic:pic>
              </a:graphicData>
            </a:graphic>
          </wp:anchor>
        </w:drawing>
      </w:r>
      <w:r w:rsidR="001140E9" w:rsidRPr="000D4FA1">
        <w:rPr>
          <w:sz w:val="28"/>
          <w:szCs w:val="28"/>
        </w:rPr>
        <w:t>Нормативно–правовые документы Республики Казахстан подчёркивают необходимость усиления механизмов стимулирования труда педагогов, в том числе через совершенствование кадровой политики и системы мотивации, предусмотренной в Типовых правилах деятельности образовательных организаций и стратегических планах министерства [94–97].</w:t>
      </w:r>
    </w:p>
    <w:p w:rsidR="00D144D6" w:rsidRPr="000D4FA1" w:rsidRDefault="00D144D6" w:rsidP="0068338D">
      <w:pPr>
        <w:pStyle w:val="a4"/>
        <w:spacing w:before="0" w:beforeAutospacing="0" w:after="0" w:afterAutospacing="0"/>
        <w:ind w:firstLine="720"/>
        <w:jc w:val="center"/>
        <w:rPr>
          <w:sz w:val="28"/>
          <w:szCs w:val="28"/>
        </w:rPr>
      </w:pPr>
      <w:r w:rsidRPr="000D4FA1">
        <w:rPr>
          <w:sz w:val="28"/>
          <w:szCs w:val="28"/>
        </w:rPr>
        <w:t xml:space="preserve">Рисунок </w:t>
      </w:r>
      <w:r w:rsidR="00437817">
        <w:rPr>
          <w:sz w:val="28"/>
          <w:szCs w:val="28"/>
        </w:rPr>
        <w:t>5</w:t>
      </w:r>
      <w:r w:rsidR="0068338D" w:rsidRPr="000D4FA1">
        <w:rPr>
          <w:sz w:val="28"/>
          <w:szCs w:val="28"/>
        </w:rPr>
        <w:t xml:space="preserve"> –</w:t>
      </w:r>
      <w:r w:rsidR="00EB3C41" w:rsidRPr="000D4FA1">
        <w:rPr>
          <w:sz w:val="28"/>
          <w:szCs w:val="28"/>
          <w:lang w:val="kk-KZ"/>
        </w:rPr>
        <w:t xml:space="preserve"> </w:t>
      </w:r>
      <w:r w:rsidRPr="000D4FA1">
        <w:rPr>
          <w:sz w:val="28"/>
          <w:szCs w:val="28"/>
        </w:rPr>
        <w:t>Факторы, определяющие развитие человеческого потенциала преподавателей в образовательной организации</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pPr>
      <w:r w:rsidRPr="000D4FA1">
        <w:t>Примечание – составлен</w:t>
      </w:r>
      <w:r w:rsidR="0068338D" w:rsidRPr="000D4FA1">
        <w:t>о</w:t>
      </w:r>
      <w:r w:rsidRPr="000D4FA1">
        <w:t xml:space="preserve"> автором на основе анализа факторов рабочей среды, мотивации и условий труда преподавателей в медицинских колледжах</w:t>
      </w:r>
    </w:p>
    <w:p w:rsidR="00D144D6" w:rsidRPr="000D4FA1" w:rsidRDefault="00D144D6" w:rsidP="00D144D6">
      <w:pPr>
        <w:pStyle w:val="a4"/>
        <w:spacing w:before="0" w:beforeAutospacing="0" w:after="0" w:afterAutospacing="0"/>
        <w:ind w:firstLine="720"/>
        <w:jc w:val="both"/>
        <w:rPr>
          <w:sz w:val="28"/>
          <w:szCs w:val="28"/>
          <w:lang w:val="kk-KZ"/>
        </w:rPr>
      </w:pPr>
    </w:p>
    <w:p w:rsidR="00F45F03"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Аттестация является важным инструментом оценки профессионального уровня сотрудников. Она осуществляется в соответствии с действующими нормативными документами, регулирующими квалификационные требования к педагогам </w:t>
      </w:r>
      <w:r w:rsidR="001C1975" w:rsidRPr="000D4FA1">
        <w:rPr>
          <w:sz w:val="28"/>
          <w:szCs w:val="28"/>
        </w:rPr>
        <w:t xml:space="preserve">технического и </w:t>
      </w:r>
      <w:r w:rsidRPr="000D4FA1">
        <w:rPr>
          <w:sz w:val="28"/>
          <w:szCs w:val="28"/>
        </w:rPr>
        <w:t xml:space="preserve">профессионального образования. </w:t>
      </w:r>
    </w:p>
    <w:p w:rsidR="00437817" w:rsidRDefault="00D144D6" w:rsidP="00437817">
      <w:pPr>
        <w:pStyle w:val="a4"/>
        <w:spacing w:before="0" w:beforeAutospacing="0" w:after="0" w:afterAutospacing="0"/>
        <w:ind w:firstLine="720"/>
        <w:jc w:val="both"/>
        <w:rPr>
          <w:sz w:val="28"/>
          <w:szCs w:val="28"/>
        </w:rPr>
      </w:pPr>
      <w:r w:rsidRPr="000D4FA1">
        <w:rPr>
          <w:sz w:val="28"/>
          <w:szCs w:val="28"/>
        </w:rPr>
        <w:t>Присвоение квалификационных категорий способствует росту профессиональной активности, а также является предпосылкой для карьерного продвижения, включая назначение на должности старших преподавателей, методистов или руководителей структурных подразделений.</w:t>
      </w:r>
      <w:r w:rsidR="00437817" w:rsidRPr="00437817">
        <w:rPr>
          <w:sz w:val="28"/>
          <w:szCs w:val="28"/>
        </w:rPr>
        <w:t xml:space="preserve"> </w:t>
      </w:r>
    </w:p>
    <w:p w:rsidR="00437817" w:rsidRPr="000D4FA1" w:rsidRDefault="00437817" w:rsidP="00437817">
      <w:pPr>
        <w:pStyle w:val="a4"/>
        <w:spacing w:before="0" w:beforeAutospacing="0" w:after="0" w:afterAutospacing="0"/>
        <w:ind w:firstLine="720"/>
        <w:jc w:val="both"/>
        <w:rPr>
          <w:sz w:val="28"/>
          <w:szCs w:val="28"/>
        </w:rPr>
      </w:pPr>
      <w:r w:rsidRPr="000D4FA1">
        <w:rPr>
          <w:sz w:val="28"/>
          <w:szCs w:val="28"/>
        </w:rPr>
        <w:t xml:space="preserve">Представленная схема </w:t>
      </w:r>
      <w:r w:rsidR="007F50FD">
        <w:rPr>
          <w:sz w:val="28"/>
          <w:szCs w:val="28"/>
        </w:rPr>
        <w:t xml:space="preserve">(рисунок 6) </w:t>
      </w:r>
      <w:r w:rsidRPr="000D4FA1">
        <w:rPr>
          <w:sz w:val="28"/>
          <w:szCs w:val="28"/>
        </w:rPr>
        <w:t xml:space="preserve">демонстрирует комплекс факторов, формирующих человеческий потенциал преподавателей в системе медицинского образования. Человеческий потенциал в медицинском колледже определяется не только профессиональными компетенциями педагогов, но и условиями, которые создаются для их устойчивого развития, мотивации и </w:t>
      </w:r>
      <w:r w:rsidRPr="000D4FA1">
        <w:rPr>
          <w:sz w:val="28"/>
          <w:szCs w:val="28"/>
        </w:rPr>
        <w:lastRenderedPageBreak/>
        <w:t>психологического благополучия. В данной модели интегрированы два ключевых блока–психологический климат и инновационная активность, которые оказывают наиболее значимое влияние на качество педагогического труда и готовность преподавателей к трансформации образовательного процесса.</w:t>
      </w:r>
    </w:p>
    <w:p w:rsidR="00D144D6" w:rsidRPr="000D4FA1" w:rsidRDefault="007F50FD" w:rsidP="00D144D6">
      <w:pPr>
        <w:pStyle w:val="a4"/>
        <w:spacing w:before="0" w:beforeAutospacing="0" w:after="0" w:afterAutospacing="0"/>
        <w:ind w:firstLine="720"/>
        <w:jc w:val="both"/>
        <w:rPr>
          <w:sz w:val="28"/>
          <w:szCs w:val="28"/>
        </w:rPr>
      </w:pPr>
      <w:r w:rsidRPr="000D4FA1">
        <w:rPr>
          <w:noProof/>
          <w:sz w:val="28"/>
          <w:szCs w:val="28"/>
        </w:rPr>
        <w:drawing>
          <wp:anchor distT="0" distB="0" distL="114300" distR="114300" simplePos="0" relativeHeight="251660800" behindDoc="1" locked="0" layoutInCell="1" allowOverlap="1">
            <wp:simplePos x="0" y="0"/>
            <wp:positionH relativeFrom="margin">
              <wp:posOffset>15240</wp:posOffset>
            </wp:positionH>
            <wp:positionV relativeFrom="paragraph">
              <wp:posOffset>257810</wp:posOffset>
            </wp:positionV>
            <wp:extent cx="6140450" cy="2514600"/>
            <wp:effectExtent l="19050" t="19050" r="0" b="0"/>
            <wp:wrapTight wrapText="bothSides">
              <wp:wrapPolygon edited="0">
                <wp:start x="-67" y="-164"/>
                <wp:lineTo x="-67" y="21600"/>
                <wp:lineTo x="21578" y="21600"/>
                <wp:lineTo x="21578" y="-164"/>
                <wp:lineTo x="-67" y="-164"/>
              </wp:wrapPolygon>
            </wp:wrapTight>
            <wp:docPr id="5" name="Рисунок 5"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снимок экрана, Шрифт&#10;&#10;Содержимое, созданное искусственным интеллектом, может быть неверным."/>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098"/>
                    <a:stretch/>
                  </pic:blipFill>
                  <pic:spPr bwMode="auto">
                    <a:xfrm>
                      <a:off x="0" y="0"/>
                      <a:ext cx="6140450" cy="2514600"/>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A259F" w:rsidRPr="000D4FA1" w:rsidRDefault="00FA259F" w:rsidP="00D144D6">
      <w:pPr>
        <w:pStyle w:val="a4"/>
        <w:spacing w:before="0" w:beforeAutospacing="0" w:after="0" w:afterAutospacing="0"/>
        <w:ind w:firstLine="720"/>
        <w:jc w:val="both"/>
        <w:rPr>
          <w:sz w:val="28"/>
          <w:szCs w:val="28"/>
        </w:rPr>
      </w:pPr>
    </w:p>
    <w:p w:rsidR="00D144D6" w:rsidRPr="000D4FA1" w:rsidRDefault="00D144D6" w:rsidP="00FA259F">
      <w:pPr>
        <w:pStyle w:val="a4"/>
        <w:spacing w:before="0" w:beforeAutospacing="0" w:after="0" w:afterAutospacing="0"/>
        <w:ind w:firstLine="720"/>
        <w:jc w:val="center"/>
        <w:rPr>
          <w:sz w:val="28"/>
          <w:szCs w:val="28"/>
        </w:rPr>
      </w:pPr>
      <w:r w:rsidRPr="000D4FA1">
        <w:rPr>
          <w:sz w:val="28"/>
          <w:szCs w:val="28"/>
        </w:rPr>
        <w:t xml:space="preserve">Рисунок </w:t>
      </w:r>
      <w:r w:rsidR="00437817">
        <w:rPr>
          <w:sz w:val="28"/>
          <w:szCs w:val="28"/>
        </w:rPr>
        <w:t>6</w:t>
      </w:r>
      <w:r w:rsidR="0068338D" w:rsidRPr="000D4FA1">
        <w:rPr>
          <w:sz w:val="28"/>
          <w:szCs w:val="28"/>
        </w:rPr>
        <w:t xml:space="preserve"> –</w:t>
      </w:r>
      <w:r w:rsidR="00EB3C41" w:rsidRPr="000D4FA1">
        <w:rPr>
          <w:sz w:val="28"/>
          <w:szCs w:val="28"/>
          <w:lang w:val="kk-KZ"/>
        </w:rPr>
        <w:t xml:space="preserve"> </w:t>
      </w:r>
      <w:r w:rsidRPr="000D4FA1">
        <w:rPr>
          <w:sz w:val="28"/>
          <w:szCs w:val="28"/>
        </w:rPr>
        <w:t>Факторы, влияющие на развитие человеческого потенциала преподавателей в медицинском образовании</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pPr>
      <w:r w:rsidRPr="000D4FA1">
        <w:t>Примечание – составлен</w:t>
      </w:r>
      <w:r w:rsidR="0068338D" w:rsidRPr="000D4FA1">
        <w:t>о</w:t>
      </w:r>
      <w:r w:rsidRPr="000D4FA1">
        <w:t xml:space="preserve"> автором на основе анализа психологического климата, инновационной активности и условий профессиональной деятельности преподавателей медицинских колледжей</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Психологический климат отражает эмоциональное состояние коллектива, стиль взаимодействия между коллегами и степень поддержки со стороны руководства. Элементы данного блока включают риск профессионального выгорания, наличие наставнической системы, методической поддержки и коллективных мероприятий. Профессиональное выгорание является распространённым явлением среди преподавателей медицинских колледжей, что связано с высокой эмоциональной нагрузкой, постоянным взаимодействием со студентами и необходимостью поддерживать высокий уровень ответственности. Наличие наставнической системы и методической поддержки уменьшает эти риски, обеспечивая педагогам доступ к консультированию, обмену опытом и профессиональной взаимопомощи. Коллективные мероприятия способствуют укреплению внутриорганизационных связей, повышению доверия и созданию условий для формирования позитивно</w:t>
      </w:r>
      <w:r w:rsidR="00EB3C41" w:rsidRPr="000D4FA1">
        <w:rPr>
          <w:sz w:val="28"/>
          <w:szCs w:val="28"/>
          <w:lang w:val="kk-KZ"/>
        </w:rPr>
        <w:t>й</w:t>
      </w:r>
      <w:r w:rsidRPr="000D4FA1">
        <w:rPr>
          <w:sz w:val="28"/>
          <w:szCs w:val="28"/>
        </w:rPr>
        <w:t xml:space="preserve"> рабочей среды. Таким образом, психологический климат выступает основой эмоциональной устойчивости и профессиональной стабильности преподавателей.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Второй блок</w:t>
      </w:r>
      <w:r w:rsidR="00EB3C41" w:rsidRPr="000D4FA1">
        <w:rPr>
          <w:sz w:val="28"/>
          <w:szCs w:val="28"/>
          <w:lang w:val="kk-KZ"/>
        </w:rPr>
        <w:t xml:space="preserve"> </w:t>
      </w:r>
      <w:r w:rsidR="007B767F" w:rsidRPr="000D4FA1">
        <w:rPr>
          <w:sz w:val="28"/>
          <w:szCs w:val="28"/>
          <w:lang w:val="kk-KZ"/>
        </w:rPr>
        <w:t>–</w:t>
      </w:r>
      <w:r w:rsidR="00EB3C41" w:rsidRPr="000D4FA1">
        <w:rPr>
          <w:sz w:val="28"/>
          <w:szCs w:val="28"/>
          <w:lang w:val="kk-KZ"/>
        </w:rPr>
        <w:t xml:space="preserve"> </w:t>
      </w:r>
      <w:r w:rsidRPr="000D4FA1">
        <w:rPr>
          <w:sz w:val="28"/>
          <w:szCs w:val="28"/>
        </w:rPr>
        <w:t>инновационная активность</w:t>
      </w:r>
      <w:r w:rsidR="00EB3C41" w:rsidRPr="000D4FA1">
        <w:rPr>
          <w:sz w:val="28"/>
          <w:szCs w:val="28"/>
          <w:lang w:val="kk-KZ"/>
        </w:rPr>
        <w:t xml:space="preserve"> </w:t>
      </w:r>
      <w:r w:rsidR="007B767F" w:rsidRPr="000D4FA1">
        <w:rPr>
          <w:sz w:val="28"/>
          <w:szCs w:val="28"/>
          <w:lang w:val="kk-KZ"/>
        </w:rPr>
        <w:t>–</w:t>
      </w:r>
      <w:r w:rsidR="00EB3C41" w:rsidRPr="000D4FA1">
        <w:rPr>
          <w:sz w:val="28"/>
          <w:szCs w:val="28"/>
          <w:lang w:val="kk-KZ"/>
        </w:rPr>
        <w:t xml:space="preserve"> </w:t>
      </w:r>
      <w:r w:rsidRPr="000D4FA1">
        <w:rPr>
          <w:sz w:val="28"/>
          <w:szCs w:val="28"/>
        </w:rPr>
        <w:t xml:space="preserve">отражает готовность преподавателей внедрять современные цифровые и симуляционные технологии </w:t>
      </w:r>
      <w:r w:rsidRPr="000D4FA1">
        <w:rPr>
          <w:sz w:val="28"/>
          <w:szCs w:val="28"/>
        </w:rPr>
        <w:lastRenderedPageBreak/>
        <w:t>в образовательный процесс. Использование цифровых платформ, симуляционного оборудования и электронных образовательных ресурсов способствует обновлению методов преподавания и повышению качества подготовки будущих медицинских специалистов. Симуляционное обучение, имитирующее клинические ситуации, позволяет преподавателям эффективно адаптировать студентов к реальной профессиональной деятельности, что усиливает роль педагогов как фасилитаторов практико</w:t>
      </w:r>
      <w:r w:rsidR="007B767F" w:rsidRPr="000D4FA1">
        <w:rPr>
          <w:sz w:val="28"/>
          <w:szCs w:val="28"/>
        </w:rPr>
        <w:t>–</w:t>
      </w:r>
      <w:r w:rsidRPr="000D4FA1">
        <w:rPr>
          <w:sz w:val="28"/>
          <w:szCs w:val="28"/>
        </w:rPr>
        <w:t>ориентированного обучения. Инновационная активность повышает профессиональную самооценку преподавателей, стимулирует их включённость в непрерывное обучение и развитие, создаёт предпосылки для карьерного роста и укрепления человеческого потенциала организации.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Взаимосвязь двух блоков подчёркивает, что развитие человеческого потенциала преподавателей невозможно без сочетания благоприятного психологического климата и активного внедрения инноваций. Только при наличии эмоциональной устойчивости, поддержки коллектива и высокого уровня методического и технического обеспечения преподаватель способен эффективно адаптироваться к изменяющимся требованиям медицинского образования. Таким образом, представленная модель подчёркивает ключевую мысль: устойчивость образовательной организации напрямую зависит от условий, создаваемых для развития её педагогов, а повышение человеческого потенциала является важнейшим стратегическим фактором укрепления качества медицинского образования.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Карьерный рост в колледже обеспечивается функционированием разветвлённой организационной структуры (учебная часть, методический кабинет, отдел дополнительного образования, центр симуляции, центр цифровизации). Это создаёт возможности вертикальной и горизонтальной карьеры, что соответствует практикам современных образовательных организаций, ориентированных на развитие человеческого капитала. Для медицинских колледжей, особенно готовящих специалистов среднего звена, такие возможности являются критически важными, поскольку обеспечивают удержание опытных педагогов и предотвращают их переход в клинические учреждения, где уровень заработной платы часто выше.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Инновационная активность сотрудников проявляется в использовании цифровых технологий, симуляционного оборудования и электронных образовательных ресурсов, о чём свидетельствует деятельность Центра цифровизации и Центра симуляции профессиональных компетенций. Подобные структуры способствуют формированию инновационной культуры, вовлекают преподавателей в разработку новых методик обучения, что усиливает человеческий потенциал за счёт роста компетенций и повышения самостоятельности педагогов.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Психологический климат и проблема профессионального выгорания также являются важными аспектами оценки человеческого потенциала. Согласно международным данным, педагоги медицинских колледжей относятся к группе повышенного риска эмоционального выгорания из</w:t>
      </w:r>
      <w:r w:rsidR="007B767F" w:rsidRPr="000D4FA1">
        <w:rPr>
          <w:sz w:val="28"/>
          <w:szCs w:val="28"/>
        </w:rPr>
        <w:t>–</w:t>
      </w:r>
      <w:r w:rsidRPr="000D4FA1">
        <w:rPr>
          <w:sz w:val="28"/>
          <w:szCs w:val="28"/>
        </w:rPr>
        <w:t xml:space="preserve">за </w:t>
      </w:r>
      <w:r w:rsidRPr="000D4FA1">
        <w:rPr>
          <w:sz w:val="28"/>
          <w:szCs w:val="28"/>
        </w:rPr>
        <w:lastRenderedPageBreak/>
        <w:t>высокой нагрузки, ответственности и постоянного взаимодействия с обучающимися</w:t>
      </w:r>
      <w:r w:rsidR="003F2DA1" w:rsidRPr="000D4FA1">
        <w:rPr>
          <w:sz w:val="28"/>
          <w:szCs w:val="28"/>
        </w:rPr>
        <w:t>.</w:t>
      </w:r>
      <w:r w:rsidRPr="000D4FA1">
        <w:rPr>
          <w:sz w:val="28"/>
          <w:szCs w:val="28"/>
        </w:rPr>
        <w:t xml:space="preserve"> Анализ организационной структуры колледжа показывает, что наличие наставнической системы, методической поддержки и коллективных мероприятий способствует снижению рисков выгорания и поддержанию благоприятного психологического климата</w:t>
      </w:r>
      <w:r w:rsidR="002B5225" w:rsidRPr="000D4FA1">
        <w:rPr>
          <w:sz w:val="28"/>
          <w:szCs w:val="28"/>
        </w:rPr>
        <w:t xml:space="preserve"> [9</w:t>
      </w:r>
      <w:r w:rsidR="00FA259F" w:rsidRPr="000D4FA1">
        <w:rPr>
          <w:sz w:val="28"/>
          <w:szCs w:val="28"/>
        </w:rPr>
        <w:t>8</w:t>
      </w:r>
      <w:r w:rsidR="002B5225" w:rsidRPr="000D4FA1">
        <w:rPr>
          <w:sz w:val="28"/>
          <w:szCs w:val="28"/>
        </w:rPr>
        <w:t>]</w:t>
      </w:r>
      <w:r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совокупности условия работы и факторы развития человеческого потенциала в Шымкентском высшем медицинском колледже указывают на наличие устойчивой системы формирования профессиональных компетенций, мотивации и карьерного роста педагогов. Эти факторы напрямую связаны с общей темой диссертации, поскольку человеческий потенциал преподавателей является базовым элементом устойчивого развития образовательной организации, определяя качество подготовки медицинских кадров, конкурентоспособность колледжа и его способность адаптироваться к изменениям в системе здравоохранения.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Кадровый состав Шымкентского высшего медицинского колледжа демонстрирует устойчивое развитие и является ключевым элементом формирования человеческого потенциала организации. Согласно данным за 2020–2024 годы, численность преподавательского персонала (ППС) сохраняет стабильность и варьируется в пределах 132–141 человек, что обеспечивает непрерывность образовательного процесса и позволяет поддерживать оптимальное соотношение «преподаватель–студент». Устойчивость численности ППС в динамике подтверждает способность колледжа сохранять и развивать кадровый ресурс даже при увеличении контингента обучающихся.</w:t>
      </w:r>
    </w:p>
    <w:p w:rsidR="00492236" w:rsidRPr="000D4FA1" w:rsidRDefault="0049223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16</w:t>
      </w:r>
      <w:r w:rsidR="0068338D" w:rsidRPr="000D4FA1">
        <w:rPr>
          <w:sz w:val="28"/>
          <w:szCs w:val="28"/>
        </w:rPr>
        <w:t xml:space="preserve"> –</w:t>
      </w:r>
      <w:r w:rsidR="00EB3C41" w:rsidRPr="000D4FA1">
        <w:rPr>
          <w:sz w:val="28"/>
          <w:szCs w:val="28"/>
          <w:lang w:val="kk-KZ"/>
        </w:rPr>
        <w:t xml:space="preserve"> </w:t>
      </w:r>
      <w:r w:rsidRPr="000D4FA1">
        <w:rPr>
          <w:sz w:val="28"/>
          <w:szCs w:val="28"/>
        </w:rPr>
        <w:t>Динамика численности профессорско</w:t>
      </w:r>
      <w:r w:rsidR="007B767F" w:rsidRPr="000D4FA1">
        <w:rPr>
          <w:sz w:val="28"/>
          <w:szCs w:val="28"/>
        </w:rPr>
        <w:t>–</w:t>
      </w:r>
      <w:r w:rsidRPr="000D4FA1">
        <w:rPr>
          <w:sz w:val="28"/>
          <w:szCs w:val="28"/>
        </w:rPr>
        <w:t>преподавательского состава Шымкентского высшего медицинского колледжа по формам занятости (2020–2025 гг.)</w:t>
      </w:r>
    </w:p>
    <w:p w:rsidR="00FA259F" w:rsidRPr="000D4FA1" w:rsidRDefault="00FA259F" w:rsidP="00D144D6">
      <w:pPr>
        <w:pStyle w:val="a4"/>
        <w:spacing w:before="0" w:beforeAutospacing="0" w:after="0" w:afterAutospacing="0"/>
        <w:ind w:firstLine="720"/>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3"/>
        <w:gridCol w:w="1439"/>
        <w:gridCol w:w="1620"/>
        <w:gridCol w:w="1620"/>
        <w:gridCol w:w="1417"/>
        <w:gridCol w:w="1542"/>
      </w:tblGrid>
      <w:tr w:rsidR="00D144D6" w:rsidRPr="000D4FA1" w:rsidTr="00C76C5B">
        <w:trPr>
          <w:trHeight w:val="535"/>
        </w:trPr>
        <w:tc>
          <w:tcPr>
            <w:tcW w:w="1597"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lang w:val="ru-RU"/>
              </w:rPr>
            </w:pPr>
            <w:r w:rsidRPr="000D4FA1">
              <w:rPr>
                <w:rFonts w:ascii="Times New Roman" w:eastAsia="Times New Roman" w:hAnsi="Times New Roman" w:cs="Times New Roman"/>
                <w:color w:val="000000"/>
                <w:sz w:val="26"/>
                <w:szCs w:val="26"/>
                <w:lang w:val="ru-RU"/>
              </w:rPr>
              <w:t> </w:t>
            </w:r>
          </w:p>
        </w:tc>
        <w:tc>
          <w:tcPr>
            <w:tcW w:w="1485"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2020</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 xml:space="preserve"> 2021</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2021</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2022</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2022</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2023</w:t>
            </w:r>
          </w:p>
        </w:tc>
        <w:tc>
          <w:tcPr>
            <w:tcW w:w="1418"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2023</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2024</w:t>
            </w:r>
          </w:p>
        </w:tc>
        <w:tc>
          <w:tcPr>
            <w:tcW w:w="1559"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2024</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2025</w:t>
            </w:r>
          </w:p>
        </w:tc>
      </w:tr>
      <w:tr w:rsidR="00D144D6" w:rsidRPr="000D4FA1" w:rsidTr="00C76C5B">
        <w:trPr>
          <w:trHeight w:val="375"/>
        </w:trPr>
        <w:tc>
          <w:tcPr>
            <w:tcW w:w="1597"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Всего ППС:</w:t>
            </w:r>
          </w:p>
        </w:tc>
        <w:tc>
          <w:tcPr>
            <w:tcW w:w="1485"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185</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207 (100%)</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175 (100%)</w:t>
            </w:r>
          </w:p>
        </w:tc>
        <w:tc>
          <w:tcPr>
            <w:tcW w:w="1418"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215 (100%)</w:t>
            </w:r>
          </w:p>
        </w:tc>
        <w:tc>
          <w:tcPr>
            <w:tcW w:w="1559"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207 (100%)</w:t>
            </w:r>
          </w:p>
        </w:tc>
      </w:tr>
      <w:tr w:rsidR="00D144D6" w:rsidRPr="000D4FA1" w:rsidTr="00C76C5B">
        <w:trPr>
          <w:trHeight w:val="375"/>
        </w:trPr>
        <w:tc>
          <w:tcPr>
            <w:tcW w:w="1597"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Штатный:</w:t>
            </w:r>
          </w:p>
        </w:tc>
        <w:tc>
          <w:tcPr>
            <w:tcW w:w="1485"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132 (71,3%)</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141 (68,1%)</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rPr>
              <w:t>144 (82,3%)</w:t>
            </w:r>
          </w:p>
        </w:tc>
        <w:tc>
          <w:tcPr>
            <w:tcW w:w="1418"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167 (77,7%)</w:t>
            </w:r>
          </w:p>
        </w:tc>
        <w:tc>
          <w:tcPr>
            <w:tcW w:w="1559"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167 (81%)</w:t>
            </w:r>
          </w:p>
        </w:tc>
      </w:tr>
      <w:tr w:rsidR="00D144D6" w:rsidRPr="000D4FA1" w:rsidTr="00C76C5B">
        <w:trPr>
          <w:trHeight w:val="375"/>
        </w:trPr>
        <w:tc>
          <w:tcPr>
            <w:tcW w:w="1597"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Внештатный:</w:t>
            </w:r>
          </w:p>
        </w:tc>
        <w:tc>
          <w:tcPr>
            <w:tcW w:w="1485"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53 (29%)</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66 (31,9%)</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rPr>
              <w:t>31 (17,7%)</w:t>
            </w:r>
          </w:p>
        </w:tc>
        <w:tc>
          <w:tcPr>
            <w:tcW w:w="1418"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48 (22,3%)</w:t>
            </w:r>
          </w:p>
        </w:tc>
        <w:tc>
          <w:tcPr>
            <w:tcW w:w="1559"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40 (19,3%)</w:t>
            </w:r>
          </w:p>
        </w:tc>
      </w:tr>
      <w:tr w:rsidR="00D144D6" w:rsidRPr="000D4FA1" w:rsidTr="00C76C5B">
        <w:trPr>
          <w:trHeight w:val="630"/>
        </w:trPr>
        <w:tc>
          <w:tcPr>
            <w:tcW w:w="1597"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kk-KZ"/>
              </w:rPr>
              <w:t>Кандидант:</w:t>
            </w:r>
          </w:p>
        </w:tc>
        <w:tc>
          <w:tcPr>
            <w:tcW w:w="1485"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1 (0,5%)</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Кандидат</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 xml:space="preserve">1 (0,7%) </w:t>
            </w:r>
          </w:p>
        </w:tc>
        <w:tc>
          <w:tcPr>
            <w:tcW w:w="1646"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Кандидат</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1 (0,6%)</w:t>
            </w:r>
          </w:p>
        </w:tc>
        <w:tc>
          <w:tcPr>
            <w:tcW w:w="1418"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Кандидат</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1 (0,5%)</w:t>
            </w:r>
          </w:p>
        </w:tc>
        <w:tc>
          <w:tcPr>
            <w:tcW w:w="1559" w:type="dxa"/>
            <w:vAlign w:val="center"/>
            <w:hideMark/>
          </w:tcPr>
          <w:p w:rsidR="00D144D6" w:rsidRPr="000D4FA1" w:rsidRDefault="00D144D6" w:rsidP="00C76C5B">
            <w:pPr>
              <w:spacing w:after="0" w:line="240" w:lineRule="auto"/>
              <w:jc w:val="center"/>
              <w:rPr>
                <w:rFonts w:ascii="Times New Roman" w:eastAsia="Times New Roman" w:hAnsi="Times New Roman" w:cs="Times New Roman"/>
                <w:color w:val="000000"/>
                <w:sz w:val="26"/>
                <w:szCs w:val="26"/>
              </w:rPr>
            </w:pPr>
            <w:r w:rsidRPr="000D4FA1">
              <w:rPr>
                <w:rFonts w:ascii="Times New Roman" w:eastAsia="Times New Roman" w:hAnsi="Times New Roman" w:cs="Times New Roman"/>
                <w:color w:val="000000"/>
                <w:sz w:val="26"/>
                <w:szCs w:val="26"/>
                <w:lang w:val="ru-RU"/>
              </w:rPr>
              <w:t>Кандидат</w:t>
            </w:r>
            <w:r w:rsidR="007B767F" w:rsidRPr="000D4FA1">
              <w:rPr>
                <w:rFonts w:ascii="Times New Roman" w:eastAsia="Times New Roman" w:hAnsi="Times New Roman" w:cs="Times New Roman"/>
                <w:color w:val="000000"/>
                <w:sz w:val="26"/>
                <w:szCs w:val="26"/>
                <w:lang w:val="ru-RU"/>
              </w:rPr>
              <w:t>–</w:t>
            </w:r>
            <w:r w:rsidRPr="000D4FA1">
              <w:rPr>
                <w:rFonts w:ascii="Times New Roman" w:eastAsia="Times New Roman" w:hAnsi="Times New Roman" w:cs="Times New Roman"/>
                <w:color w:val="000000"/>
                <w:sz w:val="26"/>
                <w:szCs w:val="26"/>
                <w:lang w:val="ru-RU"/>
              </w:rPr>
              <w:t>1 (0,6%)</w:t>
            </w:r>
          </w:p>
        </w:tc>
      </w:tr>
      <w:tr w:rsidR="00D144D6" w:rsidRPr="0036668B" w:rsidTr="00C76C5B">
        <w:trPr>
          <w:trHeight w:val="630"/>
        </w:trPr>
        <w:tc>
          <w:tcPr>
            <w:tcW w:w="9351" w:type="dxa"/>
            <w:gridSpan w:val="6"/>
            <w:vAlign w:val="center"/>
          </w:tcPr>
          <w:p w:rsidR="00D144D6" w:rsidRPr="000D4FA1" w:rsidRDefault="0068338D" w:rsidP="00C76C5B">
            <w:pPr>
              <w:spacing w:after="0" w:line="240" w:lineRule="auto"/>
              <w:jc w:val="both"/>
              <w:rPr>
                <w:rFonts w:ascii="Times New Roman" w:eastAsia="Times New Roman" w:hAnsi="Times New Roman" w:cs="Times New Roman"/>
                <w:color w:val="000000"/>
                <w:lang w:val="ru-RU"/>
              </w:rPr>
            </w:pPr>
            <w:r w:rsidRPr="000D4FA1">
              <w:rPr>
                <w:rFonts w:ascii="Times New Roman" w:eastAsia="Times New Roman" w:hAnsi="Times New Roman" w:cs="Times New Roman"/>
                <w:color w:val="000000"/>
                <w:sz w:val="26"/>
                <w:szCs w:val="26"/>
                <w:lang w:val="ru-RU"/>
              </w:rPr>
              <w:t xml:space="preserve">             </w:t>
            </w:r>
            <w:r w:rsidR="00D144D6" w:rsidRPr="000D4FA1">
              <w:rPr>
                <w:rFonts w:ascii="Times New Roman" w:eastAsia="Times New Roman" w:hAnsi="Times New Roman" w:cs="Times New Roman"/>
                <w:color w:val="000000"/>
                <w:lang w:val="ru-RU"/>
              </w:rPr>
              <w:t>Примечание – составлен</w:t>
            </w:r>
            <w:r w:rsidRPr="000D4FA1">
              <w:rPr>
                <w:rFonts w:ascii="Times New Roman" w:eastAsia="Times New Roman" w:hAnsi="Times New Roman" w:cs="Times New Roman"/>
                <w:color w:val="000000"/>
                <w:lang w:val="ru-RU"/>
              </w:rPr>
              <w:t>о</w:t>
            </w:r>
            <w:r w:rsidR="00D144D6" w:rsidRPr="000D4FA1">
              <w:rPr>
                <w:rFonts w:ascii="Times New Roman" w:eastAsia="Times New Roman" w:hAnsi="Times New Roman" w:cs="Times New Roman"/>
                <w:color w:val="000000"/>
                <w:lang w:val="ru-RU"/>
              </w:rPr>
              <w:t xml:space="preserve"> автором на основе данных внутренней отчетности Шымкентского высшего медицинского колледжа о кадровом составе за 2020–2025 у</w:t>
            </w:r>
            <w:r w:rsidR="001140E9" w:rsidRPr="000D4FA1">
              <w:rPr>
                <w:rFonts w:ascii="Times New Roman" w:eastAsia="Times New Roman" w:hAnsi="Times New Roman" w:cs="Times New Roman"/>
                <w:color w:val="000000"/>
                <w:lang w:val="ru-RU"/>
              </w:rPr>
              <w:t>.г.</w:t>
            </w:r>
          </w:p>
        </w:tc>
      </w:tr>
    </w:tbl>
    <w:p w:rsidR="007F50FD" w:rsidRDefault="007F50FD" w:rsidP="00FA6263">
      <w:pPr>
        <w:pStyle w:val="a4"/>
        <w:spacing w:before="0" w:beforeAutospacing="0" w:after="0" w:afterAutospacing="0"/>
        <w:ind w:firstLine="720"/>
        <w:jc w:val="both"/>
        <w:rPr>
          <w:sz w:val="28"/>
          <w:szCs w:val="28"/>
        </w:rPr>
      </w:pPr>
    </w:p>
    <w:p w:rsidR="00D144D6" w:rsidRPr="000D4FA1" w:rsidRDefault="00D144D6" w:rsidP="00FA6263">
      <w:pPr>
        <w:pStyle w:val="a4"/>
        <w:spacing w:before="0" w:beforeAutospacing="0" w:after="0" w:afterAutospacing="0"/>
        <w:ind w:firstLine="720"/>
        <w:jc w:val="both"/>
        <w:rPr>
          <w:sz w:val="28"/>
          <w:szCs w:val="28"/>
        </w:rPr>
      </w:pPr>
      <w:r w:rsidRPr="000D4FA1">
        <w:rPr>
          <w:sz w:val="28"/>
          <w:szCs w:val="28"/>
        </w:rPr>
        <w:t>Анализ представленных данных показывает, что численность профессорско</w:t>
      </w:r>
      <w:r w:rsidR="007B767F" w:rsidRPr="000D4FA1">
        <w:rPr>
          <w:sz w:val="28"/>
          <w:szCs w:val="28"/>
        </w:rPr>
        <w:t>–</w:t>
      </w:r>
      <w:r w:rsidRPr="000D4FA1">
        <w:rPr>
          <w:sz w:val="28"/>
          <w:szCs w:val="28"/>
        </w:rPr>
        <w:t>преподавательского состава (ППС) Шымкентского высшего медицинского колледжа в период 2020–2025 гг. демонстрирует волнообразную, но в целом устойчивую</w:t>
      </w:r>
      <w:r w:rsidR="00FA6263" w:rsidRPr="000D4FA1">
        <w:rPr>
          <w:sz w:val="28"/>
          <w:szCs w:val="28"/>
        </w:rPr>
        <w:t xml:space="preserve"> динамику, отражающую адаптацию</w:t>
      </w:r>
      <w:r w:rsidR="00FA6263" w:rsidRPr="000D4FA1">
        <w:rPr>
          <w:sz w:val="28"/>
          <w:szCs w:val="28"/>
          <w:lang w:val="kk-KZ"/>
        </w:rPr>
        <w:t xml:space="preserve"> </w:t>
      </w:r>
      <w:r w:rsidRPr="000D4FA1">
        <w:rPr>
          <w:sz w:val="28"/>
          <w:szCs w:val="28"/>
        </w:rPr>
        <w:t xml:space="preserve">образовательной </w:t>
      </w:r>
      <w:r w:rsidRPr="000D4FA1">
        <w:rPr>
          <w:sz w:val="28"/>
          <w:szCs w:val="28"/>
        </w:rPr>
        <w:lastRenderedPageBreak/>
        <w:t>организации к изменениям в системе здравоохранения, требованиям рынка труда и государственным регуляторным стандартам.</w:t>
      </w:r>
    </w:p>
    <w:p w:rsidR="00FA6263" w:rsidRPr="000D4FA1" w:rsidRDefault="00FA6263" w:rsidP="00D144D6">
      <w:pPr>
        <w:pStyle w:val="a4"/>
        <w:spacing w:before="0" w:beforeAutospacing="0" w:after="0" w:afterAutospacing="0"/>
        <w:ind w:firstLine="720"/>
        <w:jc w:val="both"/>
        <w:rPr>
          <w:sz w:val="28"/>
          <w:szCs w:val="28"/>
        </w:rPr>
      </w:pPr>
      <w:r w:rsidRPr="000D4FA1">
        <w:rPr>
          <w:noProof/>
        </w:rPr>
        <w:drawing>
          <wp:anchor distT="0" distB="0" distL="114300" distR="114300" simplePos="0" relativeHeight="251644928" behindDoc="1" locked="0" layoutInCell="1" allowOverlap="1">
            <wp:simplePos x="0" y="0"/>
            <wp:positionH relativeFrom="margin">
              <wp:posOffset>-1905</wp:posOffset>
            </wp:positionH>
            <wp:positionV relativeFrom="paragraph">
              <wp:posOffset>278765</wp:posOffset>
            </wp:positionV>
            <wp:extent cx="6160135" cy="2754630"/>
            <wp:effectExtent l="0" t="0" r="0" b="0"/>
            <wp:wrapTight wrapText="bothSides">
              <wp:wrapPolygon edited="0">
                <wp:start x="0" y="0"/>
                <wp:lineTo x="0" y="21510"/>
                <wp:lineTo x="21576" y="21510"/>
                <wp:lineTo x="21576" y="0"/>
                <wp:lineTo x="0" y="0"/>
              </wp:wrapPolygon>
            </wp:wrapTight>
            <wp:docPr id="1402846320"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72321D7-CFEC-732A-DF93-69AB3BED0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D144D6" w:rsidRPr="000D4FA1" w:rsidRDefault="00D144D6" w:rsidP="00FA259F">
      <w:pPr>
        <w:pStyle w:val="a4"/>
        <w:spacing w:before="0" w:beforeAutospacing="0" w:after="0" w:afterAutospacing="0"/>
        <w:ind w:firstLine="720"/>
        <w:jc w:val="center"/>
        <w:rPr>
          <w:sz w:val="28"/>
          <w:szCs w:val="28"/>
        </w:rPr>
      </w:pPr>
      <w:r w:rsidRPr="000D4FA1">
        <w:rPr>
          <w:sz w:val="28"/>
          <w:szCs w:val="28"/>
        </w:rPr>
        <w:t xml:space="preserve">Рисунок </w:t>
      </w:r>
      <w:r w:rsidR="007F50FD">
        <w:rPr>
          <w:sz w:val="28"/>
          <w:szCs w:val="28"/>
        </w:rPr>
        <w:t>7</w:t>
      </w:r>
      <w:r w:rsidR="0068338D" w:rsidRPr="000D4FA1">
        <w:rPr>
          <w:sz w:val="28"/>
          <w:szCs w:val="28"/>
        </w:rPr>
        <w:t xml:space="preserve"> –</w:t>
      </w:r>
      <w:r w:rsidR="00FA6263" w:rsidRPr="000D4FA1">
        <w:rPr>
          <w:sz w:val="28"/>
          <w:szCs w:val="28"/>
          <w:lang w:val="kk-KZ"/>
        </w:rPr>
        <w:t xml:space="preserve"> </w:t>
      </w:r>
      <w:r w:rsidRPr="000D4FA1">
        <w:rPr>
          <w:sz w:val="28"/>
          <w:szCs w:val="28"/>
        </w:rPr>
        <w:t>Динамика численности штатных преподавателей и их удельного веса в общем составе ППС (2020–2025 гг.)</w:t>
      </w:r>
    </w:p>
    <w:p w:rsidR="00D144D6" w:rsidRPr="000D4FA1" w:rsidRDefault="00D144D6" w:rsidP="00D144D6">
      <w:pPr>
        <w:spacing w:after="0" w:line="240" w:lineRule="auto"/>
        <w:ind w:firstLine="720"/>
        <w:jc w:val="both"/>
        <w:rPr>
          <w:rFonts w:ascii="Times New Roman" w:eastAsia="Times New Roman" w:hAnsi="Times New Roman" w:cs="Times New Roman"/>
          <w:bCs/>
          <w:sz w:val="28"/>
          <w:szCs w:val="28"/>
          <w:lang w:val="ru-RU" w:eastAsia="ru-RU"/>
        </w:rPr>
      </w:pPr>
    </w:p>
    <w:p w:rsidR="00D144D6" w:rsidRPr="000D4FA1" w:rsidRDefault="00D144D6" w:rsidP="00D144D6">
      <w:pPr>
        <w:spacing w:after="0" w:line="240" w:lineRule="auto"/>
        <w:ind w:firstLine="720"/>
        <w:jc w:val="both"/>
        <w:rPr>
          <w:rFonts w:ascii="Times New Roman" w:eastAsia="Times New Roman" w:hAnsi="Times New Roman" w:cs="Times New Roman"/>
          <w:bCs/>
          <w:sz w:val="24"/>
          <w:szCs w:val="24"/>
          <w:lang w:val="ru-RU" w:eastAsia="ru-RU"/>
        </w:rPr>
      </w:pPr>
      <w:r w:rsidRPr="000D4FA1">
        <w:rPr>
          <w:rFonts w:ascii="Times New Roman" w:eastAsia="Times New Roman" w:hAnsi="Times New Roman" w:cs="Times New Roman"/>
          <w:bCs/>
          <w:sz w:val="24"/>
          <w:szCs w:val="24"/>
          <w:lang w:val="ru-RU" w:eastAsia="ru-RU"/>
        </w:rPr>
        <w:t>Примечание – построен автором на основе внутренней статистики Шымкентского высшего медицинского колледжа о кадровом составе ППС за 2020–2025 учебные годы</w:t>
      </w:r>
    </w:p>
    <w:p w:rsidR="0087121B" w:rsidRPr="000D4FA1" w:rsidRDefault="0087121B" w:rsidP="00D144D6">
      <w:pPr>
        <w:spacing w:after="0" w:line="240" w:lineRule="auto"/>
        <w:ind w:firstLine="720"/>
        <w:jc w:val="both"/>
        <w:rPr>
          <w:rFonts w:ascii="Times New Roman" w:eastAsia="Times New Roman" w:hAnsi="Times New Roman" w:cs="Times New Roman"/>
          <w:bCs/>
          <w:sz w:val="24"/>
          <w:szCs w:val="24"/>
          <w:lang w:val="ru-RU" w:eastAsia="ru-RU"/>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Представленный график демонстрирует динамику численности штатных преподавателей Шымкентского высшего медицинского колледжа и их удельного веса в общем составе ППС за 2020–2025 годы, отражая ключевые тенденции развития кадрового потенциала образовательной организации. Количество штатных педагогов увеличилось с 132 человек в 2020–2021 учебном году до 167 человек в 2023–2024, сохранив этот показатель на аналогичном уровне в 2024–2025 году.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Удельный вес штатных сотрудников при этом колебался в пределах 68–82 %, демонстрируя гармоничное сочетание стабильного кадрового ядра и гибкости привлечения внешних специалистов. Рост доли штатных преподавателей в 2022–2023 году до 82,3 % имеет важную экономическую интерпретацию: колледж в этот период усилил внутренний кадровый ресурс, что снижает транзакционные издержки, повышает непрерывность образовательного процесса и способствует повышению качества подготовки специалистов.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Незначительные колебания доли штатных педагогов в последующие годы (77,7 % и 81 %) свидетельствуют о стратегически выверенном балансе между постоянными и внешними кадрами, позволяющем поддерживать устойчивость образовательной деятельности в условиях меняющихся требований рынка труда и системы здравоохранения.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Динамика численности ППС и изменение доли штатных преподавателей в Шымкентском высшем медицинском колледже свидетельствует о </w:t>
      </w:r>
      <w:r w:rsidRPr="000D4FA1">
        <w:rPr>
          <w:sz w:val="28"/>
          <w:szCs w:val="28"/>
        </w:rPr>
        <w:lastRenderedPageBreak/>
        <w:t xml:space="preserve">возрастающей устойчивости организации и способности эффективно управлять кадровыми ресурсами в условиях реформ системы здравоохранения.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Укрепление штатного ядра преподавателей формирует стратегическое преимущество колледжа, поскольку высокий уровень профессионализма, квалификационной стабильности и вовлеченности персонала прямо влияет на качество образовательных услуг, конкурентоспособность выпускников и доверие со стороны клинических баз.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Одновременно рост штатных сотрудников снижает транзакционные издержки на привлечение внешних специалистов и оптимизирует структуру затрат, создавая экономический эффект, который усиливает устойчивость образовательной организации. Сбалансированное сочетание штатных и внешних педагогов обеспечивает практико</w:t>
      </w:r>
      <w:r w:rsidR="007B767F" w:rsidRPr="000D4FA1">
        <w:rPr>
          <w:sz w:val="28"/>
          <w:szCs w:val="28"/>
        </w:rPr>
        <w:t>–</w:t>
      </w:r>
      <w:r w:rsidRPr="000D4FA1">
        <w:rPr>
          <w:sz w:val="28"/>
          <w:szCs w:val="28"/>
        </w:rPr>
        <w:t xml:space="preserve">ориентированность подготовки, позволяя интегрировать реальные клинические кейсы и современные технологии в учебный процесс, что соответствует требованию МЗ РК по развитию компетенций медицинских работников.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Таким образом, кадровые изменения отражают не только количественный рост, но и качественное развитие человеческого потенциала как стратегического ресурса, обеспечивающего долгосрочную устойчивость, адаптивность и эффективность медицинского колледжа, что полностью соответствует концептуальной рамке диссертации.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17</w:t>
      </w:r>
      <w:r w:rsidR="00E9370D" w:rsidRPr="000D4FA1">
        <w:rPr>
          <w:sz w:val="28"/>
          <w:szCs w:val="28"/>
        </w:rPr>
        <w:t xml:space="preserve"> –</w:t>
      </w:r>
      <w:r w:rsidR="00013C82" w:rsidRPr="000D4FA1">
        <w:rPr>
          <w:sz w:val="28"/>
          <w:szCs w:val="28"/>
          <w:lang w:val="kk-KZ"/>
        </w:rPr>
        <w:t xml:space="preserve"> </w:t>
      </w:r>
      <w:r w:rsidRPr="000D4FA1">
        <w:rPr>
          <w:sz w:val="28"/>
          <w:szCs w:val="28"/>
        </w:rPr>
        <w:t>Динамика квалификационных категорий и профессионального статуса ППС Шымкентского высшего медицинского колледжа (2020–2025 гг.)</w:t>
      </w:r>
    </w:p>
    <w:p w:rsidR="00D144D6" w:rsidRPr="000D4FA1" w:rsidRDefault="00D144D6" w:rsidP="00D144D6">
      <w:pPr>
        <w:pStyle w:val="a4"/>
        <w:spacing w:before="0" w:beforeAutospacing="0" w:after="0" w:afterAutospacing="0"/>
        <w:ind w:firstLine="720"/>
        <w:jc w:val="both"/>
        <w:rPr>
          <w:sz w:val="28"/>
          <w:szCs w:val="28"/>
        </w:rPr>
      </w:pPr>
    </w:p>
    <w:tbl>
      <w:tblPr>
        <w:tblStyle w:val="af4"/>
        <w:tblW w:w="0" w:type="auto"/>
        <w:tblLook w:val="04A0"/>
      </w:tblPr>
      <w:tblGrid>
        <w:gridCol w:w="2122"/>
        <w:gridCol w:w="1440"/>
        <w:gridCol w:w="1440"/>
        <w:gridCol w:w="1440"/>
        <w:gridCol w:w="1440"/>
        <w:gridCol w:w="1865"/>
      </w:tblGrid>
      <w:tr w:rsidR="00D144D6" w:rsidRPr="000D4FA1" w:rsidTr="001140E9">
        <w:trPr>
          <w:trHeight w:val="329"/>
        </w:trPr>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Категория</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2020–2021</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2021–2022</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2022–2023</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2023–2024</w:t>
            </w:r>
          </w:p>
        </w:tc>
        <w:tc>
          <w:tcPr>
            <w:tcW w:w="1865"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2024–2025</w:t>
            </w:r>
          </w:p>
        </w:tc>
      </w:tr>
      <w:tr w:rsidR="00D144D6" w:rsidRPr="000D4FA1" w:rsidTr="001140E9">
        <w:trPr>
          <w:trHeight w:val="507"/>
        </w:trPr>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Педагог</w:t>
            </w:r>
            <w:r w:rsidR="007B767F" w:rsidRPr="000D4FA1">
              <w:rPr>
                <w:rFonts w:ascii="Times New Roman" w:hAnsi="Times New Roman" w:cs="Times New Roman"/>
                <w:noProof/>
                <w:sz w:val="24"/>
                <w:szCs w:val="24"/>
                <w:lang w:val="ru-RU"/>
              </w:rPr>
              <w:t>–</w:t>
            </w:r>
            <w:r w:rsidRPr="000D4FA1">
              <w:rPr>
                <w:rFonts w:ascii="Times New Roman" w:hAnsi="Times New Roman" w:cs="Times New Roman"/>
                <w:noProof/>
                <w:sz w:val="24"/>
                <w:szCs w:val="24"/>
                <w:lang w:val="ru-RU"/>
              </w:rPr>
              <w:t>исследователь</w:t>
            </w:r>
          </w:p>
        </w:tc>
        <w:tc>
          <w:tcPr>
            <w:tcW w:w="1440" w:type="dxa"/>
          </w:tcPr>
          <w:p w:rsidR="00D144D6" w:rsidRPr="000D4FA1" w:rsidRDefault="00D144D6" w:rsidP="001140E9">
            <w:pPr>
              <w:spacing w:after="0"/>
              <w:rPr>
                <w:rFonts w:ascii="Times New Roman" w:hAnsi="Times New Roman" w:cs="Times New Roman"/>
                <w:noProof/>
                <w:sz w:val="24"/>
                <w:szCs w:val="24"/>
                <w:lang w:val="ru-RU"/>
              </w:rPr>
            </w:pP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 (4,3%)</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 (4,2%)</w:t>
            </w:r>
          </w:p>
        </w:tc>
        <w:tc>
          <w:tcPr>
            <w:tcW w:w="144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16 (9,5%)</w:t>
            </w:r>
          </w:p>
        </w:tc>
        <w:tc>
          <w:tcPr>
            <w:tcW w:w="1865"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16 (10%)</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Педагог</w:t>
            </w:r>
            <w:r w:rsidR="007B767F" w:rsidRPr="000D4FA1">
              <w:rPr>
                <w:rFonts w:ascii="Times New Roman" w:hAnsi="Times New Roman" w:cs="Times New Roman"/>
                <w:noProof/>
                <w:sz w:val="24"/>
                <w:szCs w:val="24"/>
                <w:lang w:val="ru-RU"/>
              </w:rPr>
              <w:t>–</w:t>
            </w:r>
            <w:r w:rsidRPr="000D4FA1">
              <w:rPr>
                <w:rFonts w:ascii="Times New Roman" w:hAnsi="Times New Roman" w:cs="Times New Roman"/>
                <w:noProof/>
                <w:sz w:val="24"/>
                <w:szCs w:val="24"/>
                <w:lang w:val="ru-RU"/>
              </w:rPr>
              <w:t>мастер</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 (0,7%)</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 (0,7%)</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 (0,5%)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 (0,5%)</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Педагог</w:t>
            </w:r>
            <w:r w:rsidR="007B767F" w:rsidRPr="000D4FA1">
              <w:rPr>
                <w:rFonts w:ascii="Times New Roman" w:hAnsi="Times New Roman" w:cs="Times New Roman"/>
                <w:noProof/>
                <w:sz w:val="24"/>
                <w:szCs w:val="24"/>
                <w:lang w:val="ru-RU"/>
              </w:rPr>
              <w:t>–</w:t>
            </w:r>
            <w:r w:rsidRPr="000D4FA1">
              <w:rPr>
                <w:rFonts w:ascii="Times New Roman" w:hAnsi="Times New Roman" w:cs="Times New Roman"/>
                <w:noProof/>
                <w:sz w:val="24"/>
                <w:szCs w:val="24"/>
                <w:lang w:val="ru-RU"/>
              </w:rPr>
              <w:t>эксперт</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7 (5,0%)</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 (4,2%)</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13 (8%)</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13 (7,8%)</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Модератор</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16 (11,4%)</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 (13,9%)</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41 (24,5%)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61 (36,5%)</w:t>
            </w:r>
          </w:p>
        </w:tc>
      </w:tr>
      <w:tr w:rsidR="00D144D6" w:rsidRPr="000D4FA1" w:rsidTr="001140E9">
        <w:trPr>
          <w:trHeight w:val="344"/>
        </w:trPr>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Высшая категория</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38 (29%)</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26 (18,4%)</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15 (10,4%)</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8 (5%)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4 (2,3%)</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I категория</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24 (18,1%)</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19 (13,4%)</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 (4,2%)</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 (3,5%)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4 (2,3%)</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II категория</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29 (22%)</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25 (17,8%)</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10 (6,9%)</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11 (6,5%)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8 (4,8%)</w:t>
            </w:r>
          </w:p>
        </w:tc>
      </w:tr>
      <w:tr w:rsidR="00D144D6" w:rsidRPr="000D4FA1" w:rsidTr="001140E9">
        <w:tc>
          <w:tcPr>
            <w:tcW w:w="2122"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Без категории</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94 (71,2%)</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41 (29%)</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80 (55,5%)</w:t>
            </w:r>
          </w:p>
        </w:tc>
        <w:tc>
          <w:tcPr>
            <w:tcW w:w="1440"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71 (42,5%)</w:t>
            </w:r>
          </w:p>
        </w:tc>
        <w:tc>
          <w:tcPr>
            <w:tcW w:w="1865" w:type="dxa"/>
          </w:tcPr>
          <w:p w:rsidR="00D144D6" w:rsidRPr="000D4FA1" w:rsidRDefault="00D144D6" w:rsidP="001140E9">
            <w:pPr>
              <w:spacing w:after="0"/>
              <w:jc w:val="center"/>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60 (36%)</w:t>
            </w:r>
          </w:p>
        </w:tc>
      </w:tr>
      <w:tr w:rsidR="00D144D6" w:rsidRPr="0036668B" w:rsidTr="001140E9">
        <w:tc>
          <w:tcPr>
            <w:tcW w:w="9747" w:type="dxa"/>
            <w:gridSpan w:val="6"/>
          </w:tcPr>
          <w:p w:rsidR="00D144D6" w:rsidRPr="000D4FA1" w:rsidRDefault="00E34609" w:rsidP="001140E9">
            <w:pPr>
              <w:spacing w:after="0" w:line="240" w:lineRule="auto"/>
              <w:jc w:val="both"/>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 xml:space="preserve">             </w:t>
            </w:r>
            <w:r w:rsidR="00D144D6" w:rsidRPr="000D4FA1">
              <w:rPr>
                <w:rFonts w:ascii="Times New Roman" w:hAnsi="Times New Roman" w:cs="Times New Roman"/>
                <w:noProof/>
                <w:sz w:val="24"/>
                <w:szCs w:val="24"/>
                <w:lang w:val="ru-RU"/>
              </w:rPr>
              <w:t xml:space="preserve">Примечание – </w:t>
            </w:r>
            <w:r w:rsidR="00217812" w:rsidRPr="000D4FA1">
              <w:rPr>
                <w:rFonts w:ascii="Times New Roman" w:hAnsi="Times New Roman" w:cs="Times New Roman"/>
                <w:noProof/>
                <w:sz w:val="24"/>
                <w:szCs w:val="24"/>
                <w:lang w:val="ru-RU"/>
              </w:rPr>
              <w:t>Т</w:t>
            </w:r>
            <w:r w:rsidR="00D144D6" w:rsidRPr="000D4FA1">
              <w:rPr>
                <w:rFonts w:ascii="Times New Roman" w:hAnsi="Times New Roman" w:cs="Times New Roman"/>
                <w:noProof/>
                <w:sz w:val="24"/>
                <w:szCs w:val="24"/>
                <w:lang w:val="ru-RU"/>
              </w:rPr>
              <w:t>аблица составлена автором на основе данных внутренней отчетности Шымкентского высшего медицинского колледжа о квалификационном составе педагогических работников за 2020–2025 учебные годы</w:t>
            </w:r>
          </w:p>
        </w:tc>
      </w:tr>
    </w:tbl>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Представленные данные </w:t>
      </w:r>
      <w:r w:rsidR="001140E9" w:rsidRPr="000D4FA1">
        <w:rPr>
          <w:sz w:val="28"/>
          <w:szCs w:val="28"/>
        </w:rPr>
        <w:t xml:space="preserve">в таблице 17 </w:t>
      </w:r>
      <w:r w:rsidRPr="000D4FA1">
        <w:rPr>
          <w:sz w:val="28"/>
          <w:szCs w:val="28"/>
        </w:rPr>
        <w:t>демонстрируют существенную трансформацию квалификационного состава профессорско</w:t>
      </w:r>
      <w:r w:rsidR="007B767F" w:rsidRPr="000D4FA1">
        <w:rPr>
          <w:sz w:val="28"/>
          <w:szCs w:val="28"/>
        </w:rPr>
        <w:t>–</w:t>
      </w:r>
      <w:r w:rsidRPr="000D4FA1">
        <w:rPr>
          <w:sz w:val="28"/>
          <w:szCs w:val="28"/>
        </w:rPr>
        <w:t xml:space="preserve">преподавательского состава Шымкентского высшего медицинского колледжа за период 2020–2025 гг., что позволяет оценить динамику развития человеческого потенциала и способность организации формировать устойчивые кадровые ресурсы в условиях реформ здравоохранения и ТиПО. За рассматриваемый период наблюдается выраженный рост новых </w:t>
      </w:r>
      <w:r w:rsidRPr="000D4FA1">
        <w:rPr>
          <w:sz w:val="28"/>
          <w:szCs w:val="28"/>
        </w:rPr>
        <w:lastRenderedPageBreak/>
        <w:t xml:space="preserve">профессиональных статусов, таких как </w:t>
      </w:r>
      <w:r w:rsidR="00013C82" w:rsidRPr="000D4FA1">
        <w:rPr>
          <w:sz w:val="28"/>
          <w:szCs w:val="28"/>
        </w:rPr>
        <w:t>«педагог</w:t>
      </w:r>
      <w:r w:rsidR="007B767F" w:rsidRPr="000D4FA1">
        <w:rPr>
          <w:sz w:val="28"/>
          <w:szCs w:val="28"/>
        </w:rPr>
        <w:t>–</w:t>
      </w:r>
      <w:r w:rsidR="00013C82" w:rsidRPr="000D4FA1">
        <w:rPr>
          <w:sz w:val="28"/>
          <w:szCs w:val="28"/>
        </w:rPr>
        <w:t xml:space="preserve">мастер», </w:t>
      </w:r>
      <w:r w:rsidRPr="000D4FA1">
        <w:rPr>
          <w:sz w:val="28"/>
          <w:szCs w:val="28"/>
        </w:rPr>
        <w:t>«педагог</w:t>
      </w:r>
      <w:r w:rsidR="007B767F" w:rsidRPr="000D4FA1">
        <w:rPr>
          <w:sz w:val="28"/>
          <w:szCs w:val="28"/>
        </w:rPr>
        <w:t>–</w:t>
      </w:r>
      <w:r w:rsidRPr="000D4FA1">
        <w:rPr>
          <w:sz w:val="28"/>
          <w:szCs w:val="28"/>
        </w:rPr>
        <w:t>исследователь», «педагог</w:t>
      </w:r>
      <w:r w:rsidR="007B767F" w:rsidRPr="000D4FA1">
        <w:rPr>
          <w:sz w:val="28"/>
          <w:szCs w:val="28"/>
        </w:rPr>
        <w:t>–</w:t>
      </w:r>
      <w:r w:rsidRPr="000D4FA1">
        <w:rPr>
          <w:sz w:val="28"/>
          <w:szCs w:val="28"/>
        </w:rPr>
        <w:t>эксперт»</w:t>
      </w:r>
      <w:r w:rsidR="00013C82" w:rsidRPr="000D4FA1">
        <w:rPr>
          <w:sz w:val="28"/>
          <w:szCs w:val="28"/>
          <w:lang w:val="kk-KZ"/>
        </w:rPr>
        <w:t xml:space="preserve"> и </w:t>
      </w:r>
      <w:r w:rsidRPr="000D4FA1">
        <w:rPr>
          <w:sz w:val="28"/>
          <w:szCs w:val="28"/>
        </w:rPr>
        <w:t>«модератор»</w:t>
      </w:r>
      <w:r w:rsidR="00013C82" w:rsidRPr="000D4FA1">
        <w:rPr>
          <w:sz w:val="28"/>
          <w:szCs w:val="28"/>
          <w:lang w:val="kk-KZ"/>
        </w:rPr>
        <w:t xml:space="preserve">, </w:t>
      </w:r>
      <w:r w:rsidRPr="000D4FA1">
        <w:rPr>
          <w:sz w:val="28"/>
          <w:szCs w:val="28"/>
        </w:rPr>
        <w:t>отражающий переход образовательной организации на современную модель педагогической сертификации и карьерного развития. Если в 2020–2021 учебном году данные категории полностью отсутствовали, то к 2024–2025 году численность педагогов</w:t>
      </w:r>
      <w:r w:rsidR="007B767F" w:rsidRPr="000D4FA1">
        <w:rPr>
          <w:sz w:val="28"/>
          <w:szCs w:val="28"/>
        </w:rPr>
        <w:t>–</w:t>
      </w:r>
      <w:r w:rsidRPr="000D4FA1">
        <w:rPr>
          <w:sz w:val="28"/>
          <w:szCs w:val="28"/>
        </w:rPr>
        <w:t>исследователей достигла 10 %, педагогов</w:t>
      </w:r>
      <w:r w:rsidR="007B767F" w:rsidRPr="000D4FA1">
        <w:rPr>
          <w:sz w:val="28"/>
          <w:szCs w:val="28"/>
        </w:rPr>
        <w:t>–</w:t>
      </w:r>
      <w:r w:rsidRPr="000D4FA1">
        <w:rPr>
          <w:sz w:val="28"/>
          <w:szCs w:val="28"/>
        </w:rPr>
        <w:t>экспертов – 7,8 %, а модераторов – 36,5 %. Это свидетельствует об активном участии преподавателей в сертификационных процедурах, повышении профессиональных компетенций и росте методической активности персонала.</w:t>
      </w:r>
    </w:p>
    <w:p w:rsidR="00FA259F"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Одновременно наблюдается закономерное сокращение числа педагогов с традиционными квалификационными категориями – высшая, I и II категория.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Например, доля педагогов высшей категории снизилась с 29 % до 2,3 %, а I категории – с 18,1 % до 2,3 %. С экономической точки зрения это означает структурный переход от старой системы оценки педагогов к новой модели профессиональной сертификации, где акцент смещён в сторону компетенций, методической вовлечённости, результатов обучения и инновационной активности. Появление новых квалификационных уровней создаёт более прозрачную и гибкую систему карьерного роста, мотивирует преподавателей повышать квалификацию и принимать участие в научно</w:t>
      </w:r>
      <w:r w:rsidR="007B767F" w:rsidRPr="000D4FA1">
        <w:rPr>
          <w:sz w:val="28"/>
          <w:szCs w:val="28"/>
        </w:rPr>
        <w:t>–</w:t>
      </w:r>
      <w:r w:rsidRPr="000D4FA1">
        <w:rPr>
          <w:sz w:val="28"/>
          <w:szCs w:val="28"/>
        </w:rPr>
        <w:t>методических проектах, что способствует формированию сильного человеческого капитала.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Значительное снижение группы «без категории» с 71,2 % в 2020–2021 году до 36 % в 2024–2025 гг. является прямым индикатором усиления профессионализации кадрового состава. Это означает, что преподаватели переходят из состояния неопределенного статуса в чётко определенные профессиональные уровни, что повышает управляемость кадровой политики и снижает риски организационной неустойчивости. С позиции экономической эффективности преобразование категориальной структуры приводит к снижению трансакционных издержек на адаптацию новых кадров, повышает качество образовательных услуг и способствует укреплению конкурентоспособности колледжа на рынке образовательных услуг ТиПО.</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В контексте темы диссертации результаты анализа подтверждают, что развитие человеческого потенциала ППС является ключевым фактором устойчивости организации. Рост квалификационных статусов и сокращение доли педагогов без категории усиливают профессиональную стабильность кадрового ядра, повышают инновационную активность коллектива и создают стратегические преимущества для колледжа в условиях роста требований к качеству подготовки медицинских работников.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Такие изменения свидетельствуют о системной политике учреждения по развитию кадрового потенциала, что напрямую укрепляет его устойчивость, адаптивность и эффективность.</w:t>
      </w:r>
    </w:p>
    <w:p w:rsidR="00492236" w:rsidRPr="000D4FA1" w:rsidRDefault="00492236" w:rsidP="00492236">
      <w:pPr>
        <w:pStyle w:val="a4"/>
        <w:spacing w:before="0" w:beforeAutospacing="0" w:after="0" w:afterAutospacing="0"/>
        <w:ind w:firstLine="720"/>
        <w:jc w:val="both"/>
        <w:rPr>
          <w:sz w:val="28"/>
          <w:szCs w:val="28"/>
        </w:rPr>
      </w:pPr>
      <w:r w:rsidRPr="000D4FA1">
        <w:rPr>
          <w:sz w:val="28"/>
          <w:szCs w:val="28"/>
        </w:rPr>
        <w:t xml:space="preserve">Данные таблицы </w:t>
      </w:r>
      <w:r w:rsidR="00F45F03" w:rsidRPr="000D4FA1">
        <w:rPr>
          <w:sz w:val="28"/>
          <w:szCs w:val="28"/>
        </w:rPr>
        <w:t>17</w:t>
      </w:r>
      <w:r w:rsidRPr="000D4FA1">
        <w:rPr>
          <w:sz w:val="28"/>
          <w:szCs w:val="28"/>
        </w:rPr>
        <w:t xml:space="preserve"> показывают значимые изменения в образовательном уровне профессорско</w:t>
      </w:r>
      <w:r w:rsidR="007B767F" w:rsidRPr="000D4FA1">
        <w:rPr>
          <w:sz w:val="28"/>
          <w:szCs w:val="28"/>
        </w:rPr>
        <w:t>–</w:t>
      </w:r>
      <w:r w:rsidRPr="000D4FA1">
        <w:rPr>
          <w:sz w:val="28"/>
          <w:szCs w:val="28"/>
        </w:rPr>
        <w:t xml:space="preserve">преподавательского состава Шымкентского высшего медицинского колледжа за период 2020–2025 гг., что позволяет глубоко оценить динамику развития человеческого капитала организации. Общая </w:t>
      </w:r>
      <w:r w:rsidRPr="000D4FA1">
        <w:rPr>
          <w:sz w:val="28"/>
          <w:szCs w:val="28"/>
        </w:rPr>
        <w:lastRenderedPageBreak/>
        <w:t>численность магистров увеличилась с 27 человек (20,4 %) до 42 человек в 2023–2024 году (25,1 %), а затем несколько снизилась до 38 человек (23 %) в 2024–2025 году.</w:t>
      </w:r>
    </w:p>
    <w:p w:rsidR="00492236" w:rsidRPr="000D4FA1" w:rsidRDefault="00492236" w:rsidP="00492236">
      <w:pPr>
        <w:pStyle w:val="a4"/>
        <w:spacing w:before="0" w:beforeAutospacing="0" w:after="0" w:afterAutospacing="0"/>
        <w:ind w:firstLine="720"/>
        <w:jc w:val="both"/>
        <w:rPr>
          <w:sz w:val="28"/>
          <w:szCs w:val="28"/>
        </w:rPr>
      </w:pPr>
      <w:r w:rsidRPr="000D4FA1">
        <w:rPr>
          <w:sz w:val="28"/>
          <w:szCs w:val="28"/>
        </w:rPr>
        <w:t>Такое изменение отражает два ключевых процесса: во</w:t>
      </w:r>
      <w:r w:rsidR="007B767F" w:rsidRPr="000D4FA1">
        <w:rPr>
          <w:sz w:val="28"/>
          <w:szCs w:val="28"/>
        </w:rPr>
        <w:t>–</w:t>
      </w:r>
      <w:r w:rsidRPr="000D4FA1">
        <w:rPr>
          <w:sz w:val="28"/>
          <w:szCs w:val="28"/>
        </w:rPr>
        <w:t>первых, активное участие преподавателей в программах магистратуры как одного из обязательных путей повышения квалификации; во</w:t>
      </w:r>
      <w:r w:rsidR="007B767F" w:rsidRPr="000D4FA1">
        <w:rPr>
          <w:sz w:val="28"/>
          <w:szCs w:val="28"/>
        </w:rPr>
        <w:t>–</w:t>
      </w:r>
      <w:r w:rsidRPr="000D4FA1">
        <w:rPr>
          <w:sz w:val="28"/>
          <w:szCs w:val="28"/>
        </w:rPr>
        <w:t>вторых, влияние внешних факторов</w:t>
      </w:r>
      <w:r w:rsidR="00AA391A" w:rsidRPr="000D4FA1">
        <w:rPr>
          <w:sz w:val="28"/>
          <w:szCs w:val="28"/>
          <w:lang w:val="kk-KZ"/>
        </w:rPr>
        <w:t xml:space="preserve"> </w:t>
      </w:r>
      <w:r w:rsidR="007B767F" w:rsidRPr="000D4FA1">
        <w:rPr>
          <w:sz w:val="28"/>
          <w:szCs w:val="28"/>
          <w:lang w:val="kk-KZ"/>
        </w:rPr>
        <w:t>–</w:t>
      </w:r>
      <w:r w:rsidR="00AA391A" w:rsidRPr="000D4FA1">
        <w:rPr>
          <w:sz w:val="28"/>
          <w:szCs w:val="28"/>
          <w:lang w:val="kk-KZ"/>
        </w:rPr>
        <w:t xml:space="preserve"> </w:t>
      </w:r>
      <w:r w:rsidRPr="000D4FA1">
        <w:rPr>
          <w:sz w:val="28"/>
          <w:szCs w:val="28"/>
        </w:rPr>
        <w:t>например, повышенный спрос на специалистов</w:t>
      </w:r>
      <w:r w:rsidR="007B767F" w:rsidRPr="000D4FA1">
        <w:rPr>
          <w:sz w:val="28"/>
          <w:szCs w:val="28"/>
        </w:rPr>
        <w:t>–</w:t>
      </w:r>
      <w:r w:rsidRPr="000D4FA1">
        <w:rPr>
          <w:sz w:val="28"/>
          <w:szCs w:val="28"/>
        </w:rPr>
        <w:t>магистров со стороны клиник и государственных учреждений здравоохранения, что иногда приводит к их переходу на более высокооплачиваемые позиции вне колледжа.</w:t>
      </w:r>
    </w:p>
    <w:p w:rsidR="00492236" w:rsidRPr="000D4FA1" w:rsidRDefault="0049223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18</w:t>
      </w:r>
      <w:r w:rsidR="00E34609" w:rsidRPr="000D4FA1">
        <w:rPr>
          <w:sz w:val="28"/>
          <w:szCs w:val="28"/>
        </w:rPr>
        <w:t xml:space="preserve"> –</w:t>
      </w:r>
      <w:r w:rsidR="00AA391A" w:rsidRPr="000D4FA1">
        <w:rPr>
          <w:sz w:val="28"/>
          <w:szCs w:val="28"/>
          <w:lang w:val="kk-KZ"/>
        </w:rPr>
        <w:t xml:space="preserve"> </w:t>
      </w:r>
      <w:r w:rsidRPr="000D4FA1">
        <w:rPr>
          <w:sz w:val="28"/>
          <w:szCs w:val="28"/>
        </w:rPr>
        <w:t>Динамика уровней магистратуры среди ППС Шымкентского высшего медицинского колледжа (2020–2025 гг.)</w:t>
      </w:r>
    </w:p>
    <w:p w:rsidR="00D144D6" w:rsidRPr="000D4FA1" w:rsidRDefault="00D144D6" w:rsidP="00D144D6">
      <w:pPr>
        <w:pStyle w:val="a4"/>
        <w:spacing w:before="0" w:beforeAutospacing="0" w:after="0" w:afterAutospacing="0"/>
        <w:ind w:firstLine="720"/>
        <w:jc w:val="both"/>
        <w:rPr>
          <w:sz w:val="28"/>
          <w:szCs w:val="28"/>
        </w:rPr>
      </w:pPr>
    </w:p>
    <w:tbl>
      <w:tblPr>
        <w:tblStyle w:val="af4"/>
        <w:tblW w:w="9747" w:type="dxa"/>
        <w:tblLook w:val="04A0"/>
      </w:tblPr>
      <w:tblGrid>
        <w:gridCol w:w="1908"/>
        <w:gridCol w:w="1910"/>
        <w:gridCol w:w="1824"/>
        <w:gridCol w:w="1824"/>
        <w:gridCol w:w="2281"/>
      </w:tblGrid>
      <w:tr w:rsidR="00D144D6" w:rsidRPr="000D4FA1" w:rsidTr="007F50FD">
        <w:tc>
          <w:tcPr>
            <w:tcW w:w="1908"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2020–2021</w:t>
            </w:r>
          </w:p>
        </w:tc>
        <w:tc>
          <w:tcPr>
            <w:tcW w:w="191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2021–2022</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2022–2023</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2023–2024</w:t>
            </w: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2024–2025</w:t>
            </w:r>
          </w:p>
        </w:tc>
      </w:tr>
      <w:tr w:rsidR="00D144D6" w:rsidRPr="000D4FA1" w:rsidTr="007F50FD">
        <w:tc>
          <w:tcPr>
            <w:tcW w:w="1908" w:type="dxa"/>
            <w:shd w:val="clear" w:color="auto" w:fill="E7E6E6" w:themeFill="background2"/>
          </w:tcPr>
          <w:p w:rsidR="00D144D6" w:rsidRPr="000D4FA1" w:rsidRDefault="00D144D6" w:rsidP="001140E9">
            <w:pPr>
              <w:spacing w:after="0"/>
              <w:jc w:val="center"/>
              <w:rPr>
                <w:rFonts w:ascii="Times New Roman" w:hAnsi="Times New Roman" w:cs="Times New Roman"/>
                <w:b/>
                <w:bCs/>
                <w:noProof/>
                <w:sz w:val="24"/>
                <w:szCs w:val="24"/>
                <w:lang w:val="ru-RU"/>
              </w:rPr>
            </w:pPr>
            <w:r w:rsidRPr="000D4FA1">
              <w:rPr>
                <w:rFonts w:ascii="Times New Roman" w:hAnsi="Times New Roman" w:cs="Times New Roman"/>
                <w:b/>
                <w:bCs/>
                <w:noProof/>
                <w:sz w:val="24"/>
                <w:szCs w:val="24"/>
                <w:lang w:val="ru-RU"/>
              </w:rPr>
              <w:t>27 (20,4%)</w:t>
            </w:r>
          </w:p>
        </w:tc>
        <w:tc>
          <w:tcPr>
            <w:tcW w:w="1910" w:type="dxa"/>
            <w:shd w:val="clear" w:color="auto" w:fill="E7E6E6" w:themeFill="background2"/>
          </w:tcPr>
          <w:p w:rsidR="00D144D6" w:rsidRPr="000D4FA1" w:rsidRDefault="00D144D6" w:rsidP="001140E9">
            <w:pPr>
              <w:spacing w:after="0"/>
              <w:jc w:val="center"/>
              <w:rPr>
                <w:rFonts w:ascii="Times New Roman" w:hAnsi="Times New Roman" w:cs="Times New Roman"/>
                <w:b/>
                <w:bCs/>
                <w:noProof/>
                <w:sz w:val="24"/>
                <w:szCs w:val="24"/>
                <w:lang w:val="ru-RU"/>
              </w:rPr>
            </w:pPr>
            <w:r w:rsidRPr="000D4FA1">
              <w:rPr>
                <w:rFonts w:ascii="Times New Roman" w:hAnsi="Times New Roman" w:cs="Times New Roman"/>
                <w:b/>
                <w:bCs/>
                <w:noProof/>
                <w:sz w:val="24"/>
                <w:szCs w:val="24"/>
                <w:lang w:val="ru-RU"/>
              </w:rPr>
              <w:t>30 (21,2%)</w:t>
            </w:r>
          </w:p>
        </w:tc>
        <w:tc>
          <w:tcPr>
            <w:tcW w:w="1824" w:type="dxa"/>
            <w:shd w:val="clear" w:color="auto" w:fill="E7E6E6" w:themeFill="background2"/>
          </w:tcPr>
          <w:p w:rsidR="00D144D6" w:rsidRPr="000D4FA1" w:rsidRDefault="00D144D6" w:rsidP="001140E9">
            <w:pPr>
              <w:spacing w:after="0"/>
              <w:jc w:val="center"/>
              <w:rPr>
                <w:rFonts w:ascii="Times New Roman" w:hAnsi="Times New Roman" w:cs="Times New Roman"/>
                <w:b/>
                <w:bCs/>
                <w:noProof/>
                <w:sz w:val="24"/>
                <w:szCs w:val="24"/>
                <w:lang w:val="ru-RU"/>
              </w:rPr>
            </w:pPr>
            <w:r w:rsidRPr="000D4FA1">
              <w:rPr>
                <w:rFonts w:ascii="Times New Roman" w:hAnsi="Times New Roman" w:cs="Times New Roman"/>
                <w:b/>
                <w:bCs/>
                <w:noProof/>
                <w:sz w:val="24"/>
                <w:szCs w:val="24"/>
                <w:lang w:val="ru-RU"/>
              </w:rPr>
              <w:t>31 (21,5%)</w:t>
            </w:r>
          </w:p>
        </w:tc>
        <w:tc>
          <w:tcPr>
            <w:tcW w:w="1824" w:type="dxa"/>
            <w:shd w:val="clear" w:color="auto" w:fill="E7E6E6" w:themeFill="background2"/>
          </w:tcPr>
          <w:p w:rsidR="00D144D6" w:rsidRPr="000D4FA1" w:rsidRDefault="00D144D6" w:rsidP="001140E9">
            <w:pPr>
              <w:spacing w:after="0"/>
              <w:jc w:val="center"/>
              <w:rPr>
                <w:rFonts w:ascii="Times New Roman" w:hAnsi="Times New Roman" w:cs="Times New Roman"/>
                <w:b/>
                <w:bCs/>
                <w:noProof/>
                <w:sz w:val="24"/>
                <w:szCs w:val="24"/>
                <w:lang w:val="ru-RU"/>
              </w:rPr>
            </w:pPr>
            <w:r w:rsidRPr="000D4FA1">
              <w:rPr>
                <w:rFonts w:ascii="Times New Roman" w:hAnsi="Times New Roman" w:cs="Times New Roman"/>
                <w:b/>
                <w:bCs/>
                <w:noProof/>
                <w:sz w:val="24"/>
                <w:szCs w:val="24"/>
                <w:lang w:val="ru-RU"/>
              </w:rPr>
              <w:t>42 (25,1%)</w:t>
            </w:r>
          </w:p>
        </w:tc>
        <w:tc>
          <w:tcPr>
            <w:tcW w:w="2281" w:type="dxa"/>
            <w:shd w:val="clear" w:color="auto" w:fill="E7E6E6" w:themeFill="background2"/>
          </w:tcPr>
          <w:p w:rsidR="00D144D6" w:rsidRPr="000D4FA1" w:rsidRDefault="00D144D6" w:rsidP="001140E9">
            <w:pPr>
              <w:spacing w:after="0"/>
              <w:jc w:val="center"/>
              <w:rPr>
                <w:rFonts w:ascii="Times New Roman" w:hAnsi="Times New Roman" w:cs="Times New Roman"/>
                <w:b/>
                <w:bCs/>
                <w:noProof/>
                <w:sz w:val="24"/>
                <w:szCs w:val="24"/>
                <w:lang w:val="ru-RU"/>
              </w:rPr>
            </w:pPr>
            <w:r w:rsidRPr="000D4FA1">
              <w:rPr>
                <w:rFonts w:ascii="Times New Roman" w:hAnsi="Times New Roman" w:cs="Times New Roman"/>
                <w:b/>
                <w:bCs/>
                <w:noProof/>
                <w:sz w:val="24"/>
                <w:szCs w:val="24"/>
                <w:lang w:val="ru-RU"/>
              </w:rPr>
              <w:t>38 (23%)</w:t>
            </w:r>
          </w:p>
        </w:tc>
      </w:tr>
      <w:tr w:rsidR="00D144D6" w:rsidRPr="000D4FA1" w:rsidTr="007F50FD">
        <w:trPr>
          <w:trHeight w:val="1661"/>
        </w:trPr>
        <w:tc>
          <w:tcPr>
            <w:tcW w:w="1908"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Общественное здравоо</w:t>
            </w:r>
          </w:p>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хранение – 5</w:t>
            </w:r>
          </w:p>
        </w:tc>
        <w:tc>
          <w:tcPr>
            <w:tcW w:w="191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Общественное здравоо</w:t>
            </w:r>
          </w:p>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хранение – 5 (3,5%)</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Общественное здравоо</w:t>
            </w:r>
          </w:p>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хранение – 4 (2,8%)</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Общественное здравоо</w:t>
            </w:r>
          </w:p>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хранение – 7 (4,1%)</w:t>
            </w: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Общественное здравоо</w:t>
            </w:r>
          </w:p>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хранение – 6</w:t>
            </w:r>
          </w:p>
        </w:tc>
      </w:tr>
      <w:tr w:rsidR="00D144D6" w:rsidRPr="0036668B" w:rsidTr="007F50FD">
        <w:trPr>
          <w:trHeight w:val="1789"/>
        </w:trPr>
        <w:tc>
          <w:tcPr>
            <w:tcW w:w="1908"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по специальности сестринское дело – 10</w:t>
            </w:r>
          </w:p>
        </w:tc>
        <w:tc>
          <w:tcPr>
            <w:tcW w:w="191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по сестринскому делу – 7 (5%)</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по сестринскому делу – 7 (4,9%)</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по сестринскому делу – 12 (7,1%)</w:t>
            </w: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по сестринскому делу – 11</w:t>
            </w:r>
          </w:p>
        </w:tc>
      </w:tr>
      <w:tr w:rsidR="00D144D6" w:rsidRPr="000D4FA1" w:rsidTr="007F50FD">
        <w:tc>
          <w:tcPr>
            <w:tcW w:w="1908"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педагогических наук – 9</w:t>
            </w:r>
          </w:p>
        </w:tc>
        <w:tc>
          <w:tcPr>
            <w:tcW w:w="191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педагогических наук – 15 (10,6%)</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педагогических наук – 16 (11,1%)</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педагогических наук – 18 (11%)</w:t>
            </w: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педагогических наук – 14</w:t>
            </w:r>
          </w:p>
        </w:tc>
      </w:tr>
      <w:tr w:rsidR="00D144D6" w:rsidRPr="000D4FA1" w:rsidTr="007F50FD">
        <w:tc>
          <w:tcPr>
            <w:tcW w:w="1908"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экономики и бизнеса – 3</w:t>
            </w:r>
          </w:p>
        </w:tc>
        <w:tc>
          <w:tcPr>
            <w:tcW w:w="1910"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экономики и бизнеса – 3 (2,1%)</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экономики и бизнеса – 4 (2,7%)</w:t>
            </w:r>
          </w:p>
        </w:tc>
        <w:tc>
          <w:tcPr>
            <w:tcW w:w="1824"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экономики и бизнеса – 5 (2,9%)</w:t>
            </w: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экономики и бизнеса – 6</w:t>
            </w:r>
          </w:p>
        </w:tc>
      </w:tr>
      <w:tr w:rsidR="00D144D6" w:rsidRPr="000D4FA1" w:rsidTr="007F50FD">
        <w:tc>
          <w:tcPr>
            <w:tcW w:w="1908" w:type="dxa"/>
          </w:tcPr>
          <w:p w:rsidR="00D144D6" w:rsidRPr="000D4FA1" w:rsidRDefault="00D144D6" w:rsidP="001140E9">
            <w:pPr>
              <w:spacing w:after="0"/>
              <w:rPr>
                <w:rFonts w:ascii="Times New Roman" w:hAnsi="Times New Roman" w:cs="Times New Roman"/>
                <w:noProof/>
                <w:sz w:val="24"/>
                <w:szCs w:val="24"/>
                <w:lang w:val="ru-RU"/>
              </w:rPr>
            </w:pPr>
          </w:p>
        </w:tc>
        <w:tc>
          <w:tcPr>
            <w:tcW w:w="1910" w:type="dxa"/>
          </w:tcPr>
          <w:p w:rsidR="00D144D6" w:rsidRPr="000D4FA1" w:rsidRDefault="00D144D6" w:rsidP="001140E9">
            <w:pPr>
              <w:spacing w:after="0"/>
              <w:rPr>
                <w:rFonts w:ascii="Times New Roman" w:hAnsi="Times New Roman" w:cs="Times New Roman"/>
                <w:noProof/>
                <w:sz w:val="24"/>
                <w:szCs w:val="24"/>
                <w:lang w:val="ru-RU"/>
              </w:rPr>
            </w:pPr>
          </w:p>
        </w:tc>
        <w:tc>
          <w:tcPr>
            <w:tcW w:w="1824" w:type="dxa"/>
          </w:tcPr>
          <w:p w:rsidR="00D144D6" w:rsidRPr="000D4FA1" w:rsidRDefault="00D144D6" w:rsidP="001140E9">
            <w:pPr>
              <w:spacing w:after="0"/>
              <w:rPr>
                <w:rFonts w:ascii="Times New Roman" w:hAnsi="Times New Roman" w:cs="Times New Roman"/>
                <w:noProof/>
                <w:sz w:val="24"/>
                <w:szCs w:val="24"/>
                <w:lang w:val="ru-RU"/>
              </w:rPr>
            </w:pPr>
          </w:p>
        </w:tc>
        <w:tc>
          <w:tcPr>
            <w:tcW w:w="1824" w:type="dxa"/>
          </w:tcPr>
          <w:p w:rsidR="00D144D6" w:rsidRPr="000D4FA1" w:rsidRDefault="00D144D6" w:rsidP="001140E9">
            <w:pPr>
              <w:spacing w:after="0"/>
              <w:rPr>
                <w:rFonts w:ascii="Times New Roman" w:hAnsi="Times New Roman" w:cs="Times New Roman"/>
                <w:noProof/>
                <w:sz w:val="24"/>
                <w:szCs w:val="24"/>
                <w:lang w:val="ru-RU"/>
              </w:rPr>
            </w:pPr>
          </w:p>
        </w:tc>
        <w:tc>
          <w:tcPr>
            <w:tcW w:w="2281" w:type="dxa"/>
          </w:tcPr>
          <w:p w:rsidR="00D144D6" w:rsidRPr="000D4FA1" w:rsidRDefault="00D144D6" w:rsidP="001140E9">
            <w:pPr>
              <w:spacing w:after="0"/>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Магистр медицинских наук (фармация) – 1</w:t>
            </w:r>
          </w:p>
        </w:tc>
      </w:tr>
      <w:tr w:rsidR="00D144D6" w:rsidRPr="0036668B" w:rsidTr="007F50FD">
        <w:tc>
          <w:tcPr>
            <w:tcW w:w="9747" w:type="dxa"/>
            <w:gridSpan w:val="5"/>
          </w:tcPr>
          <w:p w:rsidR="00D144D6" w:rsidRPr="000D4FA1" w:rsidRDefault="00E34609" w:rsidP="001140E9">
            <w:pPr>
              <w:spacing w:after="0" w:line="240" w:lineRule="auto"/>
              <w:jc w:val="both"/>
              <w:rPr>
                <w:rFonts w:ascii="Times New Roman" w:hAnsi="Times New Roman" w:cs="Times New Roman"/>
                <w:noProof/>
                <w:sz w:val="24"/>
                <w:szCs w:val="24"/>
                <w:lang w:val="ru-RU"/>
              </w:rPr>
            </w:pPr>
            <w:r w:rsidRPr="000D4FA1">
              <w:rPr>
                <w:rFonts w:ascii="Times New Roman" w:hAnsi="Times New Roman" w:cs="Times New Roman"/>
                <w:noProof/>
                <w:sz w:val="24"/>
                <w:szCs w:val="24"/>
                <w:lang w:val="ru-RU"/>
              </w:rPr>
              <w:t xml:space="preserve">               </w:t>
            </w:r>
            <w:r w:rsidR="00D144D6" w:rsidRPr="000D4FA1">
              <w:rPr>
                <w:rFonts w:ascii="Times New Roman" w:hAnsi="Times New Roman" w:cs="Times New Roman"/>
                <w:noProof/>
                <w:sz w:val="24"/>
                <w:szCs w:val="24"/>
                <w:lang w:val="ru-RU"/>
              </w:rPr>
              <w:t>Примечание – составлен</w:t>
            </w:r>
            <w:r w:rsidRPr="000D4FA1">
              <w:rPr>
                <w:rFonts w:ascii="Times New Roman" w:hAnsi="Times New Roman" w:cs="Times New Roman"/>
                <w:noProof/>
                <w:sz w:val="24"/>
                <w:szCs w:val="24"/>
                <w:lang w:val="ru-RU"/>
              </w:rPr>
              <w:t>о</w:t>
            </w:r>
            <w:r w:rsidR="00D144D6" w:rsidRPr="000D4FA1">
              <w:rPr>
                <w:rFonts w:ascii="Times New Roman" w:hAnsi="Times New Roman" w:cs="Times New Roman"/>
                <w:noProof/>
                <w:sz w:val="24"/>
                <w:szCs w:val="24"/>
                <w:lang w:val="ru-RU"/>
              </w:rPr>
              <w:t xml:space="preserve"> автором на основе данных внутренней кадровой отчётности Шымкентского высшего медицинского колледжа за 2020–2025 учебные годы. Данные отражают распределение ППС по уровням образования и специальностям магистратуры и бакалавриата</w:t>
            </w:r>
          </w:p>
        </w:tc>
      </w:tr>
    </w:tbl>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Причина → Следствие 1: Рост числа магистров повышает качество образовательных программ</w:t>
      </w:r>
      <w:r w:rsidR="00E34609"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Увеличение доли магистров, особенно в таких направлениях, как медицинские науки по сестринскому делу, общественное здравоохранение и педагогические науки, приводит к укреплению методической и научной базы колледжа. Это способствует более высокой результативности образовательного процесса, улучшению разработки рабочих программ, модернизации учебных планов и созданию условий для практико</w:t>
      </w:r>
      <w:r w:rsidR="007B767F" w:rsidRPr="000D4FA1">
        <w:rPr>
          <w:sz w:val="28"/>
          <w:szCs w:val="28"/>
        </w:rPr>
        <w:t>–</w:t>
      </w:r>
      <w:r w:rsidRPr="000D4FA1">
        <w:rPr>
          <w:sz w:val="28"/>
          <w:szCs w:val="28"/>
        </w:rPr>
        <w:t>ориентированного обучения. Следствием является повышение качества подготовки выпускников, что напрямую отражается на конкурентоспособности колледжа как ведущего регионального центра подготовки среднего медицинского персонала.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Причина → Следствие 2: Расширение магистерских специальностей укрепляет устойчивость кадрового состава</w:t>
      </w:r>
      <w:r w:rsidR="00E34609"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Рост числа магистров по сестринскому делу (с 10 до 11 человек), педагогике (с 9 до 14), экономике и бизнесу (с 3 до 6), а также появление нового направления</w:t>
      </w:r>
      <w:r w:rsidR="00AA391A" w:rsidRPr="000D4FA1">
        <w:rPr>
          <w:sz w:val="28"/>
          <w:szCs w:val="28"/>
          <w:lang w:val="kk-KZ"/>
        </w:rPr>
        <w:t xml:space="preserve"> </w:t>
      </w:r>
      <w:r w:rsidR="007B767F" w:rsidRPr="000D4FA1">
        <w:rPr>
          <w:sz w:val="28"/>
          <w:szCs w:val="28"/>
          <w:lang w:val="kk-KZ"/>
        </w:rPr>
        <w:t>–</w:t>
      </w:r>
      <w:r w:rsidR="00AA391A" w:rsidRPr="000D4FA1">
        <w:rPr>
          <w:sz w:val="28"/>
          <w:szCs w:val="28"/>
          <w:lang w:val="kk-KZ"/>
        </w:rPr>
        <w:t xml:space="preserve"> м</w:t>
      </w:r>
      <w:r w:rsidRPr="000D4FA1">
        <w:rPr>
          <w:sz w:val="28"/>
          <w:szCs w:val="28"/>
        </w:rPr>
        <w:t>агистр медицинских наук (фармация)</w:t>
      </w:r>
      <w:r w:rsidR="00AA391A" w:rsidRPr="000D4FA1">
        <w:rPr>
          <w:sz w:val="28"/>
          <w:szCs w:val="28"/>
          <w:lang w:val="kk-KZ"/>
        </w:rPr>
        <w:t xml:space="preserve"> </w:t>
      </w:r>
      <w:r w:rsidR="007B767F" w:rsidRPr="000D4FA1">
        <w:rPr>
          <w:sz w:val="28"/>
          <w:szCs w:val="28"/>
          <w:lang w:val="kk-KZ"/>
        </w:rPr>
        <w:t>–</w:t>
      </w:r>
      <w:r w:rsidR="00AA391A" w:rsidRPr="000D4FA1">
        <w:rPr>
          <w:sz w:val="28"/>
          <w:szCs w:val="28"/>
          <w:lang w:val="kk-KZ"/>
        </w:rPr>
        <w:t xml:space="preserve"> </w:t>
      </w:r>
      <w:r w:rsidRPr="000D4FA1">
        <w:rPr>
          <w:sz w:val="28"/>
          <w:szCs w:val="28"/>
        </w:rPr>
        <w:t>говорит о диверсификации квалификаций. Причина заключается в расширении учебных программ, необходимости управления образовательным процессом и удовлетворения требований Министерства здравоохранения и Министерства просвещения РК. Следствием является укрепление кадровой устойчивости, снижение зависимости от внешних специалистов и повышение гибкости организации в условиях реформ.</w:t>
      </w:r>
    </w:p>
    <w:p w:rsidR="00D144D6" w:rsidRPr="000D4FA1" w:rsidRDefault="00D144D6" w:rsidP="00D144D6">
      <w:pPr>
        <w:pStyle w:val="a4"/>
        <w:spacing w:before="0" w:beforeAutospacing="0" w:after="0" w:afterAutospacing="0"/>
        <w:ind w:firstLine="720"/>
        <w:jc w:val="both"/>
        <w:rPr>
          <w:sz w:val="28"/>
          <w:szCs w:val="28"/>
          <w:lang w:val="kk-KZ"/>
        </w:rPr>
      </w:pPr>
      <w:r w:rsidRPr="000D4FA1">
        <w:rPr>
          <w:sz w:val="28"/>
          <w:szCs w:val="28"/>
        </w:rPr>
        <w:t>Причина → Следствие 3: Снижение числа бакалавров относительно магистров усиливает профессионализацию ППС</w:t>
      </w:r>
      <w:r w:rsidR="00E34609"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Хотя число бакалавров также растёт (с 10 до 20 человек), их доля увеличивается менее динамично, чем магистров. Причина</w:t>
      </w:r>
      <w:r w:rsidR="00AA391A" w:rsidRPr="000D4FA1">
        <w:rPr>
          <w:sz w:val="28"/>
          <w:szCs w:val="28"/>
          <w:lang w:val="kk-KZ"/>
        </w:rPr>
        <w:t xml:space="preserve"> </w:t>
      </w:r>
      <w:r w:rsidR="007B767F" w:rsidRPr="000D4FA1">
        <w:rPr>
          <w:sz w:val="28"/>
          <w:szCs w:val="28"/>
          <w:lang w:val="kk-KZ"/>
        </w:rPr>
        <w:t>–</w:t>
      </w:r>
      <w:r w:rsidR="00AA391A" w:rsidRPr="000D4FA1">
        <w:rPr>
          <w:sz w:val="28"/>
          <w:szCs w:val="28"/>
          <w:lang w:val="kk-KZ"/>
        </w:rPr>
        <w:t xml:space="preserve"> </w:t>
      </w:r>
      <w:r w:rsidRPr="000D4FA1">
        <w:rPr>
          <w:sz w:val="28"/>
          <w:szCs w:val="28"/>
        </w:rPr>
        <w:t>усиленная государственная политика по повышению минимальных квалификационных требований к педагогам, а также финансовые стимулы (надбавки за степень магистра). Следствием становится профессиональное «перенасыщение» кадрового состава специалистами с уровнем магистратуры, что повышает общий уровень человеческого капитала и способствует развитию исследовательской и проектной деятельности в колледже.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Причина → Следствие 4: Программы магистратуры по общественному здравоохранению и сестринскому делу отражают стратегические потребности региона</w:t>
      </w:r>
      <w:r w:rsidR="00E34609"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Рост числа магистров в направлении общественное здравоохранение (с 5 до 6 человек) и сестринское дело (с 10 до 11 человек) объясняется потребностями рынка медицинских услуг </w:t>
      </w:r>
      <w:r w:rsidR="00AA391A" w:rsidRPr="000D4FA1">
        <w:rPr>
          <w:sz w:val="28"/>
          <w:szCs w:val="28"/>
          <w:lang w:val="kk-KZ"/>
        </w:rPr>
        <w:t>региона</w:t>
      </w:r>
      <w:r w:rsidRPr="000D4FA1">
        <w:rPr>
          <w:sz w:val="28"/>
          <w:szCs w:val="28"/>
        </w:rPr>
        <w:t>, дефицитом управленцев среднего звена в поликлиниках и клиниках, а также растущей ролью современного сестринского менеджмента. Следствием является повышение практической направленности обучения, улучшение взаимодействия с клиническими базами и включение преподавателей в проекты по модернизации системы здравоохранения.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Причина → Следствие 5: Повышение уровня образования ППС увеличивает устойчивость организации</w:t>
      </w:r>
      <w:r w:rsidR="00E34609"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Человеческий капитал является ключевым ресурсом устойчивости. Повышение образовательного уровня ППС:</w:t>
      </w:r>
    </w:p>
    <w:p w:rsidR="00D144D6" w:rsidRPr="000D4FA1" w:rsidRDefault="00E34609" w:rsidP="00E34609">
      <w:pPr>
        <w:pStyle w:val="a4"/>
        <w:spacing w:before="0" w:beforeAutospacing="0" w:after="0" w:afterAutospacing="0"/>
        <w:ind w:left="567"/>
        <w:jc w:val="both"/>
        <w:rPr>
          <w:sz w:val="28"/>
          <w:szCs w:val="28"/>
        </w:rPr>
      </w:pPr>
      <w:r w:rsidRPr="000D4FA1">
        <w:rPr>
          <w:sz w:val="28"/>
          <w:szCs w:val="28"/>
        </w:rPr>
        <w:t xml:space="preserve">– </w:t>
      </w:r>
      <w:r w:rsidR="00D144D6" w:rsidRPr="000D4FA1">
        <w:rPr>
          <w:sz w:val="28"/>
          <w:szCs w:val="28"/>
        </w:rPr>
        <w:t>снижает риски дефицита квалифицированных кадров</w:t>
      </w:r>
      <w:r w:rsidRPr="000D4FA1">
        <w:rPr>
          <w:sz w:val="28"/>
          <w:szCs w:val="28"/>
        </w:rPr>
        <w:t>;</w:t>
      </w:r>
    </w:p>
    <w:p w:rsidR="00D144D6" w:rsidRPr="000D4FA1" w:rsidRDefault="00E34609" w:rsidP="00E34609">
      <w:pPr>
        <w:pStyle w:val="a4"/>
        <w:spacing w:before="0" w:beforeAutospacing="0" w:after="0" w:afterAutospacing="0"/>
        <w:ind w:left="567"/>
        <w:jc w:val="both"/>
        <w:rPr>
          <w:sz w:val="28"/>
          <w:szCs w:val="28"/>
        </w:rPr>
      </w:pPr>
      <w:r w:rsidRPr="000D4FA1">
        <w:rPr>
          <w:sz w:val="28"/>
          <w:szCs w:val="28"/>
        </w:rPr>
        <w:t xml:space="preserve">– </w:t>
      </w:r>
      <w:r w:rsidR="00D144D6" w:rsidRPr="000D4FA1">
        <w:rPr>
          <w:sz w:val="28"/>
          <w:szCs w:val="28"/>
        </w:rPr>
        <w:t>повышает адаптивность колледжа к изменениям ГОСО</w:t>
      </w:r>
      <w:r w:rsidRPr="000D4FA1">
        <w:rPr>
          <w:sz w:val="28"/>
          <w:szCs w:val="28"/>
        </w:rPr>
        <w:t>;</w:t>
      </w:r>
    </w:p>
    <w:p w:rsidR="00D144D6" w:rsidRPr="000D4FA1" w:rsidRDefault="00E34609" w:rsidP="00E34609">
      <w:pPr>
        <w:pStyle w:val="a4"/>
        <w:spacing w:before="0" w:beforeAutospacing="0" w:after="0" w:afterAutospacing="0"/>
        <w:ind w:left="567"/>
        <w:jc w:val="both"/>
        <w:rPr>
          <w:sz w:val="28"/>
          <w:szCs w:val="28"/>
        </w:rPr>
      </w:pPr>
      <w:r w:rsidRPr="000D4FA1">
        <w:rPr>
          <w:sz w:val="28"/>
          <w:szCs w:val="28"/>
        </w:rPr>
        <w:t xml:space="preserve">– </w:t>
      </w:r>
      <w:r w:rsidR="00D144D6" w:rsidRPr="000D4FA1">
        <w:rPr>
          <w:sz w:val="28"/>
          <w:szCs w:val="28"/>
        </w:rPr>
        <w:t>способствует интеграции инноваций (симуляции, цифровые компетенции)</w:t>
      </w:r>
      <w:r w:rsidRPr="000D4FA1">
        <w:rPr>
          <w:sz w:val="28"/>
          <w:szCs w:val="28"/>
        </w:rPr>
        <w:t>;</w:t>
      </w:r>
    </w:p>
    <w:p w:rsidR="00D144D6" w:rsidRPr="000D4FA1" w:rsidRDefault="00E34609" w:rsidP="00E34609">
      <w:pPr>
        <w:pStyle w:val="a4"/>
        <w:spacing w:before="0" w:beforeAutospacing="0" w:after="0" w:afterAutospacing="0"/>
        <w:ind w:left="567"/>
        <w:jc w:val="both"/>
        <w:rPr>
          <w:sz w:val="28"/>
          <w:szCs w:val="28"/>
        </w:rPr>
      </w:pPr>
      <w:r w:rsidRPr="000D4FA1">
        <w:rPr>
          <w:sz w:val="28"/>
          <w:szCs w:val="28"/>
        </w:rPr>
        <w:t xml:space="preserve">– </w:t>
      </w:r>
      <w:r w:rsidR="00D144D6" w:rsidRPr="000D4FA1">
        <w:rPr>
          <w:sz w:val="28"/>
          <w:szCs w:val="28"/>
        </w:rPr>
        <w:t>увеличивает доверие со стороны работодателей и партнёров.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Следствием является укрепление организационной устойчивости и репутации колледжа как центра подготовки компетентных специалистов.</w:t>
      </w:r>
    </w:p>
    <w:p w:rsidR="00D144D6" w:rsidRPr="000D4FA1" w:rsidRDefault="00F45F03" w:rsidP="00D144D6">
      <w:pPr>
        <w:pStyle w:val="a4"/>
        <w:spacing w:before="0" w:beforeAutospacing="0" w:after="0" w:afterAutospacing="0"/>
        <w:ind w:firstLine="720"/>
        <w:jc w:val="both"/>
        <w:rPr>
          <w:sz w:val="28"/>
          <w:szCs w:val="28"/>
        </w:rPr>
      </w:pPr>
      <w:r w:rsidRPr="000D4FA1">
        <w:rPr>
          <w:sz w:val="28"/>
          <w:szCs w:val="28"/>
        </w:rPr>
        <w:t>Рисунок 6</w:t>
      </w:r>
      <w:r w:rsidRPr="000D4FA1">
        <w:rPr>
          <w:b/>
          <w:color w:val="FF0000"/>
          <w:sz w:val="28"/>
          <w:szCs w:val="28"/>
        </w:rPr>
        <w:t xml:space="preserve"> </w:t>
      </w:r>
      <w:r w:rsidR="00D144D6" w:rsidRPr="000D4FA1">
        <w:rPr>
          <w:sz w:val="28"/>
          <w:szCs w:val="28"/>
        </w:rPr>
        <w:t xml:space="preserve">демонстрирует устойчивый рост квалификационного уровня преподавателей колледжа за период 2020–2025 гг., что подтверждается увеличением численности магистров с 27 до 42 человек и стабилизацией показателя на уровне 38 человек в 2024–2025 гг. Доля бакалавров также возросла с 10 до 20 человек, однако рост оказался менее интенсивным, чем среди магистров. </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FA259F">
      <w:pPr>
        <w:pStyle w:val="a4"/>
        <w:spacing w:before="0" w:beforeAutospacing="0" w:after="0" w:afterAutospacing="0"/>
        <w:ind w:firstLine="720"/>
        <w:jc w:val="center"/>
        <w:rPr>
          <w:sz w:val="28"/>
          <w:szCs w:val="28"/>
        </w:rPr>
      </w:pPr>
      <w:r w:rsidRPr="000D4FA1">
        <w:rPr>
          <w:noProof/>
          <w:sz w:val="28"/>
          <w:szCs w:val="28"/>
        </w:rPr>
        <w:drawing>
          <wp:anchor distT="0" distB="0" distL="114300" distR="114300" simplePos="0" relativeHeight="251643904" behindDoc="1" locked="0" layoutInCell="1" allowOverlap="1">
            <wp:simplePos x="0" y="0"/>
            <wp:positionH relativeFrom="margin">
              <wp:align>right</wp:align>
            </wp:positionH>
            <wp:positionV relativeFrom="paragraph">
              <wp:posOffset>46990</wp:posOffset>
            </wp:positionV>
            <wp:extent cx="5940425" cy="3321685"/>
            <wp:effectExtent l="19050" t="19050" r="22225" b="12065"/>
            <wp:wrapTight wrapText="bothSides">
              <wp:wrapPolygon edited="0">
                <wp:start x="-69" y="-124"/>
                <wp:lineTo x="-69" y="21555"/>
                <wp:lineTo x="21612" y="21555"/>
                <wp:lineTo x="21612" y="-124"/>
                <wp:lineTo x="-69" y="-124"/>
              </wp:wrapPolygon>
            </wp:wrapTight>
            <wp:docPr id="1933831275" name="Рисунок 1" descr="Изображение выглядит как текст, линия, диаграмм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31275" name="Рисунок 1" descr="Изображение выглядит как текст, линия, диаграмма, снимок экрана&#10;&#10;Содержимое, созданное искусственным интеллектом, может быть неверным."/>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680"/>
                    <a:stretch>
                      <a:fillRect/>
                    </a:stretch>
                  </pic:blipFill>
                  <pic:spPr bwMode="auto">
                    <a:xfrm>
                      <a:off x="0" y="0"/>
                      <a:ext cx="5940425" cy="3321685"/>
                    </a:xfrm>
                    <a:prstGeom prst="rect">
                      <a:avLst/>
                    </a:prstGeom>
                    <a:ln>
                      <a:solidFill>
                        <a:srgbClr val="EE000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D4FA1">
        <w:rPr>
          <w:sz w:val="28"/>
          <w:szCs w:val="28"/>
        </w:rPr>
        <w:t xml:space="preserve">Рисунок </w:t>
      </w:r>
      <w:r w:rsidR="007F50FD">
        <w:rPr>
          <w:sz w:val="28"/>
          <w:szCs w:val="28"/>
        </w:rPr>
        <w:t>8</w:t>
      </w:r>
      <w:r w:rsidR="00E34609" w:rsidRPr="000D4FA1">
        <w:rPr>
          <w:sz w:val="28"/>
          <w:szCs w:val="28"/>
        </w:rPr>
        <w:t xml:space="preserve"> –</w:t>
      </w:r>
      <w:r w:rsidR="00AA391A" w:rsidRPr="000D4FA1">
        <w:rPr>
          <w:sz w:val="28"/>
          <w:szCs w:val="28"/>
          <w:lang w:val="kk-KZ"/>
        </w:rPr>
        <w:t xml:space="preserve"> </w:t>
      </w:r>
      <w:r w:rsidRPr="000D4FA1">
        <w:rPr>
          <w:sz w:val="28"/>
          <w:szCs w:val="28"/>
        </w:rPr>
        <w:t>Динамика численности магистров и бакалавров в составе ППС Шымкентского высшего медицинского колледжа (2020–2025 гг.)</w:t>
      </w:r>
    </w:p>
    <w:p w:rsidR="00D144D6" w:rsidRPr="000D4FA1" w:rsidRDefault="00D144D6" w:rsidP="00D144D6">
      <w:pPr>
        <w:pStyle w:val="a4"/>
        <w:spacing w:before="0" w:beforeAutospacing="0" w:after="0" w:afterAutospacing="0"/>
        <w:ind w:firstLine="720"/>
        <w:jc w:val="both"/>
      </w:pPr>
      <w:r w:rsidRPr="000D4FA1">
        <w:t>Примечание – построен</w:t>
      </w:r>
      <w:r w:rsidR="00E34609" w:rsidRPr="000D4FA1">
        <w:t>а</w:t>
      </w:r>
      <w:r w:rsidRPr="000D4FA1">
        <w:t xml:space="preserve"> автором на основе данных внутренней кадровой отчётности Шымкентского высшего медицинского колледжа за 2020–2025 учебные годы</w:t>
      </w:r>
    </w:p>
    <w:p w:rsidR="00FA259F" w:rsidRPr="000D4FA1" w:rsidRDefault="00FA259F" w:rsidP="00D144D6">
      <w:pPr>
        <w:pStyle w:val="a4"/>
        <w:spacing w:before="0" w:beforeAutospacing="0" w:after="0" w:afterAutospacing="0"/>
        <w:ind w:firstLine="720"/>
        <w:jc w:val="both"/>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Это свидетельствует о стратегическом переходе ППС к более высокой образовательной подготовке, что обусловлено требованиями Министерства здравоохранения и реформой ТиПО. В целом повышение числа магистров усиливает профессиональный и научно</w:t>
      </w:r>
      <w:r w:rsidR="007B767F" w:rsidRPr="000D4FA1">
        <w:rPr>
          <w:sz w:val="28"/>
          <w:szCs w:val="28"/>
        </w:rPr>
        <w:t>–</w:t>
      </w:r>
      <w:r w:rsidRPr="000D4FA1">
        <w:rPr>
          <w:sz w:val="28"/>
          <w:szCs w:val="28"/>
        </w:rPr>
        <w:t>методический потенциал колледжа, что напрямую способствует укреплению качества образовательного процесса и устойчивости организации.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 xml:space="preserve">В </w:t>
      </w:r>
      <w:r w:rsidR="00FA259F" w:rsidRPr="000D4FA1">
        <w:rPr>
          <w:sz w:val="28"/>
          <w:szCs w:val="28"/>
        </w:rPr>
        <w:t>работе</w:t>
      </w:r>
      <w:r w:rsidRPr="000D4FA1">
        <w:rPr>
          <w:sz w:val="28"/>
          <w:szCs w:val="28"/>
        </w:rPr>
        <w:t xml:space="preserve"> рассматривается коэффициент текучести кадров как ключевой индикатор кадровой устойчивости образовательной организации, особенно в контексте медицинского образования. Анализируется влияние текучести кадров на качество подготовки специалистов, стабильность учебных программ, сохранение методических традиций и развитие наставничества. Также рассматриваются последствия высокого и низкого коэффициентов текучести для образовательной организации.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Коэффициент текучести кадров является одним из важнейших интегральных показателей, отражающих кадровую устойчивость образовательной организации. В сфере медицинского образования этот показатель приобретает особое значение, поскольку качество подготовки будущих специалистов напрямую зависит от ряда факторов, связанных с кадровым составом.</w:t>
      </w:r>
    </w:p>
    <w:p w:rsidR="00D144D6" w:rsidRPr="000D4FA1" w:rsidRDefault="003B467A" w:rsidP="00D144D6">
      <w:pPr>
        <w:pStyle w:val="a4"/>
        <w:spacing w:before="0" w:beforeAutospacing="0" w:after="0" w:afterAutospacing="0"/>
        <w:ind w:firstLine="720"/>
        <w:jc w:val="both"/>
        <w:rPr>
          <w:sz w:val="28"/>
          <w:szCs w:val="28"/>
        </w:rPr>
      </w:pPr>
      <w:r w:rsidRPr="000D4FA1">
        <w:rPr>
          <w:sz w:val="28"/>
          <w:szCs w:val="28"/>
        </w:rPr>
        <w:t>В практи</w:t>
      </w:r>
      <w:r w:rsidR="00520B11" w:rsidRPr="000D4FA1">
        <w:rPr>
          <w:sz w:val="28"/>
          <w:szCs w:val="28"/>
        </w:rPr>
        <w:t xml:space="preserve">ках управления персоналом применяется классическая формула: </w:t>
      </w:r>
    </w:p>
    <w:p w:rsidR="00520B11" w:rsidRPr="000D4FA1" w:rsidRDefault="00520B11" w:rsidP="00E34609">
      <w:pPr>
        <w:pStyle w:val="a4"/>
        <w:spacing w:before="0" w:beforeAutospacing="0" w:after="0" w:afterAutospacing="0"/>
        <w:ind w:firstLine="720"/>
        <w:jc w:val="right"/>
        <w:rPr>
          <w:sz w:val="28"/>
          <w:szCs w:val="28"/>
        </w:rPr>
      </w:pPr>
      <w:r w:rsidRPr="000D4FA1">
        <w:rPr>
          <w:noProof/>
          <w:sz w:val="28"/>
          <w:szCs w:val="28"/>
        </w:rPr>
        <w:drawing>
          <wp:anchor distT="0" distB="0" distL="114300" distR="114300" simplePos="0" relativeHeight="251646976" behindDoc="1" locked="0" layoutInCell="1" allowOverlap="1">
            <wp:simplePos x="0" y="0"/>
            <wp:positionH relativeFrom="margin">
              <wp:posOffset>729615</wp:posOffset>
            </wp:positionH>
            <wp:positionV relativeFrom="paragraph">
              <wp:posOffset>35560</wp:posOffset>
            </wp:positionV>
            <wp:extent cx="2576195" cy="571500"/>
            <wp:effectExtent l="0" t="0" r="0" b="0"/>
            <wp:wrapTight wrapText="bothSides">
              <wp:wrapPolygon edited="0">
                <wp:start x="0" y="0"/>
                <wp:lineTo x="0" y="20880"/>
                <wp:lineTo x="21403" y="20880"/>
                <wp:lineTo x="21403" y="0"/>
                <wp:lineTo x="0" y="0"/>
              </wp:wrapPolygon>
            </wp:wrapTight>
            <wp:docPr id="8508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50" name=""/>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9182" t="7210" r="29610" b="73215"/>
                    <a:stretch/>
                  </pic:blipFill>
                  <pic:spPr bwMode="auto">
                    <a:xfrm>
                      <a:off x="0" y="0"/>
                      <a:ext cx="2576195" cy="571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D4FA1">
        <w:rPr>
          <w:sz w:val="28"/>
          <w:szCs w:val="28"/>
        </w:rPr>
        <w:t>(1)</w:t>
      </w:r>
    </w:p>
    <w:p w:rsidR="00217812" w:rsidRPr="000D4FA1" w:rsidRDefault="00217812" w:rsidP="00D144D6">
      <w:pPr>
        <w:pStyle w:val="a4"/>
        <w:spacing w:before="0" w:beforeAutospacing="0" w:after="0" w:afterAutospacing="0"/>
        <w:ind w:firstLine="720"/>
        <w:jc w:val="both"/>
        <w:rPr>
          <w:sz w:val="28"/>
          <w:szCs w:val="28"/>
        </w:rPr>
      </w:pPr>
    </w:p>
    <w:p w:rsidR="00217812" w:rsidRPr="000D4FA1" w:rsidRDefault="00217812" w:rsidP="00D144D6">
      <w:pPr>
        <w:pStyle w:val="a4"/>
        <w:spacing w:before="0" w:beforeAutospacing="0" w:after="0" w:afterAutospacing="0"/>
        <w:ind w:firstLine="720"/>
        <w:jc w:val="both"/>
        <w:rPr>
          <w:sz w:val="28"/>
          <w:szCs w:val="28"/>
        </w:rPr>
      </w:pPr>
    </w:p>
    <w:p w:rsidR="00520B11" w:rsidRPr="000D4FA1" w:rsidRDefault="00520B11" w:rsidP="00D144D6">
      <w:pPr>
        <w:pStyle w:val="a4"/>
        <w:spacing w:before="0" w:beforeAutospacing="0" w:after="0" w:afterAutospacing="0"/>
        <w:ind w:firstLine="720"/>
        <w:jc w:val="both"/>
        <w:rPr>
          <w:sz w:val="28"/>
          <w:szCs w:val="28"/>
        </w:rPr>
      </w:pPr>
      <w:r w:rsidRPr="000D4FA1">
        <w:rPr>
          <w:sz w:val="28"/>
          <w:szCs w:val="28"/>
        </w:rPr>
        <w:t xml:space="preserve">где: </w:t>
      </w:r>
    </w:p>
    <w:p w:rsidR="00520B11" w:rsidRPr="000D4FA1" w:rsidRDefault="00520B11" w:rsidP="00D144D6">
      <w:pPr>
        <w:pStyle w:val="a4"/>
        <w:spacing w:before="0" w:beforeAutospacing="0" w:after="0" w:afterAutospacing="0"/>
        <w:ind w:firstLine="720"/>
        <w:jc w:val="both"/>
        <w:rPr>
          <w:sz w:val="28"/>
          <w:szCs w:val="28"/>
        </w:rPr>
      </w:pPr>
      <w:r w:rsidRPr="000D4FA1">
        <w:rPr>
          <w:sz w:val="28"/>
          <w:szCs w:val="28"/>
        </w:rPr>
        <w:t>Ч</w:t>
      </w:r>
      <w:r w:rsidRPr="000D4FA1">
        <w:rPr>
          <w:sz w:val="28"/>
          <w:szCs w:val="28"/>
          <w:vertAlign w:val="subscript"/>
        </w:rPr>
        <w:t xml:space="preserve">уволенных – </w:t>
      </w:r>
      <w:r w:rsidRPr="000D4FA1">
        <w:rPr>
          <w:sz w:val="28"/>
          <w:szCs w:val="28"/>
        </w:rPr>
        <w:t>количество работников, уволившихся по собственному желанию или по негативным основаниям (за исключением пенсионного возраста, декретов и пр.);</w:t>
      </w:r>
    </w:p>
    <w:p w:rsidR="00520B11" w:rsidRPr="000D4FA1" w:rsidRDefault="00520B11" w:rsidP="00D144D6">
      <w:pPr>
        <w:pStyle w:val="a4"/>
        <w:spacing w:before="0" w:beforeAutospacing="0" w:after="0" w:afterAutospacing="0"/>
        <w:ind w:firstLine="720"/>
        <w:jc w:val="both"/>
        <w:rPr>
          <w:sz w:val="28"/>
          <w:szCs w:val="28"/>
        </w:rPr>
      </w:pPr>
      <w:r w:rsidRPr="000D4FA1">
        <w:rPr>
          <w:sz w:val="28"/>
          <w:szCs w:val="28"/>
        </w:rPr>
        <w:t>Ч</w:t>
      </w:r>
      <w:r w:rsidRPr="000D4FA1">
        <w:rPr>
          <w:sz w:val="28"/>
          <w:szCs w:val="28"/>
          <w:vertAlign w:val="subscript"/>
        </w:rPr>
        <w:t xml:space="preserve">среднеспис </w:t>
      </w:r>
      <w:r w:rsidRPr="000D4FA1">
        <w:rPr>
          <w:sz w:val="28"/>
          <w:szCs w:val="28"/>
        </w:rPr>
        <w:t>– среднесписочная численность персонала за период.</w:t>
      </w:r>
    </w:p>
    <w:p w:rsidR="00520B11" w:rsidRPr="000D4FA1" w:rsidRDefault="00520B11" w:rsidP="00D144D6">
      <w:pPr>
        <w:pStyle w:val="a4"/>
        <w:spacing w:before="0" w:beforeAutospacing="0" w:after="0" w:afterAutospacing="0"/>
        <w:ind w:firstLine="720"/>
        <w:jc w:val="both"/>
        <w:rPr>
          <w:sz w:val="28"/>
          <w:szCs w:val="28"/>
        </w:rPr>
      </w:pPr>
      <w:r w:rsidRPr="000D4FA1">
        <w:rPr>
          <w:sz w:val="28"/>
          <w:szCs w:val="28"/>
        </w:rPr>
        <w:t xml:space="preserve">Альтернативная расширенная формула: </w:t>
      </w:r>
    </w:p>
    <w:p w:rsidR="00520B11" w:rsidRPr="000D4FA1" w:rsidRDefault="008B500E" w:rsidP="00D144D6">
      <w:pPr>
        <w:pStyle w:val="a4"/>
        <w:spacing w:before="0" w:beforeAutospacing="0" w:after="0" w:afterAutospacing="0"/>
        <w:ind w:firstLine="720"/>
        <w:jc w:val="both"/>
        <w:rPr>
          <w:sz w:val="28"/>
          <w:szCs w:val="28"/>
        </w:rPr>
      </w:pPr>
      <w:r w:rsidRPr="000D4FA1">
        <w:rPr>
          <w:noProof/>
          <w:sz w:val="28"/>
          <w:szCs w:val="28"/>
        </w:rPr>
        <w:drawing>
          <wp:anchor distT="0" distB="0" distL="114300" distR="114300" simplePos="0" relativeHeight="251668480" behindDoc="1" locked="0" layoutInCell="1" allowOverlap="1">
            <wp:simplePos x="0" y="0"/>
            <wp:positionH relativeFrom="margin">
              <wp:posOffset>643890</wp:posOffset>
            </wp:positionH>
            <wp:positionV relativeFrom="paragraph">
              <wp:posOffset>126365</wp:posOffset>
            </wp:positionV>
            <wp:extent cx="4314825" cy="485775"/>
            <wp:effectExtent l="0" t="0" r="0" b="0"/>
            <wp:wrapTight wrapText="bothSides">
              <wp:wrapPolygon edited="0">
                <wp:start x="0" y="0"/>
                <wp:lineTo x="0" y="21176"/>
                <wp:lineTo x="21552" y="21176"/>
                <wp:lineTo x="21552" y="0"/>
                <wp:lineTo x="0" y="0"/>
              </wp:wrapPolygon>
            </wp:wrapTight>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50" name=""/>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790" t="66621" r="11652" b="13461"/>
                    <a:stretch/>
                  </pic:blipFill>
                  <pic:spPr bwMode="auto">
                    <a:xfrm>
                      <a:off x="0" y="0"/>
                      <a:ext cx="4314825" cy="4857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20B11" w:rsidRPr="000D4FA1" w:rsidRDefault="00520B11" w:rsidP="00D144D6">
      <w:pPr>
        <w:pStyle w:val="a4"/>
        <w:spacing w:before="0" w:beforeAutospacing="0" w:after="0" w:afterAutospacing="0"/>
        <w:ind w:firstLine="720"/>
        <w:jc w:val="both"/>
        <w:rPr>
          <w:sz w:val="28"/>
          <w:szCs w:val="28"/>
        </w:rPr>
      </w:pPr>
      <w:r w:rsidRPr="000D4FA1">
        <w:rPr>
          <w:sz w:val="28"/>
          <w:szCs w:val="28"/>
        </w:rPr>
        <w:t>(2)</w:t>
      </w:r>
    </w:p>
    <w:p w:rsidR="00217812" w:rsidRPr="000D4FA1" w:rsidRDefault="00217812" w:rsidP="00E34609">
      <w:pPr>
        <w:pStyle w:val="a4"/>
        <w:spacing w:before="0" w:beforeAutospacing="0" w:after="0" w:afterAutospacing="0"/>
        <w:ind w:firstLine="720"/>
        <w:jc w:val="both"/>
        <w:rPr>
          <w:sz w:val="28"/>
          <w:szCs w:val="28"/>
        </w:rPr>
      </w:pPr>
    </w:p>
    <w:p w:rsidR="00D144D6" w:rsidRPr="000D4FA1" w:rsidRDefault="00520B11" w:rsidP="00D144D6">
      <w:pPr>
        <w:pStyle w:val="a4"/>
        <w:spacing w:before="0" w:beforeAutospacing="0" w:after="0" w:afterAutospacing="0"/>
        <w:ind w:firstLine="720"/>
        <w:jc w:val="both"/>
        <w:rPr>
          <w:sz w:val="28"/>
          <w:szCs w:val="28"/>
        </w:rPr>
      </w:pPr>
      <w:r w:rsidRPr="000D4FA1">
        <w:rPr>
          <w:sz w:val="28"/>
          <w:szCs w:val="28"/>
        </w:rPr>
        <w:t>Используется, если исследуется стабильность кадрового ядра.</w:t>
      </w:r>
      <w:r w:rsidR="00E34609" w:rsidRPr="000D4FA1">
        <w:rPr>
          <w:sz w:val="28"/>
          <w:szCs w:val="28"/>
        </w:rPr>
        <w:t xml:space="preserve"> </w:t>
      </w:r>
      <w:r w:rsidR="00D144D6" w:rsidRPr="000D4FA1">
        <w:rPr>
          <w:sz w:val="28"/>
          <w:szCs w:val="28"/>
        </w:rPr>
        <w:t>Коэффициент текучести кадров в медицинском образовании: значение и интерпретация</w:t>
      </w:r>
      <w:r w:rsidR="00D82E99" w:rsidRPr="000D4FA1">
        <w:rPr>
          <w:sz w:val="28"/>
          <w:szCs w:val="28"/>
        </w:rPr>
        <w:t xml:space="preserve">. </w:t>
      </w:r>
      <w:r w:rsidR="00D144D6" w:rsidRPr="000D4FA1">
        <w:rPr>
          <w:sz w:val="28"/>
          <w:szCs w:val="28"/>
        </w:rPr>
        <w:t xml:space="preserve">К </w:t>
      </w:r>
      <w:r w:rsidR="00D82E99" w:rsidRPr="000D4FA1">
        <w:rPr>
          <w:sz w:val="28"/>
          <w:szCs w:val="28"/>
        </w:rPr>
        <w:t>данным</w:t>
      </w:r>
      <w:r w:rsidR="00D144D6" w:rsidRPr="000D4FA1">
        <w:rPr>
          <w:sz w:val="28"/>
          <w:szCs w:val="28"/>
        </w:rPr>
        <w:t xml:space="preserve"> факторам относятся:</w:t>
      </w:r>
      <w:r w:rsidR="00D82E99" w:rsidRPr="000D4FA1">
        <w:rPr>
          <w:sz w:val="28"/>
          <w:szCs w:val="28"/>
        </w:rPr>
        <w:t xml:space="preserve"> с</w:t>
      </w:r>
      <w:r w:rsidR="00D144D6" w:rsidRPr="000D4FA1">
        <w:rPr>
          <w:sz w:val="28"/>
          <w:szCs w:val="28"/>
        </w:rPr>
        <w:t>табильность педагогического состава</w:t>
      </w:r>
      <w:r w:rsidR="00D82E99" w:rsidRPr="000D4FA1">
        <w:rPr>
          <w:sz w:val="28"/>
          <w:szCs w:val="28"/>
        </w:rPr>
        <w:t>, н</w:t>
      </w:r>
      <w:r w:rsidR="00D144D6" w:rsidRPr="000D4FA1">
        <w:rPr>
          <w:sz w:val="28"/>
          <w:szCs w:val="28"/>
        </w:rPr>
        <w:t>епрерывность учебных программ</w:t>
      </w:r>
      <w:r w:rsidR="00D82E99" w:rsidRPr="000D4FA1">
        <w:rPr>
          <w:sz w:val="28"/>
          <w:szCs w:val="28"/>
        </w:rPr>
        <w:t>, с</w:t>
      </w:r>
      <w:r w:rsidR="00D144D6" w:rsidRPr="000D4FA1">
        <w:rPr>
          <w:sz w:val="28"/>
          <w:szCs w:val="28"/>
        </w:rPr>
        <w:t>охранение методических традиций</w:t>
      </w:r>
      <w:r w:rsidR="00D82E99" w:rsidRPr="000D4FA1">
        <w:rPr>
          <w:sz w:val="28"/>
          <w:szCs w:val="28"/>
        </w:rPr>
        <w:t>, з</w:t>
      </w:r>
      <w:r w:rsidR="00D144D6" w:rsidRPr="000D4FA1">
        <w:rPr>
          <w:sz w:val="28"/>
          <w:szCs w:val="28"/>
        </w:rPr>
        <w:t>акрепление клинических преподавателей</w:t>
      </w:r>
      <w:r w:rsidR="00D82E99" w:rsidRPr="000D4FA1">
        <w:rPr>
          <w:sz w:val="28"/>
          <w:szCs w:val="28"/>
        </w:rPr>
        <w:t>,</w:t>
      </w:r>
      <w:r w:rsidR="00D144D6" w:rsidRPr="000D4FA1">
        <w:rPr>
          <w:sz w:val="28"/>
          <w:szCs w:val="28"/>
        </w:rPr>
        <w:t xml:space="preserve"> </w:t>
      </w:r>
      <w:r w:rsidR="00D82E99" w:rsidRPr="000D4FA1">
        <w:rPr>
          <w:sz w:val="28"/>
          <w:szCs w:val="28"/>
        </w:rPr>
        <w:t>н</w:t>
      </w:r>
      <w:r w:rsidR="00D144D6" w:rsidRPr="000D4FA1">
        <w:rPr>
          <w:sz w:val="28"/>
          <w:szCs w:val="28"/>
        </w:rPr>
        <w:t>акопление опыта и развитие наставничества</w:t>
      </w:r>
      <w:r w:rsidR="00D82E99" w:rsidRPr="000D4FA1">
        <w:rPr>
          <w:sz w:val="28"/>
          <w:szCs w:val="28"/>
        </w:rPr>
        <w:t>.</w:t>
      </w:r>
      <w:r w:rsidR="005F6BF4">
        <w:rPr>
          <w:sz w:val="28"/>
          <w:szCs w:val="28"/>
        </w:rPr>
        <w:t xml:space="preserve"> </w:t>
      </w:r>
      <w:r w:rsidR="00D144D6" w:rsidRPr="000D4FA1">
        <w:rPr>
          <w:sz w:val="28"/>
          <w:szCs w:val="28"/>
        </w:rPr>
        <w:t>Опытные преподаватели и врачи</w:t>
      </w:r>
      <w:r w:rsidR="007B767F" w:rsidRPr="000D4FA1">
        <w:rPr>
          <w:sz w:val="28"/>
          <w:szCs w:val="28"/>
        </w:rPr>
        <w:t>–</w:t>
      </w:r>
      <w:r w:rsidR="00D144D6" w:rsidRPr="000D4FA1">
        <w:rPr>
          <w:sz w:val="28"/>
          <w:szCs w:val="28"/>
        </w:rPr>
        <w:t>наставники передают свои знания и навыки молодым специалистам, что является важным элементом профессионального становления. Текучесть кадров препятствует накоплению опыта и развитию наставничества.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Высокий коэффициент текучести кадров в образовательной организации указывает на наличие следующих проблем:</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о</w:t>
      </w:r>
      <w:r w:rsidR="00D144D6" w:rsidRPr="000D4FA1">
        <w:rPr>
          <w:sz w:val="28"/>
          <w:szCs w:val="28"/>
        </w:rPr>
        <w:t>рганизационные проблемы</w:t>
      </w:r>
      <w:r w:rsidRPr="000D4FA1">
        <w:rPr>
          <w:sz w:val="28"/>
          <w:szCs w:val="28"/>
        </w:rPr>
        <w:t>;</w:t>
      </w:r>
      <w:r w:rsidR="00D144D6" w:rsidRPr="000D4FA1">
        <w:rPr>
          <w:sz w:val="28"/>
          <w:szCs w:val="28"/>
        </w:rPr>
        <w:t xml:space="preserve"> </w:t>
      </w:r>
    </w:p>
    <w:p w:rsidR="005F6BF4" w:rsidRDefault="00E34609" w:rsidP="00D144D6">
      <w:pPr>
        <w:pStyle w:val="a4"/>
        <w:spacing w:before="0" w:beforeAutospacing="0" w:after="0" w:afterAutospacing="0"/>
        <w:ind w:firstLine="720"/>
        <w:jc w:val="both"/>
        <w:rPr>
          <w:sz w:val="28"/>
          <w:szCs w:val="28"/>
        </w:rPr>
      </w:pPr>
      <w:r w:rsidRPr="000D4FA1">
        <w:rPr>
          <w:sz w:val="28"/>
          <w:szCs w:val="28"/>
        </w:rPr>
        <w:t>– не</w:t>
      </w:r>
      <w:r w:rsidR="00D144D6" w:rsidRPr="000D4FA1">
        <w:rPr>
          <w:sz w:val="28"/>
          <w:szCs w:val="28"/>
        </w:rPr>
        <w:t>достаточный уровень мотивации</w:t>
      </w:r>
      <w:r w:rsidRPr="000D4FA1">
        <w:rPr>
          <w:sz w:val="28"/>
          <w:szCs w:val="28"/>
        </w:rPr>
        <w:t>;</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н</w:t>
      </w:r>
      <w:r w:rsidR="00D144D6" w:rsidRPr="000D4FA1">
        <w:rPr>
          <w:sz w:val="28"/>
          <w:szCs w:val="28"/>
        </w:rPr>
        <w:t>еэффективная кадровая политика</w:t>
      </w:r>
      <w:r w:rsidRPr="000D4FA1">
        <w:rPr>
          <w:sz w:val="28"/>
          <w:szCs w:val="28"/>
        </w:rPr>
        <w:t>.</w:t>
      </w:r>
    </w:p>
    <w:p w:rsidR="005F6BF4" w:rsidRDefault="005F6BF4" w:rsidP="00D144D6">
      <w:pPr>
        <w:pStyle w:val="a4"/>
        <w:spacing w:before="0" w:beforeAutospacing="0" w:after="0" w:afterAutospacing="0"/>
        <w:ind w:firstLine="720"/>
        <w:jc w:val="both"/>
        <w:rPr>
          <w:sz w:val="28"/>
          <w:szCs w:val="28"/>
        </w:rPr>
      </w:pPr>
    </w:p>
    <w:p w:rsidR="005F6BF4" w:rsidRDefault="005F6BF4" w:rsidP="00D144D6">
      <w:pPr>
        <w:pStyle w:val="a4"/>
        <w:spacing w:before="0" w:beforeAutospacing="0" w:after="0" w:afterAutospacing="0"/>
        <w:ind w:firstLine="720"/>
        <w:jc w:val="both"/>
        <w:rPr>
          <w:sz w:val="28"/>
          <w:szCs w:val="28"/>
        </w:rPr>
      </w:pPr>
    </w:p>
    <w:p w:rsidR="005F6BF4" w:rsidRDefault="005F6BF4" w:rsidP="00D144D6">
      <w:pPr>
        <w:pStyle w:val="a4"/>
        <w:spacing w:before="0" w:beforeAutospacing="0" w:after="0" w:afterAutospacing="0"/>
        <w:ind w:firstLine="720"/>
        <w:jc w:val="both"/>
        <w:rPr>
          <w:sz w:val="28"/>
          <w:szCs w:val="28"/>
        </w:rPr>
      </w:pPr>
    </w:p>
    <w:p w:rsidR="00D144D6" w:rsidRPr="000D4FA1" w:rsidRDefault="005F6BF4" w:rsidP="00D144D6">
      <w:pPr>
        <w:pStyle w:val="a4"/>
        <w:spacing w:before="0" w:beforeAutospacing="0" w:after="0" w:afterAutospacing="0"/>
        <w:ind w:firstLine="720"/>
        <w:jc w:val="both"/>
        <w:rPr>
          <w:sz w:val="28"/>
          <w:szCs w:val="28"/>
        </w:rPr>
      </w:pPr>
      <w:r>
        <w:rPr>
          <w:noProof/>
          <w:sz w:val="28"/>
          <w:szCs w:val="28"/>
        </w:rPr>
        <w:lastRenderedPageBreak/>
        <w:drawing>
          <wp:anchor distT="0" distB="0" distL="114300" distR="114300" simplePos="0" relativeHeight="251666944" behindDoc="1" locked="0" layoutInCell="1" allowOverlap="1">
            <wp:simplePos x="0" y="0"/>
            <wp:positionH relativeFrom="column">
              <wp:posOffset>-146685</wp:posOffset>
            </wp:positionH>
            <wp:positionV relativeFrom="paragraph">
              <wp:posOffset>-548640</wp:posOffset>
            </wp:positionV>
            <wp:extent cx="6267450" cy="3762375"/>
            <wp:effectExtent l="0" t="0" r="0" b="0"/>
            <wp:wrapTight wrapText="bothSides">
              <wp:wrapPolygon edited="0">
                <wp:start x="0" y="0"/>
                <wp:lineTo x="0" y="21545"/>
                <wp:lineTo x="21534" y="21545"/>
                <wp:lineTo x="2153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682" b="3271"/>
                    <a:stretch/>
                  </pic:blipFill>
                  <pic:spPr bwMode="auto">
                    <a:xfrm>
                      <a:off x="0" y="0"/>
                      <a:ext cx="6267450" cy="3762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144D6" w:rsidRPr="000D4FA1">
        <w:rPr>
          <w:sz w:val="28"/>
          <w:szCs w:val="28"/>
        </w:rPr>
        <w:t xml:space="preserve">Рисунок </w:t>
      </w:r>
      <w:r w:rsidR="007F50FD">
        <w:rPr>
          <w:sz w:val="28"/>
          <w:szCs w:val="28"/>
        </w:rPr>
        <w:t>9</w:t>
      </w:r>
      <w:r w:rsidR="00E34609" w:rsidRPr="000D4FA1">
        <w:rPr>
          <w:sz w:val="28"/>
          <w:szCs w:val="28"/>
        </w:rPr>
        <w:t xml:space="preserve"> –</w:t>
      </w:r>
      <w:r w:rsidR="005853F0" w:rsidRPr="000D4FA1">
        <w:rPr>
          <w:sz w:val="28"/>
          <w:szCs w:val="28"/>
          <w:lang w:val="kk-KZ"/>
        </w:rPr>
        <w:t xml:space="preserve"> </w:t>
      </w:r>
      <w:r w:rsidR="00D144D6" w:rsidRPr="000D4FA1">
        <w:rPr>
          <w:sz w:val="28"/>
          <w:szCs w:val="28"/>
        </w:rPr>
        <w:t>Коэффициент текучести кадров в медицинском образовании: ключевые проблемы и последствия</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F45F03">
      <w:pPr>
        <w:pStyle w:val="a4"/>
        <w:spacing w:before="0" w:beforeAutospacing="0" w:after="0" w:afterAutospacing="0"/>
        <w:ind w:firstLine="720"/>
        <w:jc w:val="both"/>
        <w:rPr>
          <w:sz w:val="28"/>
          <w:szCs w:val="28"/>
        </w:rPr>
      </w:pPr>
      <w:r w:rsidRPr="000D4FA1">
        <w:t xml:space="preserve">Примечание – составлено автором. </w:t>
      </w:r>
      <w:r w:rsidR="00E34609" w:rsidRPr="000D4FA1">
        <w:t>Р</w:t>
      </w:r>
      <w:r w:rsidRPr="000D4FA1">
        <w:t>исунок визуализирует основные причины роста текучести кадров (организационные проблемы, недостаточная мотивация, неэффективная кадровая политика) и их последствия для образовательной организации: увеличение затрат на найм, снижение качества подготовки студентов и рост нагрузки на кадровые службы</w:t>
      </w:r>
      <w:r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Частая смена преподавателей и клинических наставников может негативно сказываться на качестве обучения студентов, снижая уровень их знаний и практических навыков.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Постоянный поиск и обучение новых сотрудников требует значительных финансовых и временных затрат.</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Низкий коэффициент текучести кадров, напротив, свидетельствует о следующем:</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Наличие устойчивого кадрового ядра</w:t>
      </w:r>
      <w:r w:rsidR="008B500E" w:rsidRPr="000D4FA1">
        <w:rPr>
          <w:sz w:val="28"/>
          <w:szCs w:val="28"/>
        </w:rPr>
        <w:t>.</w:t>
      </w:r>
      <w:r w:rsidRPr="000D4FA1">
        <w:rPr>
          <w:sz w:val="28"/>
          <w:szCs w:val="28"/>
        </w:rPr>
        <w:t xml:space="preserve"> Стабильный коллектив преподавателей и сотрудников обеспечивает преемственность в образовательном процессе и сохранение методических традиций.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Высокая вовлечённость и удовлетворённость сотрудников</w:t>
      </w:r>
      <w:r w:rsidR="008B500E" w:rsidRPr="000D4FA1">
        <w:rPr>
          <w:sz w:val="28"/>
          <w:szCs w:val="28"/>
        </w:rPr>
        <w:t>.</w:t>
      </w:r>
      <w:r w:rsidRPr="000D4FA1">
        <w:rPr>
          <w:sz w:val="28"/>
          <w:szCs w:val="28"/>
        </w:rPr>
        <w:t xml:space="preserve"> Удовлетворенность работой, благоприятный психологический климат в коллективе, возможности для профессионального роста и развития способствуют удержанию сотрудников.</w:t>
      </w:r>
    </w:p>
    <w:p w:rsidR="005853F0" w:rsidRPr="000D4FA1" w:rsidRDefault="00D144D6" w:rsidP="005853F0">
      <w:pPr>
        <w:pStyle w:val="a4"/>
        <w:spacing w:before="0" w:beforeAutospacing="0" w:after="0" w:afterAutospacing="0"/>
        <w:ind w:firstLine="720"/>
        <w:jc w:val="both"/>
        <w:rPr>
          <w:sz w:val="28"/>
          <w:szCs w:val="28"/>
        </w:rPr>
      </w:pPr>
      <w:r w:rsidRPr="000D4FA1">
        <w:rPr>
          <w:sz w:val="28"/>
          <w:szCs w:val="28"/>
        </w:rPr>
        <w:t>Минимизация транзакционных издержек</w:t>
      </w:r>
      <w:r w:rsidR="008B500E" w:rsidRPr="000D4FA1">
        <w:rPr>
          <w:sz w:val="28"/>
          <w:szCs w:val="28"/>
        </w:rPr>
        <w:t>.</w:t>
      </w:r>
      <w:r w:rsidRPr="000D4FA1">
        <w:rPr>
          <w:sz w:val="28"/>
          <w:szCs w:val="28"/>
        </w:rPr>
        <w:t xml:space="preserve"> Низкая текучесть кадров позволяет сократить затраты на поиск, найм и обучение новых сотрудников.</w:t>
      </w:r>
    </w:p>
    <w:p w:rsidR="0087121B" w:rsidRPr="000D4FA1" w:rsidRDefault="00D144D6" w:rsidP="005853F0">
      <w:pPr>
        <w:pStyle w:val="a4"/>
        <w:spacing w:before="0" w:beforeAutospacing="0" w:after="0" w:afterAutospacing="0"/>
        <w:ind w:firstLine="720"/>
        <w:jc w:val="both"/>
        <w:rPr>
          <w:sz w:val="28"/>
          <w:szCs w:val="28"/>
        </w:rPr>
      </w:pPr>
      <w:r w:rsidRPr="000D4FA1">
        <w:rPr>
          <w:sz w:val="28"/>
          <w:szCs w:val="28"/>
        </w:rPr>
        <w:t>Стабильный состав преподавателей и клинических наставников обеспечивает высокое качество обучения и передачи опыта студентам.</w:t>
      </w:r>
    </w:p>
    <w:p w:rsidR="00D144D6" w:rsidRPr="000D4FA1" w:rsidRDefault="001140E9" w:rsidP="005853F0">
      <w:pPr>
        <w:pStyle w:val="a4"/>
        <w:spacing w:before="0" w:beforeAutospacing="0" w:after="0" w:afterAutospacing="0"/>
        <w:ind w:firstLine="720"/>
        <w:jc w:val="both"/>
        <w:rPr>
          <w:sz w:val="28"/>
          <w:szCs w:val="28"/>
        </w:rPr>
      </w:pPr>
      <w:r w:rsidRPr="000D4FA1">
        <w:rPr>
          <w:noProof/>
          <w:sz w:val="28"/>
          <w:szCs w:val="28"/>
        </w:rPr>
        <w:lastRenderedPageBreak/>
        <w:drawing>
          <wp:anchor distT="0" distB="0" distL="114300" distR="114300" simplePos="0" relativeHeight="251657216" behindDoc="1" locked="0" layoutInCell="1" allowOverlap="1">
            <wp:simplePos x="0" y="0"/>
            <wp:positionH relativeFrom="margin">
              <wp:posOffset>197485</wp:posOffset>
            </wp:positionH>
            <wp:positionV relativeFrom="paragraph">
              <wp:posOffset>1571625</wp:posOffset>
            </wp:positionV>
            <wp:extent cx="5940425" cy="3248025"/>
            <wp:effectExtent l="19050" t="19050" r="22225" b="28575"/>
            <wp:wrapTight wrapText="bothSides">
              <wp:wrapPolygon edited="0">
                <wp:start x="-69" y="-127"/>
                <wp:lineTo x="-69" y="21663"/>
                <wp:lineTo x="21612" y="21663"/>
                <wp:lineTo x="21612" y="-127"/>
                <wp:lineTo x="-69" y="-127"/>
              </wp:wrapPolygon>
            </wp:wrapTight>
            <wp:docPr id="1249109740" name="Рисунок 1"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09740" name="Рисунок 1" descr="Изображение выглядит как линия, График, диаграмма, Параллельный&#10;&#10;Содержимое, созданное искусственным интеллектом, может быть неверным."/>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248025"/>
                    </a:xfrm>
                    <a:prstGeom prst="rect">
                      <a:avLst/>
                    </a:prstGeom>
                    <a:ln>
                      <a:solidFill>
                        <a:srgbClr val="EE0000"/>
                      </a:solidFill>
                    </a:ln>
                  </pic:spPr>
                </pic:pic>
              </a:graphicData>
            </a:graphic>
          </wp:anchor>
        </w:drawing>
      </w:r>
      <w:r w:rsidR="00D144D6" w:rsidRPr="000D4FA1">
        <w:rPr>
          <w:sz w:val="28"/>
          <w:szCs w:val="28"/>
        </w:rPr>
        <w:t>Таким образом, коэффициент текучести кадров является важным индикатором, позволяющим оценить состояние кадровой политики образовательной организации и ее влияние на качество подготовки специалистов в области медицины. Анализ этого показателя позволяет выявить проблемные зоны и разработать меры по улучшению кадровой устойчивости, что в конечном итоге способствует повышению качества медицинского образования.</w:t>
      </w:r>
    </w:p>
    <w:p w:rsidR="0087121B" w:rsidRPr="000D4FA1" w:rsidRDefault="0087121B" w:rsidP="00D144D6">
      <w:pPr>
        <w:pStyle w:val="a4"/>
        <w:spacing w:before="0" w:beforeAutospacing="0" w:after="0" w:afterAutospacing="0"/>
        <w:ind w:firstLine="720"/>
        <w:jc w:val="both"/>
        <w:rPr>
          <w:sz w:val="28"/>
          <w:szCs w:val="28"/>
        </w:rPr>
      </w:pPr>
    </w:p>
    <w:p w:rsidR="00D144D6" w:rsidRPr="000D4FA1" w:rsidRDefault="00D144D6" w:rsidP="00EC4CEC">
      <w:pPr>
        <w:pStyle w:val="a4"/>
        <w:spacing w:before="0" w:beforeAutospacing="0" w:after="0" w:afterAutospacing="0"/>
        <w:ind w:firstLine="720"/>
        <w:jc w:val="both"/>
        <w:rPr>
          <w:sz w:val="28"/>
          <w:szCs w:val="28"/>
        </w:rPr>
      </w:pPr>
      <w:r w:rsidRPr="000D4FA1">
        <w:rPr>
          <w:sz w:val="28"/>
          <w:szCs w:val="28"/>
        </w:rPr>
        <w:t>Рисунок</w:t>
      </w:r>
      <w:r w:rsidR="005853F0" w:rsidRPr="000D4FA1">
        <w:rPr>
          <w:sz w:val="28"/>
          <w:szCs w:val="28"/>
          <w:lang w:val="kk-KZ"/>
        </w:rPr>
        <w:t xml:space="preserve"> </w:t>
      </w:r>
      <w:r w:rsidR="007F50FD">
        <w:rPr>
          <w:sz w:val="28"/>
          <w:szCs w:val="28"/>
        </w:rPr>
        <w:t xml:space="preserve">10 </w:t>
      </w:r>
      <w:r w:rsidR="00E34609" w:rsidRPr="000D4FA1">
        <w:rPr>
          <w:sz w:val="28"/>
          <w:szCs w:val="28"/>
        </w:rPr>
        <w:t>–</w:t>
      </w:r>
      <w:r w:rsidR="005853F0" w:rsidRPr="000D4FA1">
        <w:rPr>
          <w:sz w:val="28"/>
          <w:szCs w:val="28"/>
          <w:lang w:val="kk-KZ"/>
        </w:rPr>
        <w:t xml:space="preserve"> </w:t>
      </w:r>
      <w:r w:rsidRPr="000D4FA1">
        <w:rPr>
          <w:sz w:val="28"/>
          <w:szCs w:val="28"/>
        </w:rPr>
        <w:t>Динамика коэффициента текучести кадров медицинского колледжа (2020–2025 гг.)</w:t>
      </w:r>
    </w:p>
    <w:p w:rsidR="00E34609" w:rsidRPr="000D4FA1" w:rsidRDefault="00E34609" w:rsidP="00EC4CEC">
      <w:pPr>
        <w:pStyle w:val="a4"/>
        <w:spacing w:before="0" w:beforeAutospacing="0" w:after="0" w:afterAutospacing="0"/>
        <w:ind w:firstLine="720"/>
        <w:jc w:val="both"/>
      </w:pPr>
      <w:r w:rsidRPr="000D4FA1">
        <w:t>Примечание – составлено автором на основе исследования</w:t>
      </w:r>
    </w:p>
    <w:p w:rsidR="00E34609" w:rsidRPr="000D4FA1" w:rsidRDefault="00E34609" w:rsidP="00EC4CEC">
      <w:pPr>
        <w:pStyle w:val="a4"/>
        <w:spacing w:before="0" w:beforeAutospacing="0" w:after="0" w:afterAutospacing="0"/>
        <w:ind w:firstLine="720"/>
        <w:jc w:val="both"/>
        <w:rPr>
          <w:sz w:val="28"/>
          <w:szCs w:val="28"/>
        </w:rPr>
      </w:pPr>
    </w:p>
    <w:p w:rsidR="00D144D6" w:rsidRPr="000D4FA1" w:rsidRDefault="00D144D6" w:rsidP="00EC4CEC">
      <w:pPr>
        <w:pStyle w:val="a4"/>
        <w:spacing w:before="0" w:beforeAutospacing="0" w:after="0" w:afterAutospacing="0"/>
        <w:ind w:firstLine="720"/>
        <w:jc w:val="both"/>
        <w:rPr>
          <w:sz w:val="28"/>
          <w:szCs w:val="28"/>
        </w:rPr>
      </w:pPr>
      <w:r w:rsidRPr="000D4FA1">
        <w:rPr>
          <w:sz w:val="28"/>
          <w:szCs w:val="28"/>
        </w:rPr>
        <w:t xml:space="preserve">Динамика текучести кадров за 2020–2025 годы демонстрирует неустойчивую, но управляемую кадровую ситуацию в колледже. Пик текучести отмечен в 2021–2022 году (8,7%), что может быть связано с обновлением образовательных программ, повышением требований к квалификации преподавателей и переходом части специалистов в клинические организации.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последующие годы наблюдается стабильное снижение показателя, достигшее минимального уровня в 2024–2025 году (4,3%), что свидетельствует о повышении кадровой устойчивости колледжа, улучшении мотивационных мер и развитии корпоративной культуры. Снижение текучести положительно отражается на качестве образовательного процесса, способствует сохранению методической преемственности и снижению затрат на рекрутинг новых сотрудников.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Анализ образовательного процесса и кадрового потенциала Шымкентского высшего медицинского колледжа показывает, что организация обладает рядом структурных преимуществ, способствующих формированию устойчивого человеческого капитала.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В первую очередь, к сильным сторонам относится стабильная численность ППС, в том числе рост доли сотрудников с магистерской степенью и профессиональными квалификациями, что повышает качественные характеристики трудовых ресурсов и снижает зависимость от внешнего рынка труда. Укреплению качества образовательного процесса способствует также наличие развитой симуляционной базы, партнерства с клиническими учреждениями и внедрение цифровых технологий (</w:t>
      </w:r>
      <w:r w:rsidR="005853F0" w:rsidRPr="000D4FA1">
        <w:rPr>
          <w:bCs/>
          <w:sz w:val="28"/>
          <w:szCs w:val="28"/>
        </w:rPr>
        <w:t>ISEDU</w:t>
      </w:r>
      <w:r w:rsidR="007B767F" w:rsidRPr="000D4FA1">
        <w:rPr>
          <w:bCs/>
          <w:sz w:val="28"/>
          <w:szCs w:val="28"/>
        </w:rPr>
        <w:t>–</w:t>
      </w:r>
      <w:r w:rsidR="005853F0" w:rsidRPr="000D4FA1">
        <w:rPr>
          <w:bCs/>
          <w:sz w:val="28"/>
          <w:szCs w:val="28"/>
        </w:rPr>
        <w:t>платформа</w:t>
      </w:r>
      <w:r w:rsidR="005853F0" w:rsidRPr="000D4FA1">
        <w:rPr>
          <w:bCs/>
          <w:sz w:val="28"/>
          <w:szCs w:val="28"/>
          <w:lang w:val="kk-KZ"/>
        </w:rPr>
        <w:t>,</w:t>
      </w:r>
      <w:r w:rsidRPr="000D4FA1">
        <w:rPr>
          <w:sz w:val="28"/>
          <w:szCs w:val="28"/>
        </w:rPr>
        <w:t xml:space="preserve"> электронный журнал), что обеспечивает рост производительности образовательных услуг и адаптивность к изменениям отраслевых стандартов.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то же время исследования выявили ряд слабых сторон в обеспеченности кадрами, оказывающих экономическое влияние на деятельность колледжа. Прежде всего, наблюдается неравномерная возрастная структура</w:t>
      </w:r>
      <w:r w:rsidR="005853F0" w:rsidRPr="000D4FA1">
        <w:rPr>
          <w:sz w:val="28"/>
          <w:szCs w:val="28"/>
          <w:lang w:val="kk-KZ"/>
        </w:rPr>
        <w:t xml:space="preserve"> </w:t>
      </w:r>
      <w:r w:rsidR="007B767F" w:rsidRPr="000D4FA1">
        <w:rPr>
          <w:sz w:val="28"/>
          <w:szCs w:val="28"/>
          <w:lang w:val="kk-KZ"/>
        </w:rPr>
        <w:t>–</w:t>
      </w:r>
      <w:r w:rsidR="005853F0" w:rsidRPr="000D4FA1">
        <w:rPr>
          <w:sz w:val="28"/>
          <w:szCs w:val="28"/>
          <w:lang w:val="kk-KZ"/>
        </w:rPr>
        <w:t xml:space="preserve"> </w:t>
      </w:r>
      <w:r w:rsidRPr="000D4FA1">
        <w:rPr>
          <w:sz w:val="28"/>
          <w:szCs w:val="28"/>
        </w:rPr>
        <w:t>высокая доля педагогов старше 50 лет усиливает риски будущего кадрового дефицита и увеличивает необходимость инвестиций в подготовку заменяющего персонала.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 Значительная доля сотрудников без категории (36–55% в разные годы) отражает недостаточную завершённость профессиональной траектории, что потенциально снижает конкурентоспособность образовательной услуги. Текучесть кадров в среднем составляет 6–9%, что является приемлемым уровнем, однако рост текучести в отдельные годы увеличивает трансакционные издержки на поиск и адаптацию сотрудников, а также снижает накопленный человеческий капитал организации.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Ключевые риски устойчивости организации связаны с управлением человеческими ресурсами</w:t>
      </w:r>
      <w:r w:rsidR="00E34609" w:rsidRPr="000D4FA1">
        <w:rPr>
          <w:sz w:val="28"/>
          <w:szCs w:val="28"/>
        </w:rPr>
        <w:t>, таким образом с</w:t>
      </w:r>
      <w:r w:rsidRPr="000D4FA1">
        <w:rPr>
          <w:sz w:val="28"/>
          <w:szCs w:val="28"/>
        </w:rPr>
        <w:t>реди значимых факторов риска выделяются:</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возрастающие издержки на найм и удержание кадров вследствие отраслевого дефицита медицинских педагогов;</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риск снижения качества подготовки студентов при частых кадровых заменах;</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 xml:space="preserve">возможность профессионального выгорания персонала в условиях роста нагрузки и требований </w:t>
      </w:r>
      <w:r w:rsidR="005853F0" w:rsidRPr="000D4FA1">
        <w:rPr>
          <w:sz w:val="28"/>
          <w:szCs w:val="28"/>
          <w:lang w:val="kk-KZ"/>
        </w:rPr>
        <w:t xml:space="preserve">НПА </w:t>
      </w:r>
      <w:r w:rsidR="00D144D6" w:rsidRPr="000D4FA1">
        <w:rPr>
          <w:sz w:val="28"/>
          <w:szCs w:val="28"/>
        </w:rPr>
        <w:t>МЗ РК;</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необходимость адаптации к реформам и обновлённым профессиональным стандартам, что требует постоянных инвестиций в повышение квалификации.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 точки зрения экономической эффективности, человеческий капитал колледжа является стратегическим активом, определяющим конкурентоспособность организации на рынке образовательных услуг. Для его развития необходимо усиление следующих направлений:</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инвестиции в повышение квалификации и категорийность преподавателей, что обеспечивает рост маржинальности образовательных программ за счёт повышения их качества и востребованности;</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оптимизация кадровой структуры с акцентом на привлечение молодых педагогов и удержание опытных сотрудников с высокими компетенциями;</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lastRenderedPageBreak/>
        <w:t xml:space="preserve">– </w:t>
      </w:r>
      <w:r w:rsidR="00D144D6" w:rsidRPr="000D4FA1">
        <w:rPr>
          <w:sz w:val="28"/>
          <w:szCs w:val="28"/>
        </w:rPr>
        <w:t>усиление системы мотивации (материальной и нематериальной) для снижения текучести и повышения удовлетворенности трудом;</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развитие цифровых и симуляционных технологий, что увеличивает производительность преподавательского труда и расширяет пропускную способность образовательного процесса;</w:t>
      </w:r>
    </w:p>
    <w:p w:rsidR="00D144D6" w:rsidRPr="000D4FA1" w:rsidRDefault="00E34609" w:rsidP="00D144D6">
      <w:pPr>
        <w:pStyle w:val="a4"/>
        <w:spacing w:before="0" w:beforeAutospacing="0" w:after="0" w:afterAutospacing="0"/>
        <w:ind w:firstLine="720"/>
        <w:jc w:val="both"/>
        <w:rPr>
          <w:sz w:val="28"/>
          <w:szCs w:val="28"/>
        </w:rPr>
      </w:pPr>
      <w:r w:rsidRPr="000D4FA1">
        <w:rPr>
          <w:sz w:val="28"/>
          <w:szCs w:val="28"/>
        </w:rPr>
        <w:t xml:space="preserve"> – </w:t>
      </w:r>
      <w:r w:rsidR="00D144D6" w:rsidRPr="000D4FA1">
        <w:rPr>
          <w:sz w:val="28"/>
          <w:szCs w:val="28"/>
        </w:rPr>
        <w:t>формирование корпоративной культуры, поддерживающей инновационность и психологическую устойчивость персонала.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совокупности результаты исследования подтверждают, что колледж обладает значительным потенциалом человеческого капитала, однако его дальнейшее развитие требует продуманной HR</w:t>
      </w:r>
      <w:r w:rsidR="007B767F" w:rsidRPr="000D4FA1">
        <w:rPr>
          <w:sz w:val="28"/>
          <w:szCs w:val="28"/>
        </w:rPr>
        <w:t>–</w:t>
      </w:r>
      <w:r w:rsidRPr="000D4FA1">
        <w:rPr>
          <w:sz w:val="28"/>
          <w:szCs w:val="28"/>
        </w:rPr>
        <w:t xml:space="preserve">стратегии, направленной на минимизацию кадровых рисков, повышение эффективности использования труда и устойчивую модернизацию образовательных ресурсов. </w:t>
      </w:r>
      <w:r w:rsidR="00E34609" w:rsidRPr="000D4FA1">
        <w:rPr>
          <w:sz w:val="28"/>
          <w:szCs w:val="28"/>
        </w:rPr>
        <w:t xml:space="preserve">Таким образом, </w:t>
      </w:r>
      <w:r w:rsidRPr="000D4FA1">
        <w:rPr>
          <w:sz w:val="28"/>
          <w:szCs w:val="28"/>
        </w:rPr>
        <w:t xml:space="preserve"> выводы служат фундаментом для формирования управленческих рекомендаций в последующих разделах диссертации.</w:t>
      </w:r>
    </w:p>
    <w:p w:rsidR="001875B2" w:rsidRPr="000D4FA1" w:rsidRDefault="00673293" w:rsidP="00673293">
      <w:pPr>
        <w:pStyle w:val="a4"/>
        <w:spacing w:before="0" w:beforeAutospacing="0" w:after="0" w:afterAutospacing="0"/>
        <w:ind w:firstLine="720"/>
        <w:jc w:val="both"/>
        <w:rPr>
          <w:sz w:val="28"/>
          <w:szCs w:val="28"/>
        </w:rPr>
      </w:pPr>
      <w:r w:rsidRPr="000D4FA1">
        <w:rPr>
          <w:sz w:val="28"/>
          <w:szCs w:val="28"/>
        </w:rPr>
        <w:t>Анализ кадрового потенциала Шымкентского высшего медицинского колледжа показал, что одним из ключевых факторов устойчивости образовательной организации является уровень профессионального развития профессорско</w:t>
      </w:r>
      <w:r w:rsidR="007B767F" w:rsidRPr="000D4FA1">
        <w:rPr>
          <w:sz w:val="28"/>
          <w:szCs w:val="28"/>
        </w:rPr>
        <w:t>–</w:t>
      </w:r>
      <w:r w:rsidRPr="000D4FA1">
        <w:rPr>
          <w:sz w:val="28"/>
          <w:szCs w:val="28"/>
        </w:rPr>
        <w:t xml:space="preserve">преподавательского состава. </w:t>
      </w:r>
    </w:p>
    <w:p w:rsidR="00673293" w:rsidRPr="000D4FA1" w:rsidRDefault="00673293" w:rsidP="00673293">
      <w:pPr>
        <w:pStyle w:val="a4"/>
        <w:spacing w:before="0" w:beforeAutospacing="0" w:after="0" w:afterAutospacing="0"/>
        <w:ind w:firstLine="720"/>
        <w:jc w:val="both"/>
        <w:rPr>
          <w:sz w:val="28"/>
          <w:szCs w:val="28"/>
        </w:rPr>
      </w:pPr>
      <w:r w:rsidRPr="000D4FA1">
        <w:rPr>
          <w:sz w:val="28"/>
          <w:szCs w:val="28"/>
        </w:rPr>
        <w:t>В рамках исследования была проведена оценка участия преподавателей колледжа в программах повышения квалификации и профессиональной сертификации за последние годы.</w:t>
      </w:r>
    </w:p>
    <w:p w:rsidR="00673293" w:rsidRPr="000D4FA1" w:rsidRDefault="00673293" w:rsidP="00673293">
      <w:pPr>
        <w:pStyle w:val="a4"/>
        <w:spacing w:before="0" w:beforeAutospacing="0" w:after="0" w:afterAutospacing="0"/>
        <w:ind w:firstLine="720"/>
        <w:jc w:val="both"/>
        <w:rPr>
          <w:sz w:val="28"/>
          <w:szCs w:val="28"/>
        </w:rPr>
      </w:pPr>
      <w:r w:rsidRPr="000D4FA1">
        <w:rPr>
          <w:sz w:val="28"/>
          <w:szCs w:val="28"/>
        </w:rPr>
        <w:t>Проведенный анализ кадровых данных колледжа свидетельствует о наличии определенных ограничений в системе профессионального развития преподавателей. Часть сотрудников проходит повышение квалификации регулярно, однако значительная доля преподавателей участвует в подобных программах нерегулярно или с длительными интервалами. В результате возникает разрыв между требованиями современной системы медицинского образования, предполагающими постоянное обновление профессиональных компетенций, и фактическим уровнем профессионального развития отдельных категорий преподавателей.</w:t>
      </w:r>
    </w:p>
    <w:p w:rsidR="00673293" w:rsidRPr="000D4FA1" w:rsidRDefault="00673293" w:rsidP="00673293">
      <w:pPr>
        <w:pStyle w:val="a4"/>
        <w:spacing w:before="0" w:beforeAutospacing="0" w:after="0" w:afterAutospacing="0"/>
        <w:ind w:firstLine="720"/>
        <w:jc w:val="both"/>
        <w:rPr>
          <w:sz w:val="28"/>
          <w:szCs w:val="28"/>
        </w:rPr>
      </w:pPr>
      <w:r w:rsidRPr="000D4FA1">
        <w:rPr>
          <w:sz w:val="28"/>
          <w:szCs w:val="28"/>
        </w:rPr>
        <w:t>Дополнительный анализ также показал, что участие преподавателей в профессиональных сертификационных программах и специализированных образовательных курсах остается ограниченным. В условиях быстрого обновления медицинских технологий и образовательных стандартов наличие сертифицированных специалистов является важным элементом формирования качественного человеческого потенциала образовательной организации. Недостаточный уровень участия преподавателей в подобных программах может снижать адаптивность образовательных программ и ограничивать внедрение современных методов обучения.</w:t>
      </w:r>
    </w:p>
    <w:p w:rsidR="00673293" w:rsidRPr="000D4FA1" w:rsidRDefault="00673293" w:rsidP="00673293">
      <w:pPr>
        <w:pStyle w:val="a4"/>
        <w:spacing w:before="0" w:beforeAutospacing="0" w:after="0" w:afterAutospacing="0"/>
        <w:ind w:firstLine="720"/>
        <w:jc w:val="both"/>
        <w:rPr>
          <w:sz w:val="28"/>
          <w:szCs w:val="28"/>
        </w:rPr>
      </w:pPr>
      <w:r w:rsidRPr="000D4FA1">
        <w:rPr>
          <w:sz w:val="28"/>
          <w:szCs w:val="28"/>
        </w:rPr>
        <w:t xml:space="preserve">Полученные результаты позволили выявить необходимость системного развития механизмов профессионального роста преподавательского состава. В частности, требуется расширение программ повышения квалификации, внедрение институциональных стимулов для участия преподавателей в сертификационных программах, а также развитие партнерства с медицинскими </w:t>
      </w:r>
      <w:r w:rsidRPr="000D4FA1">
        <w:rPr>
          <w:sz w:val="28"/>
          <w:szCs w:val="28"/>
        </w:rPr>
        <w:lastRenderedPageBreak/>
        <w:t>организациями и образовательными центрами. Реализация данных мероприятий позволит повысить уровень профессиональной компетентности преподавателей, укрепить кадровый потенциал колледжа и, как следствие, повысить устойчивость образовательной организации в условиях модернизации системы технического и профессионального образования.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Оценка уровня человеческого потенциала Шымкентского высшего медицинского колледжа на основе микроэкономических показателей, данных о кадровом составе и качестве образовательных услуг позволила сформировать целостное представление о факторах, определяющих устойчивость образовательной организации.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Анализ кадровых параметров показал, что колледж располагает стабильным и профессионально зрелым преподавательским корпусом. Увеличение доли магистров, рост числа педагогов</w:t>
      </w:r>
      <w:r w:rsidR="007B767F" w:rsidRPr="000D4FA1">
        <w:rPr>
          <w:sz w:val="28"/>
          <w:szCs w:val="28"/>
        </w:rPr>
        <w:t>–</w:t>
      </w:r>
      <w:r w:rsidRPr="000D4FA1">
        <w:rPr>
          <w:sz w:val="28"/>
          <w:szCs w:val="28"/>
        </w:rPr>
        <w:t>исследователей и модераторов, активное участие персонала в сертификационных процедурах свидетельствуют о системной работе по повышению квалификации и укреплению человеческого капитала.</w:t>
      </w:r>
      <w:r w:rsidR="005F07F2" w:rsidRPr="000D4FA1">
        <w:rPr>
          <w:sz w:val="28"/>
          <w:szCs w:val="28"/>
        </w:rPr>
        <w:t xml:space="preserve"> </w:t>
      </w:r>
      <w:r w:rsidRPr="000D4FA1">
        <w:rPr>
          <w:sz w:val="28"/>
          <w:szCs w:val="28"/>
        </w:rPr>
        <w:t>При этом сохраняется ряд структурных диспропорций: высокая доля педагогов без категории, неравномерная возрастная структура и локальные всплески текучести кадров, что формирует потенциальные риски для кадровой устойчивости в среднесрочной перспективе.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Микроэкономические показатели эффективности–динамика контингента, уровень успеваемости, результаты итоговой аттестации, показатели трудоустройства выпускников</w:t>
      </w:r>
      <w:r w:rsidR="005E0221" w:rsidRPr="000D4FA1">
        <w:rPr>
          <w:sz w:val="28"/>
          <w:szCs w:val="28"/>
          <w:lang w:val="kk-KZ"/>
        </w:rPr>
        <w:t xml:space="preserve"> </w:t>
      </w:r>
      <w:r w:rsidR="007B767F" w:rsidRPr="000D4FA1">
        <w:rPr>
          <w:sz w:val="28"/>
          <w:szCs w:val="28"/>
          <w:lang w:val="kk-KZ"/>
        </w:rPr>
        <w:t>–</w:t>
      </w:r>
      <w:r w:rsidR="005E0221" w:rsidRPr="000D4FA1">
        <w:rPr>
          <w:sz w:val="28"/>
          <w:szCs w:val="28"/>
          <w:lang w:val="kk-KZ"/>
        </w:rPr>
        <w:t xml:space="preserve"> </w:t>
      </w:r>
      <w:r w:rsidRPr="000D4FA1">
        <w:rPr>
          <w:sz w:val="28"/>
          <w:szCs w:val="28"/>
        </w:rPr>
        <w:t>демонстрируют положительную тенденцию, что подтверждает способность организации обеспечивать стабильное качество образовательных услуг. Наличие развитой симуляционной базы, цифровых ресурсов и сотрудничества с клиническими учреждениями усиливает практико</w:t>
      </w:r>
      <w:r w:rsidR="007B767F" w:rsidRPr="000D4FA1">
        <w:rPr>
          <w:sz w:val="28"/>
          <w:szCs w:val="28"/>
        </w:rPr>
        <w:t>–</w:t>
      </w:r>
      <w:r w:rsidRPr="000D4FA1">
        <w:rPr>
          <w:sz w:val="28"/>
          <w:szCs w:val="28"/>
        </w:rPr>
        <w:t>ориентированность подготовки и повышает ценность образовательного продукта на рынке ТиПО.</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то же время анализ выявил критические зоны: зависимость от внешних клинических специалистов, риск профессионального выгорания педагогов, необходимость дальнейшей актуализации учебных планов и регулярного обновления цифровой инфраструктуры. Это указывает на потребность в долгосрочной стратегии развития человеческого капитала, основанной на балансировании кадрового ядра, управлении нагрузкой и усилении механизмов мотивации.</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Таким образом, можно заключить, что человеческий потенциал колледжа сформирован на устойчивой основе и демонстрирует позитивную динамику, однако требует целенаправленного управления и укрепления отдельных компонентов для обеспечения устойчивости организации в условиях отраслевых реформ и роста требований к качеству подготовки медицинских работников.</w:t>
      </w:r>
    </w:p>
    <w:p w:rsidR="001875B2" w:rsidRPr="000D4FA1" w:rsidRDefault="00AD74CA" w:rsidP="00AD74CA">
      <w:pPr>
        <w:pStyle w:val="a4"/>
        <w:spacing w:before="0" w:beforeAutospacing="0" w:after="0" w:afterAutospacing="0"/>
        <w:ind w:firstLine="720"/>
        <w:jc w:val="both"/>
        <w:rPr>
          <w:sz w:val="28"/>
          <w:szCs w:val="28"/>
        </w:rPr>
      </w:pPr>
      <w:r w:rsidRPr="000D4FA1">
        <w:rPr>
          <w:sz w:val="28"/>
          <w:szCs w:val="28"/>
        </w:rPr>
        <w:t xml:space="preserve">В целях устойчивого развития человеческого потенциала колледжа необходимо совершенствовать кадровую политику, ориентированную на обновление и качественное развитие педагогического состава. </w:t>
      </w:r>
    </w:p>
    <w:p w:rsidR="00AD74CA" w:rsidRPr="000D4FA1" w:rsidRDefault="00AD74CA" w:rsidP="00AD74CA">
      <w:pPr>
        <w:pStyle w:val="a4"/>
        <w:spacing w:before="0" w:beforeAutospacing="0" w:after="0" w:afterAutospacing="0"/>
        <w:ind w:firstLine="720"/>
        <w:jc w:val="both"/>
        <w:rPr>
          <w:sz w:val="28"/>
          <w:szCs w:val="28"/>
        </w:rPr>
      </w:pPr>
      <w:r w:rsidRPr="000D4FA1">
        <w:rPr>
          <w:sz w:val="28"/>
          <w:szCs w:val="28"/>
        </w:rPr>
        <w:lastRenderedPageBreak/>
        <w:t>В частности, рекомендуется формирование долгосрочного плана кадрового обновления с учетом возрастной структуры преподавателей, а также усиление требований к профессиональной аттестации педагогов. Снижение доли преподавателей без квалификационной категории может быть достигнуто через внедрение обязательных траекторий профессионального роста и систему наставничества, объединяющую опыт старших педагогов и цифровые компетенции молодых специалистов.</w:t>
      </w:r>
    </w:p>
    <w:p w:rsidR="00AD74CA" w:rsidRPr="000D4FA1" w:rsidRDefault="00AD74CA" w:rsidP="00AD74CA">
      <w:pPr>
        <w:pStyle w:val="a4"/>
        <w:spacing w:before="0" w:beforeAutospacing="0" w:after="0" w:afterAutospacing="0"/>
        <w:ind w:firstLine="720"/>
        <w:jc w:val="both"/>
        <w:rPr>
          <w:sz w:val="28"/>
          <w:szCs w:val="28"/>
        </w:rPr>
      </w:pPr>
      <w:r w:rsidRPr="000D4FA1">
        <w:rPr>
          <w:sz w:val="28"/>
          <w:szCs w:val="28"/>
        </w:rPr>
        <w:t>Развитие системы мотивации преподавателей.</w:t>
      </w:r>
      <w:r w:rsidRPr="000D4FA1">
        <w:rPr>
          <w:sz w:val="28"/>
          <w:szCs w:val="28"/>
        </w:rPr>
        <w:br/>
        <w:t>Повышение эффективности деятельности преподавателей требует расширения системы материальных и нематериальных стимулов.</w:t>
      </w:r>
    </w:p>
    <w:p w:rsidR="00100F49" w:rsidRPr="000D4FA1" w:rsidRDefault="00100F49" w:rsidP="00D144D6">
      <w:pPr>
        <w:pStyle w:val="a4"/>
        <w:spacing w:before="0" w:beforeAutospacing="0" w:after="0" w:afterAutospacing="0"/>
        <w:ind w:firstLine="720"/>
        <w:jc w:val="both"/>
        <w:rPr>
          <w:sz w:val="28"/>
          <w:szCs w:val="28"/>
          <w:lang w:val="kk-KZ"/>
        </w:rPr>
      </w:pPr>
    </w:p>
    <w:p w:rsidR="00D144D6" w:rsidRPr="000D4FA1" w:rsidRDefault="00D144D6" w:rsidP="00D144D6">
      <w:pPr>
        <w:pStyle w:val="a4"/>
        <w:spacing w:before="0" w:beforeAutospacing="0" w:after="0" w:afterAutospacing="0"/>
        <w:ind w:firstLine="720"/>
        <w:jc w:val="both"/>
        <w:rPr>
          <w:b/>
          <w:sz w:val="28"/>
          <w:szCs w:val="28"/>
        </w:rPr>
      </w:pPr>
      <w:r w:rsidRPr="000D4FA1">
        <w:rPr>
          <w:b/>
          <w:sz w:val="28"/>
          <w:szCs w:val="28"/>
        </w:rPr>
        <w:t>2.3 Влияние макроэкономических факторов на устойчивость организации</w:t>
      </w:r>
    </w:p>
    <w:p w:rsidR="00D144D6" w:rsidRPr="000D4FA1" w:rsidRDefault="00D144D6" w:rsidP="00D144D6">
      <w:pPr>
        <w:pStyle w:val="a4"/>
        <w:spacing w:before="0" w:beforeAutospacing="0" w:after="0" w:afterAutospacing="0"/>
        <w:ind w:firstLine="720"/>
        <w:jc w:val="both"/>
        <w:rPr>
          <w:b/>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Развитие человеческого потенциала образовательной организации формируется не только внутренними механизмами</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кадровой политикой, качеством образовательного процесса и уровнем ресурсного обеспечения. Существенное влияние оказывают внешние макроэкономические факторы, определяющие условия функционирования системы технического и профессионального образования (ТиПО) в целом. Для медицинских колледжей, деятельность которых непосредственно связана с потребностями системы здравоохранения, влияние внешней экономической среды проявляется особенно остро.</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 ключевым макроэкономическим факторам относятся: динамика государственных расходов на образование и здравоохранение, уровень социально</w:t>
      </w:r>
      <w:r w:rsidR="007B767F" w:rsidRPr="000D4FA1">
        <w:rPr>
          <w:sz w:val="28"/>
          <w:szCs w:val="28"/>
        </w:rPr>
        <w:t>–</w:t>
      </w:r>
      <w:r w:rsidRPr="000D4FA1">
        <w:rPr>
          <w:sz w:val="28"/>
          <w:szCs w:val="28"/>
        </w:rPr>
        <w:t>экономического развития региона, демографические тенденции, развитие рынка труда и потребность в кадрах, показатели цифровизации, а также нормативно</w:t>
      </w:r>
      <w:r w:rsidR="007B767F" w:rsidRPr="000D4FA1">
        <w:rPr>
          <w:sz w:val="28"/>
          <w:szCs w:val="28"/>
        </w:rPr>
        <w:t>–</w:t>
      </w:r>
      <w:r w:rsidRPr="000D4FA1">
        <w:rPr>
          <w:sz w:val="28"/>
          <w:szCs w:val="28"/>
        </w:rPr>
        <w:t xml:space="preserve">правовые реформы, регулирующие подготовку среднего медицинского персонала. </w:t>
      </w:r>
      <w:r w:rsidR="006740FC" w:rsidRPr="000D4FA1">
        <w:rPr>
          <w:sz w:val="28"/>
          <w:szCs w:val="28"/>
        </w:rPr>
        <w:t>Выявленные</w:t>
      </w:r>
      <w:r w:rsidRPr="000D4FA1">
        <w:rPr>
          <w:sz w:val="28"/>
          <w:szCs w:val="28"/>
        </w:rPr>
        <w:t xml:space="preserve"> факторы определяют финансовую устойчивость колледжа, доступность кадровых ресурсов, объемы государственного заказа, требования к кадровой квалификации и качество образовательной инфраструктуры.</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условиях модернизации системы здравоохранения и перехода на конкурсную модель финансирования учреждения ТиПО становятся более чувствительными к изменениям макроэкономической конъюнктуры. Рост или сокращение бюджетных ассигнований влияет на возможности повышения квалификации преподавателей, обновление материально</w:t>
      </w:r>
      <w:r w:rsidR="007B767F" w:rsidRPr="000D4FA1">
        <w:rPr>
          <w:sz w:val="28"/>
          <w:szCs w:val="28"/>
        </w:rPr>
        <w:t>–</w:t>
      </w:r>
      <w:r w:rsidRPr="000D4FA1">
        <w:rPr>
          <w:sz w:val="28"/>
          <w:szCs w:val="28"/>
        </w:rPr>
        <w:t>технической базы и уровень заработной платы–а значит, и на устойчивость человеческого потенциала. Демографические изменения, включая снижение числа выпускников школ или миграционные процессы, определяют объёмы контингента, что сказывается на финансовой стабильности колледжа. Развитие регионального рынка труда и потребность в медицинских кадрах задают направления образовательных программ и требования к компетенциям выпускников.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Таким образом, анализ макроэкономических факторов позволяет оценить внешнюю устойчивость организации, выявить системные риски и определить, в какой степени колледж способен адаптироваться к изменению внешней экономической среды. В данном разделе рассматривается влияние макроэкономических условий на динамику человеческого потенциала Шымкентского высшего медицинского колледжа и на устойчивость образовательной организации в долгосрочной перспективе.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На начало 2023–2024 учебного года система технического и профессионального образования Республики Казахстан включала 711 самостоятельных организаций ТиПО и 39 филиалов, что отражает стабильную институциональную основу развития </w:t>
      </w:r>
      <w:r w:rsidR="001C1975" w:rsidRPr="000D4FA1">
        <w:rPr>
          <w:sz w:val="28"/>
          <w:szCs w:val="28"/>
          <w:lang w:val="kk-KZ"/>
        </w:rPr>
        <w:t xml:space="preserve">технического и </w:t>
      </w:r>
      <w:r w:rsidRPr="000D4FA1">
        <w:rPr>
          <w:sz w:val="28"/>
          <w:szCs w:val="28"/>
        </w:rPr>
        <w:t>профессионального образования в стране (данные МОН РК, Статистический сборник ТиПО). В общей сложности в организациях ТиПО обучалось 548 тыс. человек, из них 263,6 тыс.</w:t>
      </w:r>
      <w:r w:rsidR="00D97FC7" w:rsidRPr="000D4FA1">
        <w:rPr>
          <w:sz w:val="28"/>
          <w:szCs w:val="28"/>
          <w:lang w:val="kk-KZ"/>
        </w:rPr>
        <w:t xml:space="preserve">, </w:t>
      </w:r>
      <w:r w:rsidRPr="000D4FA1">
        <w:rPr>
          <w:sz w:val="28"/>
          <w:szCs w:val="28"/>
        </w:rPr>
        <w:t>или 48,1%</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 xml:space="preserve">женщины. В сравнении с 2022–2023 учебным годом контингент увеличился на 4 %, что свидетельствует о растущем спросе на программы </w:t>
      </w:r>
      <w:r w:rsidR="001C1975" w:rsidRPr="000D4FA1">
        <w:rPr>
          <w:sz w:val="28"/>
          <w:szCs w:val="28"/>
          <w:lang w:val="kk-KZ"/>
        </w:rPr>
        <w:t xml:space="preserve">технического и </w:t>
      </w:r>
      <w:r w:rsidRPr="000D4FA1">
        <w:rPr>
          <w:sz w:val="28"/>
          <w:szCs w:val="28"/>
        </w:rPr>
        <w:t>профессионального образования.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Большая часть обучающихся</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72,5%</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поступают на базе основ</w:t>
      </w:r>
      <w:r w:rsidR="00D97FC7" w:rsidRPr="000D4FA1">
        <w:rPr>
          <w:sz w:val="28"/>
          <w:szCs w:val="28"/>
        </w:rPr>
        <w:t>ного среднего образования, 23,8</w:t>
      </w:r>
      <w:r w:rsidRPr="000D4FA1">
        <w:rPr>
          <w:sz w:val="28"/>
          <w:szCs w:val="28"/>
        </w:rPr>
        <w:t>%</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 xml:space="preserve">на базе общего среднего </w:t>
      </w:r>
      <w:r w:rsidR="00D97FC7" w:rsidRPr="000D4FA1">
        <w:rPr>
          <w:sz w:val="28"/>
          <w:szCs w:val="28"/>
        </w:rPr>
        <w:t>образования</w:t>
      </w:r>
      <w:r w:rsidR="00D97FC7" w:rsidRPr="000D4FA1">
        <w:rPr>
          <w:sz w:val="28"/>
          <w:szCs w:val="28"/>
          <w:lang w:val="kk-KZ"/>
        </w:rPr>
        <w:t xml:space="preserve"> и</w:t>
      </w:r>
      <w:r w:rsidRPr="000D4FA1">
        <w:rPr>
          <w:sz w:val="28"/>
          <w:szCs w:val="28"/>
        </w:rPr>
        <w:t xml:space="preserve"> 3,7%</w:t>
      </w:r>
      <w:r w:rsidR="00D97FC7" w:rsidRPr="000D4FA1">
        <w:rPr>
          <w:sz w:val="28"/>
          <w:szCs w:val="28"/>
          <w:lang w:val="kk-KZ"/>
        </w:rPr>
        <w:t xml:space="preserve"> </w:t>
      </w:r>
      <w:r w:rsidR="007B767F" w:rsidRPr="000D4FA1">
        <w:rPr>
          <w:sz w:val="28"/>
          <w:szCs w:val="28"/>
          <w:lang w:val="kk-KZ"/>
        </w:rPr>
        <w:t>–</w:t>
      </w:r>
      <w:r w:rsidR="00D97FC7" w:rsidRPr="000D4FA1">
        <w:rPr>
          <w:sz w:val="28"/>
          <w:szCs w:val="28"/>
          <w:lang w:val="kk-KZ"/>
        </w:rPr>
        <w:t xml:space="preserve"> </w:t>
      </w:r>
      <w:r w:rsidRPr="000D4FA1">
        <w:rPr>
          <w:sz w:val="28"/>
          <w:szCs w:val="28"/>
        </w:rPr>
        <w:t>на базе ранее завершённых программ ТиПО. Подавляющее большинство студентов (96,8 %) обучаются по очной форме, что подтверждает сохранение традиционной модели организации обучения.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Согласно государственному образовательному заказу, поддержку получают 348 тыс. студентов, что соответствует 63,5% общей численности обучающихся, тогда как 36,5% обучаются на платной основе. Эта пропорция демонстрирует значительную роль государства в поддержке доступности </w:t>
      </w:r>
      <w:r w:rsidR="001C1975" w:rsidRPr="000D4FA1">
        <w:rPr>
          <w:sz w:val="28"/>
          <w:szCs w:val="28"/>
          <w:lang w:val="kk-KZ"/>
        </w:rPr>
        <w:t xml:space="preserve">технического и </w:t>
      </w:r>
      <w:r w:rsidRPr="000D4FA1">
        <w:rPr>
          <w:sz w:val="28"/>
          <w:szCs w:val="28"/>
        </w:rPr>
        <w:t>профессионального образования, особенно в регионах с высоким спросом на социально значимые специальности</w:t>
      </w:r>
      <w:r w:rsidR="00B50258" w:rsidRPr="000D4FA1">
        <w:rPr>
          <w:sz w:val="28"/>
          <w:szCs w:val="28"/>
          <w:lang w:val="kk-KZ"/>
        </w:rPr>
        <w:t xml:space="preserve">, </w:t>
      </w:r>
      <w:r w:rsidRPr="000D4FA1">
        <w:rPr>
          <w:sz w:val="28"/>
          <w:szCs w:val="28"/>
        </w:rPr>
        <w:t>включая подготовку медицинских работников.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2023 году выпуск составил 141 тыс. че</w:t>
      </w:r>
      <w:r w:rsidR="00B50258" w:rsidRPr="000D4FA1">
        <w:rPr>
          <w:sz w:val="28"/>
          <w:szCs w:val="28"/>
        </w:rPr>
        <w:t>ловек, при этом 85,8 тыс. (60,8</w:t>
      </w:r>
      <w:r w:rsidRPr="000D4FA1">
        <w:rPr>
          <w:sz w:val="28"/>
          <w:szCs w:val="28"/>
        </w:rPr>
        <w:t>%) трудоустроены в первые месяцы после завершения обучения. Дополнительно 22,2 тыс. выпускников (15,8%) продолжили образование в колледжах и вузах. Эти показатели подтверждают достаточно высокий уровень востребованности выпускников ТиПО на рынке труда, что соответствует выводам нашего исследования о роли человеческого потенциала в устойчивости образовательных организаций.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организациях ТиПО работают 38 222 преподавателя и 5 419 мастеров производст</w:t>
      </w:r>
      <w:r w:rsidR="00B50258" w:rsidRPr="000D4FA1">
        <w:rPr>
          <w:sz w:val="28"/>
          <w:szCs w:val="28"/>
        </w:rPr>
        <w:t>венного обучения, из которых 71</w:t>
      </w:r>
      <w:r w:rsidRPr="000D4FA1">
        <w:rPr>
          <w:sz w:val="28"/>
          <w:szCs w:val="28"/>
        </w:rPr>
        <w:t>% составляют женщины, что отражает структурные о</w:t>
      </w:r>
      <w:r w:rsidR="001C1975" w:rsidRPr="000D4FA1">
        <w:rPr>
          <w:sz w:val="28"/>
          <w:szCs w:val="28"/>
        </w:rPr>
        <w:t xml:space="preserve">собенности занятости в системе </w:t>
      </w:r>
      <w:r w:rsidR="001C1975" w:rsidRPr="000D4FA1">
        <w:rPr>
          <w:sz w:val="28"/>
          <w:szCs w:val="28"/>
          <w:lang w:val="kk-KZ"/>
        </w:rPr>
        <w:t xml:space="preserve">технического и </w:t>
      </w:r>
      <w:r w:rsidRPr="000D4FA1">
        <w:rPr>
          <w:sz w:val="28"/>
          <w:szCs w:val="28"/>
        </w:rPr>
        <w:t>профессионального образования.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Из общего числа пр</w:t>
      </w:r>
      <w:r w:rsidR="00B50258" w:rsidRPr="000D4FA1">
        <w:rPr>
          <w:sz w:val="28"/>
          <w:szCs w:val="28"/>
        </w:rPr>
        <w:t>еподавателей 32,8 тыс. или 85,7</w:t>
      </w:r>
      <w:r w:rsidRPr="000D4FA1">
        <w:rPr>
          <w:sz w:val="28"/>
          <w:szCs w:val="28"/>
        </w:rPr>
        <w:t xml:space="preserve">% являются штатными сотрудниками, что подтверждает высокую кадровую устойчивость системы в целом. Значительная доля преподавателей имеют высокие квалификационные категории: 35 803 педагогов обладают высшей категорией и 3 934 мастера </w:t>
      </w:r>
      <w:r w:rsidRPr="000D4FA1">
        <w:rPr>
          <w:sz w:val="28"/>
          <w:szCs w:val="28"/>
        </w:rPr>
        <w:lastRenderedPageBreak/>
        <w:t>производственного обучения</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что составляет 93,7% и 72,6% от соответствующих групп персонала.</w:t>
      </w:r>
    </w:p>
    <w:p w:rsidR="00D144D6" w:rsidRPr="000D4FA1" w:rsidRDefault="001875B2" w:rsidP="00D144D6">
      <w:pPr>
        <w:pStyle w:val="a4"/>
        <w:spacing w:before="0" w:beforeAutospacing="0" w:after="0" w:afterAutospacing="0"/>
        <w:ind w:firstLine="720"/>
        <w:jc w:val="both"/>
        <w:rPr>
          <w:sz w:val="28"/>
          <w:szCs w:val="28"/>
        </w:rPr>
      </w:pPr>
      <w:r w:rsidRPr="000D4FA1">
        <w:rPr>
          <w:noProof/>
        </w:rPr>
        <w:drawing>
          <wp:anchor distT="0" distB="0" distL="114300" distR="114300" simplePos="0" relativeHeight="251670528" behindDoc="1" locked="0" layoutInCell="1" allowOverlap="1">
            <wp:simplePos x="0" y="0"/>
            <wp:positionH relativeFrom="margin">
              <wp:posOffset>0</wp:posOffset>
            </wp:positionH>
            <wp:positionV relativeFrom="paragraph">
              <wp:posOffset>987425</wp:posOffset>
            </wp:positionV>
            <wp:extent cx="5940425" cy="3655695"/>
            <wp:effectExtent l="0" t="0" r="3175" b="1905"/>
            <wp:wrapTight wrapText="bothSides">
              <wp:wrapPolygon edited="0">
                <wp:start x="0" y="0"/>
                <wp:lineTo x="0" y="21499"/>
                <wp:lineTo x="21542" y="21499"/>
                <wp:lineTo x="21542" y="0"/>
                <wp:lineTo x="0" y="0"/>
              </wp:wrapPolygon>
            </wp:wrapTight>
            <wp:docPr id="908345642"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A7DD430-ACE8-A40A-F518-E7587AF78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AD74CA" w:rsidRPr="000D4FA1">
        <w:rPr>
          <w:sz w:val="28"/>
          <w:szCs w:val="28"/>
        </w:rPr>
        <w:t>Рисунок 10</w:t>
      </w:r>
      <w:r w:rsidR="00D144D6" w:rsidRPr="000D4FA1">
        <w:rPr>
          <w:sz w:val="28"/>
          <w:szCs w:val="28"/>
        </w:rPr>
        <w:t xml:space="preserve"> отражает текущую ситуацию в системе технического и профессионального образования (ТиПО) Казахстана на начало 2023–2024 учебного года и демонстрирует значительные региональные различия как в количестве организаций ТиПО, так и в численности обучающихся.</w:t>
      </w:r>
    </w:p>
    <w:p w:rsidR="001875B2" w:rsidRPr="000D4FA1" w:rsidRDefault="001875B2" w:rsidP="001875B2">
      <w:pPr>
        <w:pStyle w:val="a4"/>
        <w:spacing w:before="0" w:beforeAutospacing="0" w:after="0" w:afterAutospacing="0"/>
        <w:ind w:firstLine="720"/>
        <w:jc w:val="center"/>
        <w:rPr>
          <w:sz w:val="28"/>
          <w:szCs w:val="28"/>
        </w:rPr>
      </w:pPr>
      <w:r w:rsidRPr="000D4FA1">
        <w:rPr>
          <w:sz w:val="28"/>
          <w:szCs w:val="28"/>
        </w:rPr>
        <w:t>Рисунок 1</w:t>
      </w:r>
      <w:r w:rsidR="007F50FD">
        <w:rPr>
          <w:sz w:val="28"/>
          <w:szCs w:val="28"/>
        </w:rPr>
        <w:t>1</w:t>
      </w:r>
      <w:r w:rsidR="007B767F" w:rsidRPr="000D4FA1">
        <w:rPr>
          <w:sz w:val="28"/>
          <w:szCs w:val="28"/>
        </w:rPr>
        <w:t xml:space="preserve"> –</w:t>
      </w:r>
      <w:r w:rsidRPr="000D4FA1">
        <w:rPr>
          <w:sz w:val="28"/>
          <w:szCs w:val="28"/>
        </w:rPr>
        <w:t xml:space="preserve"> Распределение организаций ТиПО и численности обучающихся по регионам Республики Казахстан (2023–2024 уч. год)</w:t>
      </w:r>
    </w:p>
    <w:p w:rsidR="007B767F" w:rsidRPr="000D4FA1" w:rsidRDefault="007B767F" w:rsidP="007B767F">
      <w:pPr>
        <w:pStyle w:val="a4"/>
        <w:spacing w:before="0" w:beforeAutospacing="0" w:after="0" w:afterAutospacing="0"/>
        <w:ind w:firstLine="720"/>
        <w:jc w:val="both"/>
      </w:pPr>
      <w:r w:rsidRPr="000D4FA1">
        <w:t>Примечание – составлено автором на основе исследования</w:t>
      </w:r>
    </w:p>
    <w:p w:rsidR="001875B2" w:rsidRPr="000D4FA1" w:rsidRDefault="001875B2" w:rsidP="001875B2">
      <w:pPr>
        <w:pStyle w:val="a4"/>
        <w:spacing w:before="0" w:beforeAutospacing="0" w:after="0" w:afterAutospacing="0"/>
        <w:ind w:firstLine="720"/>
        <w:jc w:val="center"/>
        <w:rPr>
          <w:sz w:val="28"/>
          <w:szCs w:val="28"/>
        </w:rPr>
      </w:pPr>
    </w:p>
    <w:p w:rsidR="00D144D6" w:rsidRPr="000D4FA1" w:rsidRDefault="00D144D6" w:rsidP="00D144D6">
      <w:pPr>
        <w:pStyle w:val="a4"/>
        <w:spacing w:before="0" w:beforeAutospacing="0" w:after="0" w:afterAutospacing="0"/>
        <w:ind w:firstLine="720"/>
        <w:jc w:val="both"/>
        <w:rPr>
          <w:i/>
          <w:iCs/>
          <w:sz w:val="28"/>
          <w:szCs w:val="28"/>
        </w:rPr>
      </w:pPr>
      <w:r w:rsidRPr="000D4FA1">
        <w:rPr>
          <w:i/>
          <w:iCs/>
          <w:sz w:val="28"/>
          <w:szCs w:val="28"/>
        </w:rPr>
        <w:t>1. Регионы</w:t>
      </w:r>
      <w:r w:rsidR="007B767F" w:rsidRPr="000D4FA1">
        <w:rPr>
          <w:i/>
          <w:iCs/>
          <w:sz w:val="28"/>
          <w:szCs w:val="28"/>
        </w:rPr>
        <w:t>–</w:t>
      </w:r>
      <w:r w:rsidRPr="000D4FA1">
        <w:rPr>
          <w:i/>
          <w:iCs/>
          <w:sz w:val="28"/>
          <w:szCs w:val="28"/>
        </w:rPr>
        <w:t>лидеры по числу обучающихся</w:t>
      </w:r>
      <w:r w:rsidR="00C6407E" w:rsidRPr="000D4FA1">
        <w:rPr>
          <w:i/>
          <w:iCs/>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г. Алматы</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88 285 обучающихся при 82 организациях.</w:t>
      </w:r>
      <w:r w:rsidR="00C6407E" w:rsidRPr="000D4FA1">
        <w:rPr>
          <w:sz w:val="28"/>
          <w:szCs w:val="28"/>
        </w:rPr>
        <w:t xml:space="preserve"> </w:t>
      </w:r>
      <w:r w:rsidRPr="000D4FA1">
        <w:rPr>
          <w:sz w:val="28"/>
          <w:szCs w:val="28"/>
        </w:rPr>
        <w:t>Алматы крупнейший образовательный центр страны с самым высоким спросом на программы ТиПО. Высокий показатель обусловлен: концентрацией населения</w:t>
      </w:r>
      <w:r w:rsidR="00B50258" w:rsidRPr="000D4FA1">
        <w:rPr>
          <w:sz w:val="28"/>
          <w:szCs w:val="28"/>
          <w:lang w:val="kk-KZ"/>
        </w:rPr>
        <w:t xml:space="preserve">, </w:t>
      </w:r>
      <w:r w:rsidRPr="000D4FA1">
        <w:rPr>
          <w:sz w:val="28"/>
          <w:szCs w:val="28"/>
        </w:rPr>
        <w:t>развитой инфраструктурой образования</w:t>
      </w:r>
      <w:r w:rsidR="00B50258" w:rsidRPr="000D4FA1">
        <w:rPr>
          <w:sz w:val="28"/>
          <w:szCs w:val="28"/>
          <w:lang w:val="kk-KZ"/>
        </w:rPr>
        <w:t xml:space="preserve">, </w:t>
      </w:r>
      <w:r w:rsidRPr="000D4FA1">
        <w:rPr>
          <w:sz w:val="28"/>
          <w:szCs w:val="28"/>
        </w:rPr>
        <w:t>большим количеством частных и государственных колледжей</w:t>
      </w:r>
      <w:r w:rsidR="00B50258" w:rsidRPr="000D4FA1">
        <w:rPr>
          <w:sz w:val="28"/>
          <w:szCs w:val="28"/>
          <w:lang w:val="kk-KZ"/>
        </w:rPr>
        <w:t>,</w:t>
      </w:r>
      <w:r w:rsidRPr="000D4FA1">
        <w:rPr>
          <w:sz w:val="28"/>
          <w:szCs w:val="28"/>
        </w:rPr>
        <w:t xml:space="preserve"> высокой потребностью рынка труда в специалистах среднего звена.</w:t>
      </w:r>
    </w:p>
    <w:p w:rsidR="00B50258" w:rsidRPr="000D4FA1" w:rsidRDefault="00D144D6" w:rsidP="00D144D6">
      <w:pPr>
        <w:pStyle w:val="a4"/>
        <w:spacing w:before="0" w:beforeAutospacing="0" w:after="0" w:afterAutospacing="0"/>
        <w:ind w:firstLine="720"/>
        <w:jc w:val="both"/>
        <w:rPr>
          <w:sz w:val="28"/>
          <w:szCs w:val="28"/>
        </w:rPr>
      </w:pPr>
      <w:r w:rsidRPr="000D4FA1">
        <w:rPr>
          <w:sz w:val="28"/>
          <w:szCs w:val="28"/>
        </w:rPr>
        <w:t>Туркестанская область</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 xml:space="preserve">39 521 </w:t>
      </w:r>
      <w:r w:rsidR="00B50258" w:rsidRPr="000D4FA1">
        <w:rPr>
          <w:sz w:val="28"/>
          <w:szCs w:val="28"/>
        </w:rPr>
        <w:t>обучающих</w:t>
      </w:r>
      <w:r w:rsidRPr="000D4FA1">
        <w:rPr>
          <w:sz w:val="28"/>
          <w:szCs w:val="28"/>
        </w:rPr>
        <w:t>ся.</w:t>
      </w:r>
      <w:r w:rsidR="00B50258" w:rsidRPr="000D4FA1">
        <w:rPr>
          <w:sz w:val="28"/>
          <w:szCs w:val="28"/>
          <w:lang w:val="kk-KZ"/>
        </w:rPr>
        <w:t xml:space="preserve"> </w:t>
      </w:r>
      <w:r w:rsidRPr="000D4FA1">
        <w:rPr>
          <w:sz w:val="28"/>
          <w:szCs w:val="28"/>
        </w:rPr>
        <w:t xml:space="preserve">Регион демонстрирует высокую демографическую активность, что объясняет значительный контингент студентов. </w:t>
      </w:r>
    </w:p>
    <w:p w:rsidR="00B50258" w:rsidRPr="000D4FA1" w:rsidRDefault="00D144D6" w:rsidP="00D144D6">
      <w:pPr>
        <w:pStyle w:val="a4"/>
        <w:spacing w:before="0" w:beforeAutospacing="0" w:after="0" w:afterAutospacing="0"/>
        <w:ind w:firstLine="720"/>
        <w:jc w:val="both"/>
        <w:rPr>
          <w:sz w:val="28"/>
          <w:szCs w:val="28"/>
        </w:rPr>
      </w:pPr>
      <w:r w:rsidRPr="000D4FA1">
        <w:rPr>
          <w:sz w:val="28"/>
          <w:szCs w:val="28"/>
        </w:rPr>
        <w:t>г. Шымкент</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33 906 обучающихся, что соотн</w:t>
      </w:r>
      <w:r w:rsidR="00B50258" w:rsidRPr="000D4FA1">
        <w:rPr>
          <w:sz w:val="28"/>
          <w:szCs w:val="28"/>
        </w:rPr>
        <w:t>осится с масштабами мегаполиса.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Карагандинская область</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34</w:t>
      </w:r>
      <w:r w:rsidR="00C6407E" w:rsidRPr="000D4FA1">
        <w:rPr>
          <w:sz w:val="28"/>
          <w:szCs w:val="28"/>
        </w:rPr>
        <w:t xml:space="preserve"> </w:t>
      </w:r>
      <w:r w:rsidRPr="000D4FA1">
        <w:rPr>
          <w:sz w:val="28"/>
          <w:szCs w:val="28"/>
        </w:rPr>
        <w:t>474 обучающихся</w:t>
      </w:r>
      <w:r w:rsidRPr="000D4FA1">
        <w:rPr>
          <w:sz w:val="28"/>
          <w:szCs w:val="28"/>
        </w:rPr>
        <w:br/>
        <w:t>при 47 организациях</w:t>
      </w:r>
      <w:r w:rsidR="00C6407E" w:rsidRPr="000D4FA1">
        <w:rPr>
          <w:sz w:val="28"/>
          <w:szCs w:val="28"/>
        </w:rPr>
        <w:t>,</w:t>
      </w:r>
      <w:r w:rsidRPr="000D4FA1">
        <w:rPr>
          <w:sz w:val="28"/>
          <w:szCs w:val="28"/>
        </w:rPr>
        <w:t xml:space="preserve"> один из наиболее стабильных регионов с развитой промышленной базой.</w:t>
      </w:r>
    </w:p>
    <w:p w:rsidR="00D144D6" w:rsidRPr="000D4FA1" w:rsidRDefault="00D144D6" w:rsidP="00D144D6">
      <w:pPr>
        <w:pStyle w:val="a4"/>
        <w:spacing w:before="0" w:beforeAutospacing="0" w:after="0" w:afterAutospacing="0"/>
        <w:ind w:firstLine="720"/>
        <w:jc w:val="both"/>
        <w:rPr>
          <w:i/>
          <w:iCs/>
          <w:sz w:val="28"/>
          <w:szCs w:val="28"/>
        </w:rPr>
      </w:pPr>
      <w:r w:rsidRPr="000D4FA1">
        <w:rPr>
          <w:i/>
          <w:iCs/>
          <w:sz w:val="28"/>
          <w:szCs w:val="28"/>
        </w:rPr>
        <w:t>2. Регионы с наибольшим количеством организаций ТиПО</w:t>
      </w:r>
      <w:r w:rsidR="00C6407E" w:rsidRPr="000D4FA1">
        <w:rPr>
          <w:i/>
          <w:iCs/>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г. Алматы</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82 организации, что является абсолютным рекордом по стране. Туркестанская область</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48 организаций. Карагандинская область</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47 организаций. Жамбылская область</w:t>
      </w:r>
      <w:r w:rsidR="00B50258" w:rsidRPr="000D4FA1">
        <w:rPr>
          <w:sz w:val="28"/>
          <w:szCs w:val="28"/>
          <w:lang w:val="kk-KZ"/>
        </w:rPr>
        <w:t xml:space="preserve"> </w:t>
      </w:r>
      <w:r w:rsidR="007B767F" w:rsidRPr="000D4FA1">
        <w:rPr>
          <w:sz w:val="28"/>
          <w:szCs w:val="28"/>
          <w:lang w:val="kk-KZ"/>
        </w:rPr>
        <w:t>–</w:t>
      </w:r>
      <w:r w:rsidR="00B50258" w:rsidRPr="000D4FA1">
        <w:rPr>
          <w:sz w:val="28"/>
          <w:szCs w:val="28"/>
          <w:lang w:val="kk-KZ"/>
        </w:rPr>
        <w:t xml:space="preserve"> </w:t>
      </w:r>
      <w:r w:rsidRPr="000D4FA1">
        <w:rPr>
          <w:sz w:val="28"/>
          <w:szCs w:val="28"/>
        </w:rPr>
        <w:t>42 организации.</w:t>
      </w:r>
      <w:r w:rsidRPr="000D4FA1">
        <w:rPr>
          <w:sz w:val="28"/>
          <w:szCs w:val="28"/>
        </w:rPr>
        <w:br/>
        <w:t>Данные регионы обладают устойчивой структурой ТиПО, включая государственные и частные колледжи.</w:t>
      </w:r>
    </w:p>
    <w:p w:rsidR="00D144D6" w:rsidRPr="000D4FA1" w:rsidRDefault="00D144D6" w:rsidP="00D144D6">
      <w:pPr>
        <w:pStyle w:val="a4"/>
        <w:spacing w:before="0" w:beforeAutospacing="0" w:after="0" w:afterAutospacing="0"/>
        <w:ind w:firstLine="720"/>
        <w:jc w:val="both"/>
        <w:rPr>
          <w:i/>
          <w:iCs/>
          <w:sz w:val="28"/>
          <w:szCs w:val="28"/>
        </w:rPr>
      </w:pPr>
      <w:r w:rsidRPr="000D4FA1">
        <w:rPr>
          <w:i/>
          <w:iCs/>
          <w:sz w:val="28"/>
          <w:szCs w:val="28"/>
        </w:rPr>
        <w:t>3. Регионы с минимальными значениями</w:t>
      </w:r>
    </w:p>
    <w:p w:rsidR="00D144D6" w:rsidRPr="000D4FA1" w:rsidRDefault="00B50258" w:rsidP="00D144D6">
      <w:pPr>
        <w:pStyle w:val="a4"/>
        <w:spacing w:before="0" w:beforeAutospacing="0" w:after="0" w:afterAutospacing="0"/>
        <w:ind w:firstLine="720"/>
        <w:jc w:val="both"/>
        <w:rPr>
          <w:sz w:val="28"/>
          <w:szCs w:val="28"/>
        </w:rPr>
      </w:pPr>
      <w:r w:rsidRPr="000D4FA1">
        <w:rPr>
          <w:sz w:val="28"/>
          <w:szCs w:val="28"/>
          <w:lang w:val="kk-KZ"/>
        </w:rPr>
        <w:t xml:space="preserve">Область </w:t>
      </w:r>
      <w:r w:rsidR="00D144D6" w:rsidRPr="000D4FA1">
        <w:rPr>
          <w:sz w:val="28"/>
          <w:szCs w:val="28"/>
        </w:rPr>
        <w:t>Улытау</w:t>
      </w:r>
      <w:r w:rsidRPr="000D4FA1">
        <w:rPr>
          <w:sz w:val="28"/>
          <w:szCs w:val="28"/>
          <w:lang w:val="kk-KZ"/>
        </w:rPr>
        <w:t xml:space="preserve"> </w:t>
      </w:r>
      <w:r w:rsidR="007B767F" w:rsidRPr="000D4FA1">
        <w:rPr>
          <w:sz w:val="28"/>
          <w:szCs w:val="28"/>
          <w:lang w:val="kk-KZ"/>
        </w:rPr>
        <w:t>–</w:t>
      </w:r>
      <w:r w:rsidRPr="000D4FA1">
        <w:rPr>
          <w:sz w:val="28"/>
          <w:szCs w:val="28"/>
          <w:lang w:val="kk-KZ"/>
        </w:rPr>
        <w:t xml:space="preserve"> </w:t>
      </w:r>
      <w:r w:rsidR="00D144D6" w:rsidRPr="000D4FA1">
        <w:rPr>
          <w:sz w:val="28"/>
          <w:szCs w:val="28"/>
        </w:rPr>
        <w:t>всего 14 организаций и 6 406 обучающихся. Это наименьшие показатели среди всех регионов. Причина</w:t>
      </w:r>
      <w:r w:rsidRPr="000D4FA1">
        <w:rPr>
          <w:sz w:val="28"/>
          <w:szCs w:val="28"/>
          <w:lang w:val="kk-KZ"/>
        </w:rPr>
        <w:t xml:space="preserve"> </w:t>
      </w:r>
      <w:r w:rsidR="007B767F" w:rsidRPr="000D4FA1">
        <w:rPr>
          <w:sz w:val="28"/>
          <w:szCs w:val="28"/>
          <w:lang w:val="kk-KZ"/>
        </w:rPr>
        <w:t>–</w:t>
      </w:r>
      <w:r w:rsidRPr="000D4FA1">
        <w:rPr>
          <w:sz w:val="28"/>
          <w:szCs w:val="28"/>
          <w:lang w:val="kk-KZ"/>
        </w:rPr>
        <w:t xml:space="preserve"> </w:t>
      </w:r>
      <w:r w:rsidR="00D144D6" w:rsidRPr="000D4FA1">
        <w:rPr>
          <w:sz w:val="28"/>
          <w:szCs w:val="28"/>
        </w:rPr>
        <w:t>низкая плотность населения и ограниченная инфраструктура. Северо</w:t>
      </w:r>
      <w:r w:rsidR="007B767F" w:rsidRPr="000D4FA1">
        <w:rPr>
          <w:sz w:val="28"/>
          <w:szCs w:val="28"/>
        </w:rPr>
        <w:t>–</w:t>
      </w:r>
      <w:r w:rsidR="00D144D6" w:rsidRPr="000D4FA1">
        <w:rPr>
          <w:sz w:val="28"/>
          <w:szCs w:val="28"/>
        </w:rPr>
        <w:t>Казахстанская область</w:t>
      </w:r>
      <w:r w:rsidRPr="000D4FA1">
        <w:rPr>
          <w:sz w:val="28"/>
          <w:szCs w:val="28"/>
          <w:lang w:val="kk-KZ"/>
        </w:rPr>
        <w:t xml:space="preserve"> </w:t>
      </w:r>
      <w:r w:rsidR="007B767F" w:rsidRPr="000D4FA1">
        <w:rPr>
          <w:sz w:val="28"/>
          <w:szCs w:val="28"/>
          <w:lang w:val="kk-KZ"/>
        </w:rPr>
        <w:t>–</w:t>
      </w:r>
      <w:r w:rsidRPr="000D4FA1">
        <w:rPr>
          <w:sz w:val="28"/>
          <w:szCs w:val="28"/>
          <w:lang w:val="kk-KZ"/>
        </w:rPr>
        <w:t xml:space="preserve"> </w:t>
      </w:r>
      <w:r w:rsidR="00D144D6" w:rsidRPr="000D4FA1">
        <w:rPr>
          <w:sz w:val="28"/>
          <w:szCs w:val="28"/>
        </w:rPr>
        <w:t>24 организации и 11 134 обучающихся. Один из наиболее низких демографических показателей, что напрямую отражается на контингенте студентов.</w:t>
      </w:r>
    </w:p>
    <w:p w:rsidR="00D144D6" w:rsidRPr="000D4FA1" w:rsidRDefault="00D144D6" w:rsidP="00D144D6">
      <w:pPr>
        <w:pStyle w:val="a4"/>
        <w:spacing w:before="0" w:beforeAutospacing="0" w:after="0" w:afterAutospacing="0"/>
        <w:ind w:firstLine="720"/>
        <w:jc w:val="both"/>
        <w:rPr>
          <w:sz w:val="28"/>
          <w:szCs w:val="28"/>
        </w:rPr>
      </w:pPr>
      <w:r w:rsidRPr="000D4FA1">
        <w:rPr>
          <w:i/>
          <w:iCs/>
          <w:sz w:val="28"/>
          <w:szCs w:val="28"/>
        </w:rPr>
        <w:t>4. Соотношение «число организаций</w:t>
      </w:r>
      <w:r w:rsidR="00B50258" w:rsidRPr="000D4FA1">
        <w:rPr>
          <w:i/>
          <w:iCs/>
          <w:sz w:val="28"/>
          <w:szCs w:val="28"/>
          <w:lang w:val="kk-KZ"/>
        </w:rPr>
        <w:t xml:space="preserve"> </w:t>
      </w:r>
      <w:r w:rsidR="007B767F" w:rsidRPr="000D4FA1">
        <w:rPr>
          <w:i/>
          <w:iCs/>
          <w:sz w:val="28"/>
          <w:szCs w:val="28"/>
          <w:lang w:val="kk-KZ"/>
        </w:rPr>
        <w:t>–</w:t>
      </w:r>
      <w:r w:rsidR="00B50258" w:rsidRPr="000D4FA1">
        <w:rPr>
          <w:i/>
          <w:iCs/>
          <w:sz w:val="28"/>
          <w:szCs w:val="28"/>
          <w:lang w:val="kk-KZ"/>
        </w:rPr>
        <w:t xml:space="preserve"> </w:t>
      </w:r>
      <w:r w:rsidRPr="000D4FA1">
        <w:rPr>
          <w:i/>
          <w:iCs/>
          <w:sz w:val="28"/>
          <w:szCs w:val="28"/>
        </w:rPr>
        <w:t>численность обучающихся»</w:t>
      </w:r>
      <w:r w:rsidR="00C6407E" w:rsidRPr="000D4FA1">
        <w:rPr>
          <w:i/>
          <w:iCs/>
          <w:sz w:val="28"/>
          <w:szCs w:val="28"/>
        </w:rPr>
        <w:t>.</w:t>
      </w:r>
      <w:r w:rsidRPr="000D4FA1">
        <w:rPr>
          <w:sz w:val="28"/>
          <w:szCs w:val="28"/>
        </w:rPr>
        <w:t xml:space="preserve"> Некоторые регионы демонстрируют непропорционально большой контингент студентов при умеренном количестве организаций: г. Астана</w:t>
      </w:r>
      <w:r w:rsidR="00D535D6" w:rsidRPr="000D4FA1">
        <w:rPr>
          <w:sz w:val="28"/>
          <w:szCs w:val="28"/>
          <w:lang w:val="kk-KZ"/>
        </w:rPr>
        <w:t xml:space="preserve"> </w:t>
      </w:r>
      <w:r w:rsidR="007B767F" w:rsidRPr="000D4FA1">
        <w:rPr>
          <w:sz w:val="28"/>
          <w:szCs w:val="28"/>
          <w:lang w:val="kk-KZ"/>
        </w:rPr>
        <w:t>–</w:t>
      </w:r>
      <w:r w:rsidR="00D535D6" w:rsidRPr="000D4FA1">
        <w:rPr>
          <w:sz w:val="28"/>
          <w:szCs w:val="28"/>
          <w:lang w:val="kk-KZ"/>
        </w:rPr>
        <w:t xml:space="preserve"> </w:t>
      </w:r>
      <w:r w:rsidRPr="000D4FA1">
        <w:rPr>
          <w:sz w:val="28"/>
          <w:szCs w:val="28"/>
        </w:rPr>
        <w:t>30 организаций, но 37 603 студента; Туркестан</w:t>
      </w:r>
      <w:r w:rsidR="00D535D6" w:rsidRPr="000D4FA1">
        <w:rPr>
          <w:sz w:val="28"/>
          <w:szCs w:val="28"/>
          <w:lang w:val="kk-KZ"/>
        </w:rPr>
        <w:t xml:space="preserve">ская область </w:t>
      </w:r>
      <w:r w:rsidR="007B767F" w:rsidRPr="000D4FA1">
        <w:rPr>
          <w:sz w:val="28"/>
          <w:szCs w:val="28"/>
          <w:lang w:val="kk-KZ"/>
        </w:rPr>
        <w:t>–</w:t>
      </w:r>
      <w:r w:rsidR="00D535D6" w:rsidRPr="000D4FA1">
        <w:rPr>
          <w:sz w:val="28"/>
          <w:szCs w:val="28"/>
          <w:lang w:val="kk-KZ"/>
        </w:rPr>
        <w:t xml:space="preserve"> </w:t>
      </w:r>
      <w:r w:rsidRPr="000D4FA1">
        <w:rPr>
          <w:sz w:val="28"/>
          <w:szCs w:val="28"/>
        </w:rPr>
        <w:t>48 организаций, 39 521 студент.</w:t>
      </w:r>
      <w:r w:rsidR="00D535D6" w:rsidRPr="000D4FA1">
        <w:rPr>
          <w:sz w:val="28"/>
          <w:szCs w:val="28"/>
          <w:lang w:val="kk-KZ"/>
        </w:rPr>
        <w:t xml:space="preserve"> </w:t>
      </w:r>
      <w:r w:rsidRPr="000D4FA1">
        <w:rPr>
          <w:sz w:val="28"/>
          <w:szCs w:val="28"/>
        </w:rPr>
        <w:t>Эти регионы испытывают повышенный спрос на программы ТиПО из</w:t>
      </w:r>
      <w:r w:rsidR="007B767F" w:rsidRPr="000D4FA1">
        <w:rPr>
          <w:sz w:val="28"/>
          <w:szCs w:val="28"/>
        </w:rPr>
        <w:t>–</w:t>
      </w:r>
      <w:r w:rsidRPr="000D4FA1">
        <w:rPr>
          <w:sz w:val="28"/>
          <w:szCs w:val="28"/>
        </w:rPr>
        <w:t>за активного роста экономики и населения.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других регионах количество организаций высокое, но численность студентов умеренная: Жамбылская область</w:t>
      </w:r>
      <w:r w:rsidR="00D535D6" w:rsidRPr="000D4FA1">
        <w:rPr>
          <w:sz w:val="28"/>
          <w:szCs w:val="28"/>
          <w:lang w:val="kk-KZ"/>
        </w:rPr>
        <w:t xml:space="preserve"> </w:t>
      </w:r>
      <w:r w:rsidR="007B767F" w:rsidRPr="000D4FA1">
        <w:rPr>
          <w:sz w:val="28"/>
          <w:szCs w:val="28"/>
          <w:lang w:val="kk-KZ"/>
        </w:rPr>
        <w:t>–</w:t>
      </w:r>
      <w:r w:rsidR="00D535D6" w:rsidRPr="000D4FA1">
        <w:rPr>
          <w:sz w:val="28"/>
          <w:szCs w:val="28"/>
          <w:lang w:val="kk-KZ"/>
        </w:rPr>
        <w:t xml:space="preserve"> </w:t>
      </w:r>
      <w:r w:rsidRPr="000D4FA1">
        <w:rPr>
          <w:sz w:val="28"/>
          <w:szCs w:val="28"/>
        </w:rPr>
        <w:t>42 организации, 26</w:t>
      </w:r>
      <w:r w:rsidR="001875B2" w:rsidRPr="000D4FA1">
        <w:rPr>
          <w:sz w:val="28"/>
          <w:szCs w:val="28"/>
        </w:rPr>
        <w:t xml:space="preserve"> </w:t>
      </w:r>
      <w:r w:rsidRPr="000D4FA1">
        <w:rPr>
          <w:sz w:val="28"/>
          <w:szCs w:val="28"/>
        </w:rPr>
        <w:t>917 студентов; Павлодарская</w:t>
      </w:r>
      <w:r w:rsidR="00D535D6" w:rsidRPr="000D4FA1">
        <w:rPr>
          <w:sz w:val="28"/>
          <w:szCs w:val="28"/>
          <w:lang w:val="kk-KZ"/>
        </w:rPr>
        <w:t xml:space="preserve"> </w:t>
      </w:r>
      <w:r w:rsidR="007B767F" w:rsidRPr="000D4FA1">
        <w:rPr>
          <w:sz w:val="28"/>
          <w:szCs w:val="28"/>
          <w:lang w:val="kk-KZ"/>
        </w:rPr>
        <w:t>–</w:t>
      </w:r>
      <w:r w:rsidR="00D535D6" w:rsidRPr="000D4FA1">
        <w:rPr>
          <w:sz w:val="28"/>
          <w:szCs w:val="28"/>
          <w:lang w:val="kk-KZ"/>
        </w:rPr>
        <w:t xml:space="preserve"> </w:t>
      </w:r>
      <w:r w:rsidR="00D535D6" w:rsidRPr="000D4FA1">
        <w:rPr>
          <w:sz w:val="28"/>
          <w:szCs w:val="28"/>
        </w:rPr>
        <w:t>41 организация, 23 173 студент</w:t>
      </w:r>
      <w:r w:rsidR="00D535D6" w:rsidRPr="000D4FA1">
        <w:rPr>
          <w:sz w:val="28"/>
          <w:szCs w:val="28"/>
          <w:lang w:val="kk-KZ"/>
        </w:rPr>
        <w:t>ов</w:t>
      </w:r>
      <w:r w:rsidRPr="000D4FA1">
        <w:rPr>
          <w:sz w:val="28"/>
          <w:szCs w:val="28"/>
        </w:rPr>
        <w: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Общие тенденции по стране наблюдается высокая концентрация студентов в крупных мегаполисах и густонаселённых южных регионах.</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Северные и центральные области имеют устойчивую сеть колледжей, однако численность обучающихся ниже в силу демографических факторов.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Доля частных колледжей растёт, особенно в </w:t>
      </w:r>
      <w:r w:rsidR="00D535D6" w:rsidRPr="000D4FA1">
        <w:rPr>
          <w:sz w:val="28"/>
          <w:szCs w:val="28"/>
          <w:lang w:val="kk-KZ"/>
        </w:rPr>
        <w:t xml:space="preserve">г.г. </w:t>
      </w:r>
      <w:r w:rsidRPr="000D4FA1">
        <w:rPr>
          <w:sz w:val="28"/>
          <w:szCs w:val="28"/>
        </w:rPr>
        <w:t>Алматы, Астане</w:t>
      </w:r>
      <w:r w:rsidR="00D535D6" w:rsidRPr="000D4FA1">
        <w:rPr>
          <w:sz w:val="28"/>
          <w:szCs w:val="28"/>
          <w:lang w:val="kk-KZ"/>
        </w:rPr>
        <w:t>, Шымкенте</w:t>
      </w:r>
      <w:r w:rsidRPr="000D4FA1">
        <w:rPr>
          <w:sz w:val="28"/>
          <w:szCs w:val="28"/>
        </w:rPr>
        <w:t xml:space="preserve"> и Туркестан</w:t>
      </w:r>
      <w:r w:rsidR="00D535D6" w:rsidRPr="000D4FA1">
        <w:rPr>
          <w:sz w:val="28"/>
          <w:szCs w:val="28"/>
          <w:lang w:val="kk-KZ"/>
        </w:rPr>
        <w:t>ской области</w:t>
      </w:r>
      <w:r w:rsidRPr="000D4FA1">
        <w:rPr>
          <w:sz w:val="28"/>
          <w:szCs w:val="28"/>
        </w:rPr>
        <w:t>. Развитие промышленности и услуг в крупных городах усиливает спрос на подготовку кадров среднего звена.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Система ТиПО Казахстана характеризуется высокой региональной дифференциацией.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Алматы, Шымкент, Астана и Туркестанская область являются ключевыми центрами подготовки кадров.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Минимальные показатели в </w:t>
      </w:r>
      <w:r w:rsidR="00D535D6" w:rsidRPr="000D4FA1">
        <w:rPr>
          <w:sz w:val="28"/>
          <w:szCs w:val="28"/>
          <w:lang w:val="kk-KZ"/>
        </w:rPr>
        <w:t xml:space="preserve">области </w:t>
      </w:r>
      <w:r w:rsidRPr="000D4FA1">
        <w:rPr>
          <w:sz w:val="28"/>
          <w:szCs w:val="28"/>
        </w:rPr>
        <w:t>Улытау и СКО требуют дополнительных мер по развитию учебной инфраструктуры и кадрового потенциала.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Полученные данные могут быть использованы для:</w:t>
      </w:r>
    </w:p>
    <w:p w:rsidR="00EB066B" w:rsidRDefault="00C6407E" w:rsidP="00EB066B">
      <w:pPr>
        <w:pStyle w:val="a4"/>
        <w:spacing w:before="0" w:beforeAutospacing="0" w:after="0" w:afterAutospacing="0"/>
        <w:ind w:left="709"/>
        <w:jc w:val="both"/>
        <w:rPr>
          <w:sz w:val="28"/>
          <w:szCs w:val="28"/>
        </w:rPr>
      </w:pPr>
      <w:r w:rsidRPr="000D4FA1">
        <w:rPr>
          <w:sz w:val="28"/>
          <w:szCs w:val="28"/>
        </w:rPr>
        <w:t xml:space="preserve">– </w:t>
      </w:r>
      <w:r w:rsidR="00D144D6" w:rsidRPr="000D4FA1">
        <w:rPr>
          <w:sz w:val="28"/>
          <w:szCs w:val="28"/>
        </w:rPr>
        <w:t>планирования государственного заказа на подготовку специалистов</w:t>
      </w:r>
      <w:r w:rsidRPr="000D4FA1">
        <w:rPr>
          <w:sz w:val="28"/>
          <w:szCs w:val="28"/>
        </w:rPr>
        <w:t>;</w:t>
      </w:r>
    </w:p>
    <w:p w:rsidR="00D144D6" w:rsidRDefault="00EB066B" w:rsidP="00EB066B">
      <w:pPr>
        <w:pStyle w:val="a4"/>
        <w:spacing w:before="0" w:beforeAutospacing="0" w:after="0" w:afterAutospacing="0"/>
        <w:ind w:left="709"/>
        <w:jc w:val="both"/>
        <w:rPr>
          <w:sz w:val="28"/>
          <w:szCs w:val="28"/>
        </w:rPr>
      </w:pPr>
      <w:r w:rsidRPr="000D4FA1">
        <w:rPr>
          <w:sz w:val="28"/>
          <w:szCs w:val="28"/>
        </w:rPr>
        <w:lastRenderedPageBreak/>
        <w:t>– определения кадровой нагрузки, оценки уровня устойчивости региональных систем ТиПО.</w:t>
      </w:r>
      <w:r w:rsidR="001875B2" w:rsidRPr="000D4FA1">
        <w:rPr>
          <w:noProof/>
        </w:rPr>
        <w:drawing>
          <wp:anchor distT="0" distB="0" distL="114300" distR="114300" simplePos="0" relativeHeight="251652096" behindDoc="1" locked="0" layoutInCell="1" allowOverlap="1">
            <wp:simplePos x="0" y="0"/>
            <wp:positionH relativeFrom="margin">
              <wp:posOffset>266700</wp:posOffset>
            </wp:positionH>
            <wp:positionV relativeFrom="paragraph">
              <wp:posOffset>549275</wp:posOffset>
            </wp:positionV>
            <wp:extent cx="5705475" cy="3510915"/>
            <wp:effectExtent l="0" t="0" r="0" b="0"/>
            <wp:wrapTight wrapText="bothSides">
              <wp:wrapPolygon edited="0">
                <wp:start x="0" y="0"/>
                <wp:lineTo x="0" y="21565"/>
                <wp:lineTo x="21564" y="21565"/>
                <wp:lineTo x="21564" y="0"/>
                <wp:lineTo x="0" y="0"/>
              </wp:wrapPolygon>
            </wp:wrapTight>
            <wp:docPr id="1123289973"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1E229BF-B709-9C35-717F-8486194CA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Default="00EB066B" w:rsidP="00EB066B">
      <w:pPr>
        <w:pStyle w:val="a4"/>
        <w:spacing w:before="0" w:beforeAutospacing="0" w:after="0" w:afterAutospacing="0"/>
        <w:ind w:left="709"/>
        <w:jc w:val="both"/>
        <w:rPr>
          <w:sz w:val="28"/>
          <w:szCs w:val="28"/>
        </w:rPr>
      </w:pPr>
    </w:p>
    <w:p w:rsidR="00EB066B" w:rsidRPr="000D4FA1" w:rsidRDefault="00EB066B" w:rsidP="00EB066B">
      <w:pPr>
        <w:pStyle w:val="a4"/>
        <w:spacing w:before="0" w:beforeAutospacing="0" w:after="0" w:afterAutospacing="0"/>
        <w:ind w:left="709"/>
        <w:jc w:val="both"/>
        <w:rPr>
          <w:sz w:val="28"/>
          <w:szCs w:val="28"/>
        </w:rPr>
      </w:pPr>
    </w:p>
    <w:p w:rsidR="00D144D6" w:rsidRPr="000D4FA1" w:rsidRDefault="00D144D6" w:rsidP="001875B2">
      <w:pPr>
        <w:pStyle w:val="a4"/>
        <w:spacing w:before="0" w:beforeAutospacing="0" w:after="0" w:afterAutospacing="0"/>
        <w:ind w:firstLine="720"/>
        <w:jc w:val="center"/>
        <w:rPr>
          <w:sz w:val="28"/>
          <w:szCs w:val="28"/>
        </w:rPr>
      </w:pPr>
      <w:r w:rsidRPr="000D4FA1">
        <w:rPr>
          <w:sz w:val="28"/>
          <w:szCs w:val="28"/>
        </w:rPr>
        <w:t xml:space="preserve">Рисунок </w:t>
      </w:r>
      <w:r w:rsidR="00B80F8B" w:rsidRPr="000D4FA1">
        <w:rPr>
          <w:sz w:val="28"/>
          <w:szCs w:val="28"/>
        </w:rPr>
        <w:t>1</w:t>
      </w:r>
      <w:r w:rsidR="00A00396">
        <w:rPr>
          <w:sz w:val="28"/>
          <w:szCs w:val="28"/>
        </w:rPr>
        <w:t>2</w:t>
      </w:r>
      <w:r w:rsidR="00C6407E" w:rsidRPr="000D4FA1">
        <w:rPr>
          <w:sz w:val="28"/>
          <w:szCs w:val="28"/>
        </w:rPr>
        <w:t xml:space="preserve"> –</w:t>
      </w:r>
      <w:r w:rsidRPr="000D4FA1">
        <w:rPr>
          <w:sz w:val="28"/>
          <w:szCs w:val="28"/>
        </w:rPr>
        <w:t xml:space="preserve"> Динамика численности обучающихся в организациях технического и профессионального образования Республики Казахстан и результаты трендового моделирования (2000–2024 гг.)</w:t>
      </w:r>
    </w:p>
    <w:p w:rsidR="00C6407E" w:rsidRPr="000D4FA1" w:rsidRDefault="00C6407E" w:rsidP="00C6407E">
      <w:pPr>
        <w:pStyle w:val="a4"/>
        <w:spacing w:before="0" w:beforeAutospacing="0" w:after="0" w:afterAutospacing="0"/>
        <w:ind w:firstLine="720"/>
        <w:jc w:val="both"/>
      </w:pPr>
      <w:r w:rsidRPr="000D4FA1">
        <w:t>Примечание – составлено автором на основе исследования</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Представленный график демонстрирует долгосрочную динамику численности студентов, обучающихся в организациях технического и профессионального образования (ТиПО) Казахстана за период 2000–2024 гг., а также результаты аппроксимации данных полиномиальной моделью третьей степени:</w:t>
      </w:r>
    </w:p>
    <w:p w:rsidR="00D144D6" w:rsidRPr="000D4FA1" w:rsidRDefault="00D144D6" w:rsidP="00D144D6">
      <w:pPr>
        <w:pStyle w:val="a4"/>
        <w:spacing w:before="0" w:beforeAutospacing="0" w:after="0" w:afterAutospacing="0"/>
        <w:ind w:firstLine="720"/>
        <w:jc w:val="both"/>
        <w:rPr>
          <w:sz w:val="28"/>
          <w:szCs w:val="28"/>
        </w:rPr>
      </w:pPr>
      <m:oMath>
        <m:r>
          <w:rPr>
            <w:rFonts w:ascii="Cambria Math" w:hAnsi="Cambria Math"/>
            <w:sz w:val="28"/>
            <w:szCs w:val="28"/>
          </w:rPr>
          <m:t>y</m:t>
        </m:r>
        <m:r>
          <m:rPr>
            <m:sty m:val="p"/>
          </m:rPr>
          <w:rPr>
            <w:rFonts w:ascii="Cambria Math" w:hAnsi="Cambria Math"/>
            <w:sz w:val="28"/>
            <w:szCs w:val="28"/>
          </w:rPr>
          <m:t>=165.57</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-8155.9</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2</m:t>
            </m:r>
          </m:sup>
        </m:sSup>
        <m:r>
          <m:rPr>
            <m:sty m:val="p"/>
          </m:rPr>
          <w:rPr>
            <w:rFonts w:ascii="Cambria Math" w:hAnsi="Cambria Math"/>
            <w:sz w:val="28"/>
            <w:szCs w:val="28"/>
          </w:rPr>
          <m:t>+123950</m:t>
        </m:r>
        <m:r>
          <w:rPr>
            <w:rFonts w:ascii="Cambria Math" w:hAnsi="Cambria Math"/>
            <w:sz w:val="28"/>
            <w:szCs w:val="28"/>
          </w:rPr>
          <m:t>x</m:t>
        </m:r>
        <m:r>
          <m:rPr>
            <m:sty m:val="p"/>
          </m:rPr>
          <w:rPr>
            <w:rFonts w:ascii="Cambria Math" w:hAnsi="Cambria Math"/>
            <w:sz w:val="28"/>
            <w:szCs w:val="28"/>
          </w:rPr>
          <m:t>-41673,</m:t>
        </m:r>
        <m:sSup>
          <m:sSupPr>
            <m:ctrlPr>
              <w:rPr>
                <w:rFonts w:ascii="Cambria Math" w:hAnsi="Cambria Math"/>
                <w:sz w:val="28"/>
                <w:szCs w:val="28"/>
              </w:rPr>
            </m:ctrlPr>
          </m:sSupPr>
          <m:e>
            <m:r>
              <w:rPr>
                <w:rFonts w:ascii="Cambria Math" w:hAnsi="Cambria Math"/>
                <w:sz w:val="28"/>
                <w:szCs w:val="28"/>
              </w:rPr>
              <m:t xml:space="preserve">     R</m:t>
            </m:r>
          </m:e>
          <m:sup>
            <m:r>
              <m:rPr>
                <m:sty m:val="p"/>
              </m:rPr>
              <w:rPr>
                <w:rFonts w:ascii="Cambria Math" w:hAnsi="Cambria Math"/>
                <w:sz w:val="28"/>
                <w:szCs w:val="28"/>
              </w:rPr>
              <m:t>2</m:t>
            </m:r>
          </m:sup>
        </m:sSup>
        <m:r>
          <m:rPr>
            <m:sty m:val="p"/>
          </m:rPr>
          <w:rPr>
            <w:rFonts w:ascii="Cambria Math" w:hAnsi="Cambria Math"/>
            <w:sz w:val="28"/>
            <w:szCs w:val="28"/>
          </w:rPr>
          <m:t>=0.8917</m:t>
        </m:r>
      </m:oMath>
      <w:r w:rsidR="00C6407E" w:rsidRPr="000D4FA1">
        <w:rPr>
          <w:sz w:val="28"/>
          <w:szCs w:val="28"/>
        </w:rPr>
        <w:t xml:space="preserve">           (3)</w:t>
      </w:r>
      <m:r>
        <m:rPr>
          <m:sty m:val="p"/>
        </m:rPr>
        <w:rPr>
          <w:rFonts w:ascii="Cambria Math" w:hAnsi="Cambria Math"/>
          <w:sz w:val="28"/>
          <w:szCs w:val="28"/>
        </w:rPr>
        <w:br/>
      </m: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Высокое значение коэффициента детерминации (R² = 0.8917) указывает на хорошее соответствие трендовой модели фактическим данным и позволяет использовать её для прогнозных оценок.</w:t>
      </w:r>
    </w:p>
    <w:p w:rsidR="00D144D6" w:rsidRPr="000D4FA1" w:rsidRDefault="00C6407E" w:rsidP="00D144D6">
      <w:pPr>
        <w:pStyle w:val="a4"/>
        <w:spacing w:before="0" w:beforeAutospacing="0" w:after="0" w:afterAutospacing="0"/>
        <w:ind w:firstLine="720"/>
        <w:jc w:val="both"/>
        <w:rPr>
          <w:sz w:val="28"/>
          <w:szCs w:val="28"/>
        </w:rPr>
      </w:pPr>
      <w:r w:rsidRPr="000D4FA1">
        <w:rPr>
          <w:sz w:val="28"/>
          <w:szCs w:val="28"/>
        </w:rPr>
        <w:t xml:space="preserve">1. </w:t>
      </w:r>
      <w:r w:rsidR="00D144D6" w:rsidRPr="000D4FA1">
        <w:rPr>
          <w:sz w:val="28"/>
          <w:szCs w:val="28"/>
        </w:rPr>
        <w:t>Этап экспансивного роста (2000–2009 гг.)</w:t>
      </w:r>
      <w:r w:rsidRPr="000D4FA1">
        <w:rPr>
          <w:sz w:val="28"/>
          <w:szCs w:val="28"/>
        </w:rPr>
        <w:t>.</w:t>
      </w:r>
      <w:r w:rsidR="00D144D6" w:rsidRPr="000D4FA1">
        <w:rPr>
          <w:sz w:val="28"/>
          <w:szCs w:val="28"/>
        </w:rPr>
        <w:t xml:space="preserve"> Период характеризуется устойчивым увеличением численности студентов: с примерно 170 тыс</w:t>
      </w:r>
      <w:r w:rsidR="00D535D6" w:rsidRPr="000D4FA1">
        <w:rPr>
          <w:sz w:val="28"/>
          <w:szCs w:val="28"/>
          <w:lang w:val="kk-KZ"/>
        </w:rPr>
        <w:t xml:space="preserve">яч </w:t>
      </w:r>
      <w:r w:rsidR="00D144D6" w:rsidRPr="000D4FA1">
        <w:rPr>
          <w:sz w:val="28"/>
          <w:szCs w:val="28"/>
        </w:rPr>
        <w:t>человек в 2000г. до более 600 тыс</w:t>
      </w:r>
      <w:r w:rsidR="00D535D6" w:rsidRPr="000D4FA1">
        <w:rPr>
          <w:sz w:val="28"/>
          <w:szCs w:val="28"/>
          <w:lang w:val="kk-KZ"/>
        </w:rPr>
        <w:t xml:space="preserve">яч </w:t>
      </w:r>
      <w:r w:rsidR="00D144D6" w:rsidRPr="000D4FA1">
        <w:rPr>
          <w:sz w:val="28"/>
          <w:szCs w:val="28"/>
        </w:rPr>
        <w:t>в 2009г. Причины роста связаны с: демографическим подъёмом 1990</w:t>
      </w:r>
      <w:r w:rsidR="007B767F" w:rsidRPr="000D4FA1">
        <w:rPr>
          <w:sz w:val="28"/>
          <w:szCs w:val="28"/>
        </w:rPr>
        <w:t>–</w:t>
      </w:r>
      <w:r w:rsidR="00D144D6" w:rsidRPr="000D4FA1">
        <w:rPr>
          <w:sz w:val="28"/>
          <w:szCs w:val="28"/>
        </w:rPr>
        <w:t>х годов (вход крупных возрастных когорт в возраст поступления в колледжи); расширением сети ТиПО; доступностью бюджетных мест; структурной перестройкой экономики и спросом на рабочие специальности. К 2009 году система достигла исторического максимума контингента.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2. Период стабилизации и последующего снижения (2010–2018 гг.) После пикового значения численность студентов начала постепенно сокращаться и </w:t>
      </w:r>
      <w:r w:rsidRPr="000D4FA1">
        <w:rPr>
          <w:sz w:val="28"/>
          <w:szCs w:val="28"/>
        </w:rPr>
        <w:lastRenderedPageBreak/>
        <w:t>опустилась ниже отметки в 500 тыс. человек к 2018 году. Основные причины: общий спад рождаемости 1999–2002 гг., влияющий на размеры поступающих когорт; перераспределение части абитуриентов в сторону вузов благодаря расширению грантов; ограниченность материально</w:t>
      </w:r>
      <w:r w:rsidR="007B767F" w:rsidRPr="000D4FA1">
        <w:rPr>
          <w:sz w:val="28"/>
          <w:szCs w:val="28"/>
        </w:rPr>
        <w:t>–</w:t>
      </w:r>
      <w:r w:rsidRPr="000D4FA1">
        <w:rPr>
          <w:sz w:val="28"/>
          <w:szCs w:val="28"/>
        </w:rPr>
        <w:t>технической базы части колледжей; усиление требований работодателей к квалификации и цифровым навыкам. Это снижение отражено в нисходящем участке трендовой кривой.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3. Начиная с 2019–2020 гг. наблюдается постепенный рост численности обучающихся:</w:t>
      </w:r>
      <w:r w:rsidR="00D535D6" w:rsidRPr="000D4FA1">
        <w:rPr>
          <w:sz w:val="28"/>
          <w:szCs w:val="28"/>
          <w:lang w:val="kk-KZ"/>
        </w:rPr>
        <w:t xml:space="preserve"> </w:t>
      </w:r>
      <w:r w:rsidRPr="000D4FA1">
        <w:rPr>
          <w:sz w:val="28"/>
          <w:szCs w:val="28"/>
        </w:rPr>
        <w:t>в 2024 году показатель достиг около 570 тыс. человек. Факторы восстановления: реформирование системы ТиПО (модульные образовательные программы, дуальное обучение); модернизация инфраструктуры и создание колледжей</w:t>
      </w:r>
      <w:r w:rsidR="007B767F" w:rsidRPr="000D4FA1">
        <w:rPr>
          <w:sz w:val="28"/>
          <w:szCs w:val="28"/>
        </w:rPr>
        <w:t>–</w:t>
      </w:r>
      <w:r w:rsidRPr="000D4FA1">
        <w:rPr>
          <w:sz w:val="28"/>
          <w:szCs w:val="28"/>
        </w:rPr>
        <w:t>лидеров;</w:t>
      </w:r>
      <w:r w:rsidR="00D535D6" w:rsidRPr="000D4FA1">
        <w:rPr>
          <w:sz w:val="28"/>
          <w:szCs w:val="28"/>
          <w:lang w:val="kk-KZ"/>
        </w:rPr>
        <w:t xml:space="preserve"> </w:t>
      </w:r>
      <w:r w:rsidRPr="000D4FA1">
        <w:rPr>
          <w:sz w:val="28"/>
          <w:szCs w:val="28"/>
        </w:rPr>
        <w:t>увеличение гос</w:t>
      </w:r>
      <w:r w:rsidR="00A1797F" w:rsidRPr="000D4FA1">
        <w:rPr>
          <w:sz w:val="28"/>
          <w:szCs w:val="28"/>
          <w:lang w:val="kk-KZ"/>
        </w:rPr>
        <w:t xml:space="preserve">ударственного образовательного </w:t>
      </w:r>
      <w:r w:rsidRPr="000D4FA1">
        <w:rPr>
          <w:sz w:val="28"/>
          <w:szCs w:val="28"/>
        </w:rPr>
        <w:t xml:space="preserve">заказа на рабочие профессии; рост рождаемости в </w:t>
      </w:r>
      <w:r w:rsidR="00D535D6" w:rsidRPr="000D4FA1">
        <w:rPr>
          <w:sz w:val="28"/>
          <w:szCs w:val="28"/>
          <w:lang w:val="kk-KZ"/>
        </w:rPr>
        <w:t>двухтысячных</w:t>
      </w:r>
      <w:r w:rsidRPr="000D4FA1">
        <w:rPr>
          <w:sz w:val="28"/>
          <w:szCs w:val="28"/>
        </w:rPr>
        <w:t>; повышение востребованности прикладных специалистов в промышленности, медицине и IT.</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Трендовая модель показывает, что при текущей динамике дальнейший рост может продолжиться.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4. Интерпретация трендовой модели. Полиномиальная функция третьей степени успешно отражает нелинейный характер изменения контингента: быстрый рост → стабилизация → спад → новый рост.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График подтверждает: цикличность демографических и экономических факторов, высокую чувствительность системы ТиПО к </w:t>
      </w:r>
      <w:r w:rsidR="00D535D6" w:rsidRPr="000D4FA1">
        <w:rPr>
          <w:sz w:val="28"/>
          <w:szCs w:val="28"/>
        </w:rPr>
        <w:t>макроэкономическим изменениям и</w:t>
      </w:r>
      <w:r w:rsidRPr="000D4FA1">
        <w:rPr>
          <w:sz w:val="28"/>
          <w:szCs w:val="28"/>
        </w:rPr>
        <w:t xml:space="preserve"> способность системы адаптироваться к обновленным требованиям рынка труда.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5. Значение результатов для исследования человеческого потенциала ТиПО. Динамика контингента является ключевым индикатором: потенциала будущих кадров страны, устойчивости образовательных организаций, эффективности государственной политики в сфере подготовки рабочих кадров.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Рост численности студентов последних лет свидетельствует о восстановлении человеческого капитала и усилении роли колледжей в системе</w:t>
      </w:r>
      <w:r w:rsidR="001C1975" w:rsidRPr="000D4FA1">
        <w:rPr>
          <w:sz w:val="28"/>
          <w:szCs w:val="28"/>
        </w:rPr>
        <w:t xml:space="preserve"> технического и</w:t>
      </w:r>
      <w:r w:rsidRPr="000D4FA1">
        <w:rPr>
          <w:sz w:val="28"/>
          <w:szCs w:val="28"/>
        </w:rPr>
        <w:t xml:space="preserve"> профессионального образования.</w:t>
      </w:r>
    </w:p>
    <w:p w:rsidR="00F45F03"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Представленные данные </w:t>
      </w:r>
      <w:r w:rsidR="00F45F03" w:rsidRPr="000D4FA1">
        <w:rPr>
          <w:sz w:val="28"/>
          <w:szCs w:val="28"/>
        </w:rPr>
        <w:t xml:space="preserve">в рисунке 11 </w:t>
      </w:r>
      <w:r w:rsidRPr="000D4FA1">
        <w:rPr>
          <w:sz w:val="28"/>
          <w:szCs w:val="28"/>
        </w:rPr>
        <w:t xml:space="preserve">отражают динамику изменения доли студентов ТиПО по регионам Казахстана за 2020–2024 годы и позволяют оценить структуру распределения обучающихся с позиции региональной демографии, экономического развития территорий и возможностей образовательной инфраструктуры.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На уровне страны наблюдается устойчивый рост численности студентов: с 477,5 тыс. человек в 2020 году до 557,0 тыс. в 2024 году (+16,6%). Это говорит об усилении роли ТиПО в системе подготовки кадров и повышении спроса на рабочие профессии и прикладные специальности на фоне модернизации экономики и дефицита среднего медицинского и технического персонала.</w:t>
      </w:r>
    </w:p>
    <w:p w:rsidR="00D144D6" w:rsidRPr="00E738EB" w:rsidRDefault="00D144D6" w:rsidP="00D144D6">
      <w:pPr>
        <w:pStyle w:val="a4"/>
        <w:spacing w:before="0" w:beforeAutospacing="0" w:after="0" w:afterAutospacing="0"/>
        <w:ind w:firstLine="720"/>
        <w:jc w:val="both"/>
        <w:rPr>
          <w:sz w:val="28"/>
          <w:szCs w:val="28"/>
          <w:lang w:val="kk-KZ"/>
        </w:rPr>
      </w:pPr>
      <w:r w:rsidRPr="000D4FA1">
        <w:rPr>
          <w:sz w:val="28"/>
          <w:szCs w:val="28"/>
        </w:rPr>
        <w:t xml:space="preserve">Региональные различия остаются существенными. Наибольшие доли студентов стабильно демонстрируют мегаполисы – г. Алматы (15,6–16,2%), г. Шымкент (8,3–10,0%) и г. Астана (5,7–7,1%). Доля Алматы остаётся самой </w:t>
      </w:r>
      <w:r w:rsidRPr="000D4FA1">
        <w:rPr>
          <w:sz w:val="28"/>
          <w:szCs w:val="28"/>
        </w:rPr>
        <w:lastRenderedPageBreak/>
        <w:t>высокой благодаря концентрации колледжей, развитой образовательной инфраструктуре и высокой привлекательности города для внутренней миграции молодёжи. Шымкент показывает выраженный рост – с 8,36% до 10%</w:t>
      </w:r>
      <w:r w:rsidR="006A20A1" w:rsidRPr="000D4FA1">
        <w:rPr>
          <w:sz w:val="28"/>
          <w:szCs w:val="28"/>
          <w:lang w:val="kk-KZ"/>
        </w:rPr>
        <w:t xml:space="preserve"> </w:t>
      </w:r>
      <w:r w:rsidR="007B767F" w:rsidRPr="000D4FA1">
        <w:rPr>
          <w:sz w:val="28"/>
          <w:szCs w:val="28"/>
          <w:lang w:val="kk-KZ"/>
        </w:rPr>
        <w:t>–</w:t>
      </w:r>
      <w:r w:rsidR="006A20A1" w:rsidRPr="000D4FA1">
        <w:rPr>
          <w:sz w:val="28"/>
          <w:szCs w:val="28"/>
          <w:lang w:val="kk-KZ"/>
        </w:rPr>
        <w:t xml:space="preserve"> </w:t>
      </w:r>
      <w:r w:rsidRPr="000D4FA1">
        <w:rPr>
          <w:sz w:val="28"/>
          <w:szCs w:val="28"/>
        </w:rPr>
        <w:t xml:space="preserve">что связано с демографическим приростом региона и расширением сети колледжей. Увеличение доли студентов в Астане (с 5,74% до 7,13%) обусловлено </w:t>
      </w:r>
      <w:r w:rsidRPr="00E738EB">
        <w:rPr>
          <w:sz w:val="28"/>
          <w:szCs w:val="28"/>
          <w:lang w:val="kk-KZ"/>
        </w:rPr>
        <w:t>усилением государственного заказа на подготовку кадров и активным развитием столичного образовательного кластера.</w:t>
      </w:r>
    </w:p>
    <w:p w:rsidR="00D144D6" w:rsidRPr="00E738EB" w:rsidRDefault="00D144D6" w:rsidP="00D144D6">
      <w:pPr>
        <w:pStyle w:val="a4"/>
        <w:spacing w:before="0" w:beforeAutospacing="0" w:after="0" w:afterAutospacing="0"/>
        <w:ind w:firstLine="720"/>
        <w:jc w:val="both"/>
        <w:rPr>
          <w:sz w:val="28"/>
          <w:szCs w:val="28"/>
          <w:lang w:val="kk-KZ"/>
        </w:rPr>
      </w:pPr>
      <w:r w:rsidRPr="00E738EB">
        <w:rPr>
          <w:sz w:val="28"/>
          <w:szCs w:val="28"/>
          <w:lang w:val="kk-KZ"/>
        </w:rPr>
        <w:t>Среди областей лидирует Туркестанская область, стабильно удерживая уровень 6,6–7,7%. Причина</w:t>
      </w:r>
      <w:r w:rsidR="00A1797F" w:rsidRPr="00E738EB">
        <w:rPr>
          <w:sz w:val="28"/>
          <w:szCs w:val="28"/>
          <w:lang w:val="kk-KZ"/>
        </w:rPr>
        <w:t xml:space="preserve"> </w:t>
      </w:r>
      <w:r w:rsidR="007B767F" w:rsidRPr="00E738EB">
        <w:rPr>
          <w:sz w:val="28"/>
          <w:szCs w:val="28"/>
          <w:lang w:val="kk-KZ"/>
        </w:rPr>
        <w:t>–</w:t>
      </w:r>
      <w:r w:rsidR="00A1797F" w:rsidRPr="00E738EB">
        <w:rPr>
          <w:sz w:val="28"/>
          <w:szCs w:val="28"/>
          <w:lang w:val="kk-KZ"/>
        </w:rPr>
        <w:t xml:space="preserve"> </w:t>
      </w:r>
      <w:r w:rsidRPr="00E738EB">
        <w:rPr>
          <w:sz w:val="28"/>
          <w:szCs w:val="28"/>
          <w:lang w:val="kk-KZ"/>
        </w:rPr>
        <w:t>высокая рождаемость, молодая структура населения и значительные объёмы государственного заказа для колледжей региона. Жамбылская, Карагандинская, Восточно</w:t>
      </w:r>
      <w:r w:rsidR="007B767F" w:rsidRPr="00E738EB">
        <w:rPr>
          <w:sz w:val="28"/>
          <w:szCs w:val="28"/>
          <w:lang w:val="kk-KZ"/>
        </w:rPr>
        <w:t>–</w:t>
      </w:r>
      <w:r w:rsidRPr="00E738EB">
        <w:rPr>
          <w:sz w:val="28"/>
          <w:szCs w:val="28"/>
          <w:lang w:val="kk-KZ"/>
        </w:rPr>
        <w:t>Казахстанская и Алматинская области занимают средние позиции (4–8%), отражая баланс между численностью населения и возможностями колледжей.</w:t>
      </w:r>
    </w:p>
    <w:p w:rsidR="00D144D6" w:rsidRPr="00E738EB" w:rsidRDefault="00D144D6" w:rsidP="00D144D6">
      <w:pPr>
        <w:pStyle w:val="a4"/>
        <w:spacing w:before="0" w:beforeAutospacing="0" w:after="0" w:afterAutospacing="0"/>
        <w:ind w:firstLine="720"/>
        <w:jc w:val="both"/>
        <w:rPr>
          <w:sz w:val="28"/>
          <w:szCs w:val="28"/>
          <w:lang w:val="kk-KZ"/>
        </w:rPr>
      </w:pPr>
      <w:r w:rsidRPr="00E738EB">
        <w:rPr>
          <w:sz w:val="28"/>
          <w:szCs w:val="28"/>
          <w:lang w:val="kk-KZ"/>
        </w:rPr>
        <w:t>Регионы с низкой долей студентов – Северо</w:t>
      </w:r>
      <w:r w:rsidR="007B767F" w:rsidRPr="00E738EB">
        <w:rPr>
          <w:sz w:val="28"/>
          <w:szCs w:val="28"/>
          <w:lang w:val="kk-KZ"/>
        </w:rPr>
        <w:t>–</w:t>
      </w:r>
      <w:r w:rsidRPr="00E738EB">
        <w:rPr>
          <w:sz w:val="28"/>
          <w:szCs w:val="28"/>
          <w:lang w:val="kk-KZ"/>
        </w:rPr>
        <w:t>Казахстанская (2,0–2,3%) и Западно</w:t>
      </w:r>
      <w:r w:rsidR="007B767F" w:rsidRPr="00E738EB">
        <w:rPr>
          <w:sz w:val="28"/>
          <w:szCs w:val="28"/>
          <w:lang w:val="kk-KZ"/>
        </w:rPr>
        <w:t>–</w:t>
      </w:r>
      <w:r w:rsidRPr="00E738EB">
        <w:rPr>
          <w:sz w:val="28"/>
          <w:szCs w:val="28"/>
          <w:lang w:val="kk-KZ"/>
        </w:rPr>
        <w:t xml:space="preserve">Казахстанская область (2,8–3,5%). Это можно объяснить снижением численности молодого населения, миграцией в южные регионы и мегаполисы, а также ограниченной ёмкостью местных рынков труда. Атырауская и Мангистауская области также демонстрируют умеренно низкие значения (3,4–4%), что связано с высокой долей занятости молодёжи в нефтегазовом секторе и относительно меньшей потребностью в специалистах ТиПО по сравнению с </w:t>
      </w:r>
      <w:r w:rsidR="00A1797F" w:rsidRPr="00E738EB">
        <w:rPr>
          <w:sz w:val="28"/>
          <w:szCs w:val="28"/>
          <w:lang w:val="kk-KZ"/>
        </w:rPr>
        <w:t xml:space="preserve">регионами с развитой социальной </w:t>
      </w:r>
      <w:r w:rsidRPr="00E738EB">
        <w:rPr>
          <w:sz w:val="28"/>
          <w:szCs w:val="28"/>
          <w:lang w:val="kk-KZ"/>
        </w:rPr>
        <w:t>сферой.</w:t>
      </w:r>
    </w:p>
    <w:p w:rsidR="00A1797F" w:rsidRPr="000D4FA1" w:rsidRDefault="00A1797F" w:rsidP="00D144D6">
      <w:pPr>
        <w:pStyle w:val="a4"/>
        <w:spacing w:before="0" w:beforeAutospacing="0" w:after="0" w:afterAutospacing="0"/>
        <w:ind w:firstLine="720"/>
        <w:jc w:val="both"/>
        <w:rPr>
          <w:sz w:val="28"/>
          <w:szCs w:val="28"/>
        </w:rPr>
      </w:pPr>
      <w:r w:rsidRPr="000D4FA1">
        <w:rPr>
          <w:noProof/>
        </w:rPr>
        <w:drawing>
          <wp:anchor distT="0" distB="0" distL="114300" distR="114300" simplePos="0" relativeHeight="251645952" behindDoc="1" locked="0" layoutInCell="1" allowOverlap="1">
            <wp:simplePos x="0" y="0"/>
            <wp:positionH relativeFrom="column">
              <wp:posOffset>351790</wp:posOffset>
            </wp:positionH>
            <wp:positionV relativeFrom="paragraph">
              <wp:posOffset>178582</wp:posOffset>
            </wp:positionV>
            <wp:extent cx="5419090" cy="3216275"/>
            <wp:effectExtent l="0" t="0" r="0" b="0"/>
            <wp:wrapTight wrapText="bothSides">
              <wp:wrapPolygon edited="0">
                <wp:start x="0" y="0"/>
                <wp:lineTo x="0" y="21493"/>
                <wp:lineTo x="21489" y="21493"/>
                <wp:lineTo x="21489" y="0"/>
                <wp:lineTo x="0" y="0"/>
              </wp:wrapPolygon>
            </wp:wrapTight>
            <wp:docPr id="16819281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9090" cy="3216275"/>
                    </a:xfrm>
                    <a:prstGeom prst="rect">
                      <a:avLst/>
                    </a:prstGeom>
                    <a:noFill/>
                    <a:ln>
                      <a:noFill/>
                    </a:ln>
                  </pic:spPr>
                </pic:pic>
              </a:graphicData>
            </a:graphic>
          </wp:anchor>
        </w:drawing>
      </w:r>
    </w:p>
    <w:p w:rsidR="00D144D6" w:rsidRPr="000D4FA1" w:rsidRDefault="00D144D6" w:rsidP="00C6407E">
      <w:pPr>
        <w:pStyle w:val="a4"/>
        <w:spacing w:before="0" w:beforeAutospacing="0" w:after="0" w:afterAutospacing="0"/>
        <w:ind w:firstLine="720"/>
        <w:jc w:val="center"/>
        <w:rPr>
          <w:sz w:val="28"/>
          <w:szCs w:val="28"/>
        </w:rPr>
      </w:pPr>
      <w:r w:rsidRPr="000D4FA1">
        <w:rPr>
          <w:sz w:val="28"/>
          <w:szCs w:val="28"/>
        </w:rPr>
        <w:t xml:space="preserve">Рисунок </w:t>
      </w:r>
      <w:r w:rsidR="00B80F8B" w:rsidRPr="000D4FA1">
        <w:rPr>
          <w:sz w:val="28"/>
          <w:szCs w:val="28"/>
        </w:rPr>
        <w:t>1</w:t>
      </w:r>
      <w:r w:rsidR="00A00396">
        <w:rPr>
          <w:sz w:val="28"/>
          <w:szCs w:val="28"/>
        </w:rPr>
        <w:t>3</w:t>
      </w:r>
      <w:r w:rsidR="00C6407E" w:rsidRPr="000D4FA1">
        <w:rPr>
          <w:sz w:val="28"/>
          <w:szCs w:val="28"/>
        </w:rPr>
        <w:t xml:space="preserve"> –</w:t>
      </w:r>
      <w:r w:rsidRPr="000D4FA1">
        <w:rPr>
          <w:sz w:val="28"/>
          <w:szCs w:val="28"/>
        </w:rPr>
        <w:t xml:space="preserve"> Доля студентов, обучающихся в организациях ТиПО по регионам Казахстана, 2020–2024 гг.</w:t>
      </w:r>
    </w:p>
    <w:p w:rsidR="00C6407E" w:rsidRPr="000D4FA1" w:rsidRDefault="00C6407E" w:rsidP="00C6407E">
      <w:pPr>
        <w:pStyle w:val="a4"/>
        <w:spacing w:before="0" w:beforeAutospacing="0" w:after="0" w:afterAutospacing="0"/>
        <w:ind w:firstLine="720"/>
        <w:jc w:val="both"/>
      </w:pPr>
      <w:r w:rsidRPr="000D4FA1">
        <w:t>Примечание – составлено автором на основе исследования</w:t>
      </w:r>
    </w:p>
    <w:p w:rsidR="001140E9" w:rsidRPr="000D4FA1" w:rsidRDefault="001140E9" w:rsidP="00C6407E">
      <w:pPr>
        <w:pStyle w:val="a4"/>
        <w:spacing w:before="0" w:beforeAutospacing="0" w:after="0" w:afterAutospacing="0"/>
        <w:ind w:firstLine="720"/>
        <w:jc w:val="both"/>
      </w:pPr>
    </w:p>
    <w:p w:rsidR="001140E9" w:rsidRPr="000D4FA1" w:rsidRDefault="001140E9" w:rsidP="00C6407E">
      <w:pPr>
        <w:pStyle w:val="a4"/>
        <w:spacing w:before="0" w:beforeAutospacing="0" w:after="0" w:afterAutospacing="0"/>
        <w:ind w:firstLine="720"/>
        <w:jc w:val="both"/>
      </w:pPr>
    </w:p>
    <w:p w:rsidR="001140E9" w:rsidRPr="000D4FA1" w:rsidRDefault="001140E9" w:rsidP="00C6407E">
      <w:pPr>
        <w:pStyle w:val="a4"/>
        <w:spacing w:before="0" w:beforeAutospacing="0" w:after="0" w:afterAutospacing="0"/>
        <w:ind w:firstLine="720"/>
        <w:jc w:val="both"/>
      </w:pPr>
    </w:p>
    <w:p w:rsidR="00C6407E" w:rsidRPr="000D4FA1" w:rsidRDefault="00C6407E" w:rsidP="00C6407E">
      <w:pPr>
        <w:pStyle w:val="a4"/>
        <w:spacing w:before="0" w:beforeAutospacing="0" w:after="0" w:afterAutospacing="0"/>
        <w:ind w:firstLine="720"/>
        <w:jc w:val="center"/>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Экономическая интерпретация трендов показывает:</w:t>
      </w:r>
    </w:p>
    <w:p w:rsidR="00D144D6" w:rsidRPr="000D4FA1" w:rsidRDefault="00C6407E" w:rsidP="00C6407E">
      <w:pPr>
        <w:pStyle w:val="a4"/>
        <w:spacing w:before="0" w:beforeAutospacing="0" w:after="0" w:afterAutospacing="0"/>
        <w:ind w:firstLine="720"/>
        <w:jc w:val="both"/>
        <w:rPr>
          <w:sz w:val="28"/>
          <w:szCs w:val="28"/>
        </w:rPr>
      </w:pPr>
      <w:r w:rsidRPr="000D4FA1">
        <w:rPr>
          <w:sz w:val="28"/>
          <w:szCs w:val="28"/>
        </w:rPr>
        <w:t>– р</w:t>
      </w:r>
      <w:r w:rsidR="00D144D6" w:rsidRPr="000D4FA1">
        <w:rPr>
          <w:sz w:val="28"/>
          <w:szCs w:val="28"/>
        </w:rPr>
        <w:t>ост доли студентов в крупных городах</w:t>
      </w:r>
      <w:r w:rsidR="00A1797F" w:rsidRPr="000D4FA1">
        <w:rPr>
          <w:sz w:val="28"/>
          <w:szCs w:val="28"/>
          <w:lang w:val="kk-KZ"/>
        </w:rPr>
        <w:t xml:space="preserve"> </w:t>
      </w:r>
      <w:r w:rsidR="007B767F" w:rsidRPr="000D4FA1">
        <w:rPr>
          <w:sz w:val="28"/>
          <w:szCs w:val="28"/>
          <w:lang w:val="kk-KZ"/>
        </w:rPr>
        <w:t>–</w:t>
      </w:r>
      <w:r w:rsidR="00A1797F" w:rsidRPr="000D4FA1">
        <w:rPr>
          <w:sz w:val="28"/>
          <w:szCs w:val="28"/>
          <w:lang w:val="kk-KZ"/>
        </w:rPr>
        <w:t xml:space="preserve"> </w:t>
      </w:r>
      <w:r w:rsidR="00A1797F" w:rsidRPr="000D4FA1">
        <w:rPr>
          <w:sz w:val="28"/>
          <w:szCs w:val="28"/>
        </w:rPr>
        <w:t>следствие</w:t>
      </w:r>
      <w:r w:rsidR="00D144D6" w:rsidRPr="000D4FA1">
        <w:rPr>
          <w:sz w:val="28"/>
          <w:szCs w:val="28"/>
        </w:rPr>
        <w:t xml:space="preserve"> концентрации рабочих мест, миграционных процессов и привлекательности образовательных услуг</w:t>
      </w:r>
      <w:r w:rsidRPr="000D4FA1">
        <w:rPr>
          <w:sz w:val="28"/>
          <w:szCs w:val="28"/>
        </w:rPr>
        <w:t>;</w:t>
      </w:r>
    </w:p>
    <w:p w:rsidR="00D144D6" w:rsidRPr="000D4FA1" w:rsidRDefault="00C6407E" w:rsidP="00C6407E">
      <w:pPr>
        <w:pStyle w:val="a4"/>
        <w:spacing w:before="0" w:beforeAutospacing="0" w:after="0" w:afterAutospacing="0"/>
        <w:ind w:firstLine="720"/>
        <w:jc w:val="both"/>
        <w:rPr>
          <w:sz w:val="28"/>
          <w:szCs w:val="28"/>
        </w:rPr>
      </w:pPr>
      <w:r w:rsidRPr="000D4FA1">
        <w:rPr>
          <w:sz w:val="28"/>
          <w:szCs w:val="28"/>
        </w:rPr>
        <w:t>– у</w:t>
      </w:r>
      <w:r w:rsidR="00D144D6" w:rsidRPr="000D4FA1">
        <w:rPr>
          <w:sz w:val="28"/>
          <w:szCs w:val="28"/>
        </w:rPr>
        <w:t>величение доли в южных регионах</w:t>
      </w:r>
      <w:r w:rsidR="00A1797F" w:rsidRPr="000D4FA1">
        <w:rPr>
          <w:sz w:val="28"/>
          <w:szCs w:val="28"/>
          <w:lang w:val="kk-KZ"/>
        </w:rPr>
        <w:t xml:space="preserve"> </w:t>
      </w:r>
      <w:r w:rsidR="007B767F" w:rsidRPr="000D4FA1">
        <w:rPr>
          <w:sz w:val="28"/>
          <w:szCs w:val="28"/>
          <w:lang w:val="kk-KZ"/>
        </w:rPr>
        <w:t>–</w:t>
      </w:r>
      <w:r w:rsidR="00A1797F" w:rsidRPr="000D4FA1">
        <w:rPr>
          <w:sz w:val="28"/>
          <w:szCs w:val="28"/>
          <w:lang w:val="kk-KZ"/>
        </w:rPr>
        <w:t xml:space="preserve"> </w:t>
      </w:r>
      <w:r w:rsidR="00D144D6" w:rsidRPr="000D4FA1">
        <w:rPr>
          <w:sz w:val="28"/>
          <w:szCs w:val="28"/>
        </w:rPr>
        <w:t>результат молодого демографического профиля и расширения государственного</w:t>
      </w:r>
      <w:r w:rsidR="00A1797F" w:rsidRPr="000D4FA1">
        <w:rPr>
          <w:sz w:val="28"/>
          <w:szCs w:val="28"/>
          <w:lang w:val="kk-KZ"/>
        </w:rPr>
        <w:t xml:space="preserve"> образовательного</w:t>
      </w:r>
      <w:r w:rsidR="00D144D6" w:rsidRPr="000D4FA1">
        <w:rPr>
          <w:sz w:val="28"/>
          <w:szCs w:val="28"/>
        </w:rPr>
        <w:t xml:space="preserve"> заказа</w:t>
      </w:r>
      <w:r w:rsidRPr="000D4FA1">
        <w:rPr>
          <w:sz w:val="28"/>
          <w:szCs w:val="28"/>
        </w:rPr>
        <w:t>;</w:t>
      </w:r>
    </w:p>
    <w:p w:rsidR="00D144D6" w:rsidRPr="000D4FA1" w:rsidRDefault="00C6407E" w:rsidP="00C6407E">
      <w:pPr>
        <w:pStyle w:val="a4"/>
        <w:spacing w:before="0" w:beforeAutospacing="0" w:after="0" w:afterAutospacing="0"/>
        <w:ind w:firstLine="708"/>
        <w:jc w:val="both"/>
        <w:rPr>
          <w:sz w:val="28"/>
          <w:szCs w:val="28"/>
        </w:rPr>
      </w:pPr>
      <w:r w:rsidRPr="000D4FA1">
        <w:rPr>
          <w:sz w:val="28"/>
          <w:szCs w:val="28"/>
        </w:rPr>
        <w:t>– с</w:t>
      </w:r>
      <w:r w:rsidR="00D144D6" w:rsidRPr="000D4FA1">
        <w:rPr>
          <w:sz w:val="28"/>
          <w:szCs w:val="28"/>
        </w:rPr>
        <w:t>нижение показателей в северных областях связано с демографическим спадом и миграционным оттоком</w:t>
      </w:r>
      <w:r w:rsidRPr="000D4FA1">
        <w:rPr>
          <w:sz w:val="28"/>
          <w:szCs w:val="28"/>
        </w:rPr>
        <w:t>;</w:t>
      </w:r>
    </w:p>
    <w:p w:rsidR="00D144D6" w:rsidRPr="000D4FA1" w:rsidRDefault="00C6407E" w:rsidP="00C6407E">
      <w:pPr>
        <w:pStyle w:val="a4"/>
        <w:spacing w:before="0" w:beforeAutospacing="0" w:after="0" w:afterAutospacing="0"/>
        <w:ind w:firstLine="720"/>
        <w:jc w:val="both"/>
        <w:rPr>
          <w:sz w:val="28"/>
          <w:szCs w:val="28"/>
        </w:rPr>
      </w:pPr>
      <w:r w:rsidRPr="000D4FA1">
        <w:rPr>
          <w:sz w:val="28"/>
          <w:szCs w:val="28"/>
        </w:rPr>
        <w:t>- о</w:t>
      </w:r>
      <w:r w:rsidR="00D144D6" w:rsidRPr="000D4FA1">
        <w:rPr>
          <w:sz w:val="28"/>
          <w:szCs w:val="28"/>
        </w:rPr>
        <w:t>бщий рост численности студентов указывает на системное укрепление сегмента ТиПО в рамках государственной политики развития прикладного образования.</w:t>
      </w:r>
    </w:p>
    <w:p w:rsidR="00D144D6" w:rsidRPr="000D4FA1" w:rsidRDefault="00D144D6" w:rsidP="00D144D6">
      <w:pPr>
        <w:pStyle w:val="a4"/>
        <w:spacing w:before="0" w:beforeAutospacing="0" w:after="0" w:afterAutospacing="0"/>
        <w:ind w:firstLine="720"/>
        <w:jc w:val="both"/>
        <w:rPr>
          <w:sz w:val="28"/>
          <w:szCs w:val="28"/>
        </w:rPr>
      </w:pPr>
      <w:r w:rsidRPr="000D4FA1">
        <w:rPr>
          <w:noProof/>
        </w:rPr>
        <w:drawing>
          <wp:anchor distT="0" distB="0" distL="114300" distR="114300" simplePos="0" relativeHeight="251648000" behindDoc="1" locked="0" layoutInCell="1" allowOverlap="1">
            <wp:simplePos x="0" y="0"/>
            <wp:positionH relativeFrom="margin">
              <wp:posOffset>-3810</wp:posOffset>
            </wp:positionH>
            <wp:positionV relativeFrom="paragraph">
              <wp:posOffset>1598930</wp:posOffset>
            </wp:positionV>
            <wp:extent cx="5781675" cy="3457575"/>
            <wp:effectExtent l="0" t="0" r="0" b="0"/>
            <wp:wrapTight wrapText="bothSides">
              <wp:wrapPolygon edited="0">
                <wp:start x="0" y="0"/>
                <wp:lineTo x="0" y="21540"/>
                <wp:lineTo x="21564" y="21540"/>
                <wp:lineTo x="21564" y="0"/>
                <wp:lineTo x="0" y="0"/>
              </wp:wrapPolygon>
            </wp:wrapTight>
            <wp:docPr id="2014563217"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218ED6A-FB69-8CE2-9C22-5C95E2CF5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Pr="000D4FA1">
        <w:rPr>
          <w:sz w:val="28"/>
          <w:szCs w:val="28"/>
        </w:rPr>
        <w:t>Таким образом, региональная структура распределения студентов ТиПО отражает как социально</w:t>
      </w:r>
      <w:r w:rsidR="007B767F" w:rsidRPr="000D4FA1">
        <w:rPr>
          <w:sz w:val="28"/>
          <w:szCs w:val="28"/>
        </w:rPr>
        <w:t>–</w:t>
      </w:r>
      <w:r w:rsidRPr="000D4FA1">
        <w:rPr>
          <w:sz w:val="28"/>
          <w:szCs w:val="28"/>
        </w:rPr>
        <w:t>демографические характеристики территорий, так и уровень экономического развития, наличие рабочих мест, масштабы урбанизации и эффективность кадровой политики. Результаты анализа подчёркивают необходимость дифференцированного управления сетью колледжей, усиления привлекательности северных регионов и дальнейшего развития образовательной инфраструктуры в городах</w:t>
      </w:r>
      <w:r w:rsidR="007B767F" w:rsidRPr="000D4FA1">
        <w:rPr>
          <w:sz w:val="28"/>
          <w:szCs w:val="28"/>
        </w:rPr>
        <w:t>–</w:t>
      </w:r>
      <w:r w:rsidRPr="000D4FA1">
        <w:rPr>
          <w:sz w:val="28"/>
          <w:szCs w:val="28"/>
        </w:rPr>
        <w:t>лидерах.</w:t>
      </w:r>
    </w:p>
    <w:p w:rsidR="00100F49" w:rsidRPr="000D4FA1" w:rsidRDefault="00100F49"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Рисунок </w:t>
      </w:r>
      <w:r w:rsidR="00B80F8B" w:rsidRPr="000D4FA1">
        <w:rPr>
          <w:sz w:val="28"/>
          <w:szCs w:val="28"/>
        </w:rPr>
        <w:t>1</w:t>
      </w:r>
      <w:r w:rsidR="00A00396">
        <w:rPr>
          <w:sz w:val="28"/>
          <w:szCs w:val="28"/>
        </w:rPr>
        <w:t>4</w:t>
      </w:r>
      <w:r w:rsidR="00C6407E" w:rsidRPr="000D4FA1">
        <w:rPr>
          <w:sz w:val="28"/>
          <w:szCs w:val="28"/>
        </w:rPr>
        <w:t xml:space="preserve"> –</w:t>
      </w:r>
      <w:r w:rsidRPr="000D4FA1">
        <w:rPr>
          <w:sz w:val="28"/>
          <w:szCs w:val="28"/>
        </w:rPr>
        <w:t xml:space="preserve"> Динамика численности преподавателей в организациях технического и профессионального образования Республики Казахстан (2000–2024 гг.)</w:t>
      </w:r>
    </w:p>
    <w:p w:rsidR="00C6407E" w:rsidRPr="000D4FA1" w:rsidRDefault="00C6407E" w:rsidP="00C6407E">
      <w:pPr>
        <w:pStyle w:val="a4"/>
        <w:spacing w:before="0" w:beforeAutospacing="0" w:after="0" w:afterAutospacing="0"/>
        <w:ind w:firstLine="720"/>
        <w:jc w:val="both"/>
      </w:pPr>
      <w:r w:rsidRPr="000D4FA1">
        <w:t>Примечание – составлено автором на основе исследования</w:t>
      </w:r>
    </w:p>
    <w:p w:rsidR="00D144D6" w:rsidRPr="000D4FA1" w:rsidRDefault="00D144D6"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Проведённый анализ численности преподавателей в системе технического и профессионального образования (ТиПО) за период 2000–2024 гг. демонстрирует устойчивую, но циклическую динамику, отражающую </w:t>
      </w:r>
      <w:r w:rsidRPr="000D4FA1">
        <w:rPr>
          <w:sz w:val="28"/>
          <w:szCs w:val="28"/>
        </w:rPr>
        <w:lastRenderedPageBreak/>
        <w:t>влияние структурных реформ, демографических тенденций и изменений в образовательной политике. В 2000–2007 гг. наблюдается интенсивный рост преподавательского состава</w:t>
      </w:r>
      <w:r w:rsidR="00C246C2" w:rsidRPr="000D4FA1">
        <w:rPr>
          <w:sz w:val="28"/>
          <w:szCs w:val="28"/>
          <w:lang w:val="kk-KZ"/>
        </w:rPr>
        <w:t xml:space="preserve"> </w:t>
      </w:r>
      <w:r w:rsidR="007B767F" w:rsidRPr="000D4FA1">
        <w:rPr>
          <w:sz w:val="28"/>
          <w:szCs w:val="28"/>
          <w:lang w:val="kk-KZ"/>
        </w:rPr>
        <w:t>–</w:t>
      </w:r>
      <w:r w:rsidR="00C246C2" w:rsidRPr="000D4FA1">
        <w:rPr>
          <w:sz w:val="28"/>
          <w:szCs w:val="28"/>
          <w:lang w:val="kk-KZ"/>
        </w:rPr>
        <w:t xml:space="preserve"> </w:t>
      </w:r>
      <w:r w:rsidRPr="000D4FA1">
        <w:rPr>
          <w:sz w:val="28"/>
          <w:szCs w:val="28"/>
        </w:rPr>
        <w:t>с 11 тыс. до почти 30 тыс. человек, что связано с масштабным расширением сети колледжей, увеличением контингента обучающихся и реформированием образовательных стандартов. Пик численности ППС зафиксирован в 2008–2010 гг. на уровне около 29–30 тыс. сотрудников, что обусловлено повышенным спросом на рабочие кадры в условиях экономического роста.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После 2011 года начинается умеренное снижение численности преподавателей, совпадающее с оптимизацией сети ТиПО, сокращением малокомплектных колледжей и переходом к компетентностным образовательным моделям, требующим изменений в кадровой структуре. С 2015 по 2021 годы численность стабилизируется на уровне 26–28 тыс. человек, демонстрируя адаптацию системы к новым нормативным требованиям и увеличению нагрузки на действующих педагогов. С 2022 года наблюдается восстановительный рост, достигающий 27,5 тыс. человек к 2024 году, что отражает усилия государства по модернизации ТиПО, увеличению финансирования, развитию симуляционных центров и цифровых образовательных технологий.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Высокое значение коэффициента детерминации модели (R² = 0.9212) подтверждает высокую объясняющую способность выбранного трендового полинома и достоверность выявленных закономерностей. Прогнозная кривая (красная линия) указывает на дальнейшую стабилизацию численности ППС с умеренной тенденцией к росту, что соответствует стратегическим целям по повышению качества кадрового состава, внедрению новых квалификационных уровней и укреплению человеческого потенциала организаций ТиПО.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целом динамика подтверждает, что кадровая устойчивость в системе ТиПО является результатом сбалансированных управленческих решений, состояния рынка труда, демографической ситуации и реформ в сфере образования.</w:t>
      </w:r>
    </w:p>
    <w:p w:rsidR="0087121B" w:rsidRPr="000D4FA1" w:rsidRDefault="0087121B" w:rsidP="0087121B">
      <w:pPr>
        <w:pStyle w:val="a4"/>
        <w:spacing w:before="0" w:beforeAutospacing="0" w:after="0" w:afterAutospacing="0"/>
        <w:ind w:firstLine="720"/>
        <w:jc w:val="both"/>
        <w:rPr>
          <w:sz w:val="28"/>
          <w:szCs w:val="28"/>
        </w:rPr>
      </w:pPr>
      <w:r w:rsidRPr="000D4FA1">
        <w:rPr>
          <w:sz w:val="28"/>
          <w:szCs w:val="28"/>
        </w:rPr>
        <w:t>Представленная динамика приёма обучающихся в систему технического и профессионального образования (ТиПО) за период 2000–2024 гг. демонстрирует циклическое развитие, отражающее адаптацию рынка образовательных услуг к макроэкономическим условиям, демографическим изменениям и реформам в сфере образования.</w:t>
      </w:r>
    </w:p>
    <w:p w:rsidR="0087121B" w:rsidRPr="000D4FA1" w:rsidRDefault="0087121B" w:rsidP="00D144D6">
      <w:pPr>
        <w:pStyle w:val="a4"/>
        <w:spacing w:before="0" w:beforeAutospacing="0" w:after="0" w:afterAutospacing="0"/>
        <w:ind w:firstLine="720"/>
        <w:jc w:val="both"/>
        <w:rPr>
          <w:sz w:val="28"/>
          <w:szCs w:val="28"/>
        </w:rPr>
      </w:pPr>
    </w:p>
    <w:p w:rsidR="0087121B" w:rsidRPr="000D4FA1" w:rsidRDefault="0087121B" w:rsidP="00D144D6">
      <w:pPr>
        <w:pStyle w:val="a4"/>
        <w:spacing w:before="0" w:beforeAutospacing="0" w:after="0" w:afterAutospacing="0"/>
        <w:ind w:firstLine="720"/>
        <w:jc w:val="both"/>
        <w:rPr>
          <w:sz w:val="28"/>
          <w:szCs w:val="28"/>
        </w:rPr>
      </w:pPr>
      <w:r w:rsidRPr="000D4FA1">
        <w:rPr>
          <w:noProof/>
        </w:rPr>
        <w:lastRenderedPageBreak/>
        <w:drawing>
          <wp:anchor distT="0" distB="0" distL="114300" distR="114300" simplePos="0" relativeHeight="251649024" behindDoc="1" locked="0" layoutInCell="1" allowOverlap="1">
            <wp:simplePos x="0" y="0"/>
            <wp:positionH relativeFrom="margin">
              <wp:posOffset>55880</wp:posOffset>
            </wp:positionH>
            <wp:positionV relativeFrom="paragraph">
              <wp:posOffset>-86360</wp:posOffset>
            </wp:positionV>
            <wp:extent cx="5940425" cy="2901315"/>
            <wp:effectExtent l="0" t="0" r="3175" b="13335"/>
            <wp:wrapTight wrapText="bothSides">
              <wp:wrapPolygon edited="0">
                <wp:start x="0" y="0"/>
                <wp:lineTo x="0" y="21557"/>
                <wp:lineTo x="21542" y="21557"/>
                <wp:lineTo x="21542" y="0"/>
                <wp:lineTo x="0" y="0"/>
              </wp:wrapPolygon>
            </wp:wrapTight>
            <wp:docPr id="1842272602"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7B89B5D-1E56-500B-6CE0-6804129E8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D144D6" w:rsidRPr="000D4FA1" w:rsidRDefault="00D144D6" w:rsidP="0087121B">
      <w:pPr>
        <w:pStyle w:val="a4"/>
        <w:spacing w:before="0" w:beforeAutospacing="0" w:after="0" w:afterAutospacing="0"/>
        <w:ind w:firstLine="720"/>
        <w:jc w:val="center"/>
        <w:rPr>
          <w:sz w:val="28"/>
          <w:szCs w:val="28"/>
        </w:rPr>
      </w:pPr>
      <w:r w:rsidRPr="000D4FA1">
        <w:rPr>
          <w:sz w:val="28"/>
          <w:szCs w:val="28"/>
        </w:rPr>
        <w:t xml:space="preserve">Рисунок </w:t>
      </w:r>
      <w:r w:rsidR="00B80F8B" w:rsidRPr="000D4FA1">
        <w:rPr>
          <w:sz w:val="28"/>
          <w:szCs w:val="28"/>
        </w:rPr>
        <w:t>1</w:t>
      </w:r>
      <w:r w:rsidR="00A00396">
        <w:rPr>
          <w:sz w:val="28"/>
          <w:szCs w:val="28"/>
        </w:rPr>
        <w:t>5</w:t>
      </w:r>
      <w:r w:rsidR="00CF4ED3" w:rsidRPr="000D4FA1">
        <w:rPr>
          <w:sz w:val="28"/>
          <w:szCs w:val="28"/>
        </w:rPr>
        <w:t xml:space="preserve"> –</w:t>
      </w:r>
      <w:r w:rsidRPr="000D4FA1">
        <w:rPr>
          <w:sz w:val="28"/>
          <w:szCs w:val="28"/>
        </w:rPr>
        <w:t xml:space="preserve"> Динамика приёма обучающихся в организации технического и профессионального образования Республики Казахстан (2000–2024 гг.)</w:t>
      </w:r>
    </w:p>
    <w:p w:rsidR="00CF4ED3" w:rsidRPr="000D4FA1" w:rsidRDefault="00CF4ED3" w:rsidP="00CF4ED3">
      <w:pPr>
        <w:pStyle w:val="a4"/>
        <w:spacing w:before="0" w:beforeAutospacing="0" w:after="0" w:afterAutospacing="0"/>
        <w:ind w:firstLine="720"/>
        <w:jc w:val="both"/>
      </w:pPr>
      <w:r w:rsidRPr="000D4FA1">
        <w:t>Примечание – составлено автором на основе исследования</w:t>
      </w:r>
    </w:p>
    <w:p w:rsidR="0087121B" w:rsidRPr="000D4FA1" w:rsidRDefault="0087121B" w:rsidP="00D144D6">
      <w:pPr>
        <w:pStyle w:val="a4"/>
        <w:spacing w:before="0" w:beforeAutospacing="0" w:after="0" w:afterAutospacing="0"/>
        <w:ind w:firstLine="720"/>
        <w:jc w:val="both"/>
        <w:rPr>
          <w:sz w:val="28"/>
          <w:szCs w:val="28"/>
        </w:rPr>
      </w:pP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первой половине анализа (2000–2007 гг.) прослеживается устойчивый рост приёма</w:t>
      </w:r>
      <w:r w:rsidR="00C246C2" w:rsidRPr="000D4FA1">
        <w:rPr>
          <w:sz w:val="28"/>
          <w:szCs w:val="28"/>
          <w:lang w:val="kk-KZ"/>
        </w:rPr>
        <w:t xml:space="preserve"> </w:t>
      </w:r>
      <w:r w:rsidR="007B767F" w:rsidRPr="000D4FA1">
        <w:rPr>
          <w:sz w:val="28"/>
          <w:szCs w:val="28"/>
          <w:lang w:val="kk-KZ"/>
        </w:rPr>
        <w:t>–</w:t>
      </w:r>
      <w:r w:rsidR="00C246C2" w:rsidRPr="000D4FA1">
        <w:rPr>
          <w:sz w:val="28"/>
          <w:szCs w:val="28"/>
          <w:lang w:val="kk-KZ"/>
        </w:rPr>
        <w:t xml:space="preserve"> </w:t>
      </w:r>
      <w:r w:rsidRPr="000D4FA1">
        <w:rPr>
          <w:sz w:val="28"/>
          <w:szCs w:val="28"/>
        </w:rPr>
        <w:t>с 75 тыс. до порядка 215 тыс. человек, что объясняется демографическим подъёмом начала 2000</w:t>
      </w:r>
      <w:r w:rsidR="007B767F" w:rsidRPr="000D4FA1">
        <w:rPr>
          <w:sz w:val="28"/>
          <w:szCs w:val="28"/>
        </w:rPr>
        <w:t>–</w:t>
      </w:r>
      <w:r w:rsidRPr="000D4FA1">
        <w:rPr>
          <w:sz w:val="28"/>
          <w:szCs w:val="28"/>
        </w:rPr>
        <w:t xml:space="preserve">х годов и расширением сети колледжей. Пик приёма наблюдается в период 2008–2011 гг., когда число поступивших стабильно превышало 200 тыс. человек, что связано с активной модернизацией ТиПО и ростом спроса на рабочие профессии в промышленности и строительстве.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После 2012 года начинается спад, обусловленный снижением численности выпускников школ, сокращением государственных грантов и реформированием образовательных программ. Минимальные значения приходятся на 2017–2019 гг. (160–170 тыс. человек), что отражает ослабление демографической базы и переход колледжей на новую модель финансирования.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Однако после пандемийного периода приём вновь возрастает и к 2024 году достигает 245 тыс. человек, что свидетельствует о восстановлении рынка труда, росте привлекательности рабочих специальностей и мерах государства по расширению бесплатного технического образования. Высокое значение коэффициента детерминации (R² = 0.8691) показывает, что выбранная полиномиальная модель хорошо описывает долгосрочный тренд. </w:t>
      </w:r>
    </w:p>
    <w:p w:rsidR="00D144D6" w:rsidRPr="000D4FA1" w:rsidRDefault="00D144D6" w:rsidP="00D144D6">
      <w:pPr>
        <w:pStyle w:val="a4"/>
        <w:spacing w:before="0" w:beforeAutospacing="0" w:after="0" w:afterAutospacing="0"/>
        <w:ind w:firstLine="720"/>
        <w:jc w:val="both"/>
        <w:rPr>
          <w:sz w:val="28"/>
          <w:szCs w:val="28"/>
        </w:rPr>
      </w:pPr>
      <w:r w:rsidRPr="000D4FA1">
        <w:rPr>
          <w:noProof/>
        </w:rPr>
        <w:lastRenderedPageBreak/>
        <w:drawing>
          <wp:anchor distT="0" distB="0" distL="114300" distR="114300" simplePos="0" relativeHeight="251650048" behindDoc="1" locked="0" layoutInCell="1" allowOverlap="1">
            <wp:simplePos x="0" y="0"/>
            <wp:positionH relativeFrom="margin">
              <wp:align>right</wp:align>
            </wp:positionH>
            <wp:positionV relativeFrom="paragraph">
              <wp:posOffset>895985</wp:posOffset>
            </wp:positionV>
            <wp:extent cx="5936615" cy="2779395"/>
            <wp:effectExtent l="0" t="0" r="6985" b="1905"/>
            <wp:wrapTight wrapText="bothSides">
              <wp:wrapPolygon edited="0">
                <wp:start x="0" y="0"/>
                <wp:lineTo x="0" y="21467"/>
                <wp:lineTo x="21556" y="21467"/>
                <wp:lineTo x="21556" y="0"/>
                <wp:lineTo x="0" y="0"/>
              </wp:wrapPolygon>
            </wp:wrapTight>
            <wp:docPr id="651895500"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CD0ACC1-E412-90DA-2C1D-A8B614099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Pr="000D4FA1">
        <w:rPr>
          <w:sz w:val="28"/>
          <w:szCs w:val="28"/>
        </w:rPr>
        <w:t>В целом график подтверждает, что система ТиПО реагирует на социально</w:t>
      </w:r>
      <w:r w:rsidR="007B767F" w:rsidRPr="000D4FA1">
        <w:rPr>
          <w:sz w:val="28"/>
          <w:szCs w:val="28"/>
        </w:rPr>
        <w:t>–</w:t>
      </w:r>
      <w:r w:rsidRPr="000D4FA1">
        <w:rPr>
          <w:sz w:val="28"/>
          <w:szCs w:val="28"/>
        </w:rPr>
        <w:t>экономические изменения и играет ключевую роль в формировании кадрового потенциала страны, демонстрируя тенденцию к дальнейшему росту приёма в посткризисный период.</w:t>
      </w:r>
    </w:p>
    <w:p w:rsidR="00D144D6" w:rsidRPr="000D4FA1" w:rsidRDefault="00D144D6" w:rsidP="001875B2">
      <w:pPr>
        <w:pStyle w:val="a4"/>
        <w:spacing w:before="0" w:beforeAutospacing="0" w:after="0" w:afterAutospacing="0"/>
        <w:ind w:firstLine="720"/>
        <w:jc w:val="center"/>
        <w:rPr>
          <w:sz w:val="28"/>
          <w:szCs w:val="28"/>
        </w:rPr>
      </w:pPr>
      <w:r w:rsidRPr="000D4FA1">
        <w:rPr>
          <w:sz w:val="28"/>
          <w:szCs w:val="28"/>
        </w:rPr>
        <w:t xml:space="preserve">Рисунок </w:t>
      </w:r>
      <w:r w:rsidR="00B80F8B" w:rsidRPr="000D4FA1">
        <w:rPr>
          <w:sz w:val="28"/>
          <w:szCs w:val="28"/>
        </w:rPr>
        <w:t>1</w:t>
      </w:r>
      <w:r w:rsidR="00A00396">
        <w:rPr>
          <w:sz w:val="28"/>
          <w:szCs w:val="28"/>
        </w:rPr>
        <w:t>6</w:t>
      </w:r>
      <w:r w:rsidR="00CF4ED3" w:rsidRPr="000D4FA1">
        <w:rPr>
          <w:sz w:val="28"/>
          <w:szCs w:val="28"/>
        </w:rPr>
        <w:t xml:space="preserve"> –</w:t>
      </w:r>
      <w:r w:rsidRPr="000D4FA1">
        <w:rPr>
          <w:sz w:val="28"/>
          <w:szCs w:val="28"/>
        </w:rPr>
        <w:t xml:space="preserve"> Доля студентов первого курса в общей численности обучающихся в организациях технического и профессионального образования Республики Казахстан (2000–2024 гг.)</w:t>
      </w:r>
    </w:p>
    <w:p w:rsidR="00CF4ED3" w:rsidRPr="000D4FA1" w:rsidRDefault="00CF4ED3" w:rsidP="00CF4ED3">
      <w:pPr>
        <w:pStyle w:val="a4"/>
        <w:spacing w:before="0" w:beforeAutospacing="0" w:after="0" w:afterAutospacing="0"/>
        <w:ind w:firstLine="720"/>
        <w:jc w:val="both"/>
      </w:pPr>
      <w:r w:rsidRPr="000D4FA1">
        <w:t>Примечание – составлено автором на основе исследования</w:t>
      </w:r>
    </w:p>
    <w:p w:rsidR="007F3605" w:rsidRPr="000D4FA1" w:rsidRDefault="007F3605" w:rsidP="00C246C2">
      <w:pPr>
        <w:pStyle w:val="a4"/>
        <w:spacing w:before="0" w:beforeAutospacing="0" w:after="0" w:afterAutospacing="0"/>
        <w:ind w:firstLine="708"/>
        <w:jc w:val="both"/>
        <w:rPr>
          <w:sz w:val="28"/>
          <w:szCs w:val="28"/>
        </w:rPr>
      </w:pPr>
    </w:p>
    <w:p w:rsidR="00D144D6" w:rsidRPr="000D4FA1" w:rsidRDefault="00D144D6" w:rsidP="00C246C2">
      <w:pPr>
        <w:pStyle w:val="a4"/>
        <w:spacing w:before="0" w:beforeAutospacing="0" w:after="0" w:afterAutospacing="0"/>
        <w:ind w:firstLine="708"/>
        <w:jc w:val="both"/>
        <w:rPr>
          <w:sz w:val="28"/>
          <w:szCs w:val="28"/>
        </w:rPr>
      </w:pPr>
      <w:r w:rsidRPr="000D4FA1">
        <w:rPr>
          <w:sz w:val="28"/>
          <w:szCs w:val="28"/>
        </w:rPr>
        <w:t>Данные за 2000–2024 годы показывают выраженные колебательные тенденции доли студентов 1 курса в общей численности обучающихся организаций ТиПО. В начале периода (2000–2004 гг.) наблюдается высокий уровень показателя</w:t>
      </w:r>
      <w:r w:rsidR="007F3605" w:rsidRPr="000D4FA1">
        <w:rPr>
          <w:sz w:val="28"/>
          <w:szCs w:val="28"/>
          <w:lang w:val="kk-KZ"/>
        </w:rPr>
        <w:t xml:space="preserve"> </w:t>
      </w:r>
      <w:r w:rsidR="007B767F" w:rsidRPr="000D4FA1">
        <w:rPr>
          <w:sz w:val="28"/>
          <w:szCs w:val="28"/>
          <w:lang w:val="kk-KZ"/>
        </w:rPr>
        <w:t>–</w:t>
      </w:r>
      <w:r w:rsidR="007F3605" w:rsidRPr="000D4FA1">
        <w:rPr>
          <w:sz w:val="28"/>
          <w:szCs w:val="28"/>
          <w:lang w:val="kk-KZ"/>
        </w:rPr>
        <w:t xml:space="preserve"> </w:t>
      </w:r>
      <w:r w:rsidR="007F3605" w:rsidRPr="000D4FA1">
        <w:rPr>
          <w:sz w:val="28"/>
          <w:szCs w:val="28"/>
        </w:rPr>
        <w:t>от 44–46</w:t>
      </w:r>
      <w:r w:rsidRPr="000D4FA1">
        <w:rPr>
          <w:sz w:val="28"/>
          <w:szCs w:val="28"/>
        </w:rPr>
        <w:t xml:space="preserve">% до пика в 49,07% в 2004 году. Этот период характеризуется значительным обновлением контингента, расширением сети колледжей и повышенным спросом на </w:t>
      </w:r>
      <w:r w:rsidR="001C1975" w:rsidRPr="000D4FA1">
        <w:rPr>
          <w:sz w:val="28"/>
          <w:szCs w:val="28"/>
          <w:lang w:val="kk-KZ"/>
        </w:rPr>
        <w:t xml:space="preserve">техническое и </w:t>
      </w:r>
      <w:r w:rsidRPr="000D4FA1">
        <w:rPr>
          <w:sz w:val="28"/>
          <w:szCs w:val="28"/>
        </w:rPr>
        <w:t>профессиональное образование.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После 2004 года доля первокурсников резко снижается</w:t>
      </w:r>
      <w:r w:rsidR="007F3605" w:rsidRPr="000D4FA1">
        <w:rPr>
          <w:sz w:val="28"/>
          <w:szCs w:val="28"/>
          <w:lang w:val="kk-KZ"/>
        </w:rPr>
        <w:t xml:space="preserve"> </w:t>
      </w:r>
      <w:r w:rsidR="007B767F" w:rsidRPr="000D4FA1">
        <w:rPr>
          <w:sz w:val="28"/>
          <w:szCs w:val="28"/>
          <w:lang w:val="kk-KZ"/>
        </w:rPr>
        <w:t>–</w:t>
      </w:r>
      <w:r w:rsidR="007F3605" w:rsidRPr="000D4FA1">
        <w:rPr>
          <w:sz w:val="28"/>
          <w:szCs w:val="28"/>
          <w:lang w:val="kk-KZ"/>
        </w:rPr>
        <w:t xml:space="preserve"> </w:t>
      </w:r>
      <w:r w:rsidRPr="000D4FA1">
        <w:rPr>
          <w:sz w:val="28"/>
          <w:szCs w:val="28"/>
        </w:rPr>
        <w:t>с 49,07% до 39,89% в 2005 году, что может быть связано с изменением правил приема, переходом к двухуровневым программам и снижением доступности некоторых специальностей. В 2006–2007 гг. показатель стабилизируется в коридоре 38–40%, но затем вновь падает до минимал</w:t>
      </w:r>
      <w:r w:rsidR="007F3605" w:rsidRPr="000D4FA1">
        <w:rPr>
          <w:sz w:val="28"/>
          <w:szCs w:val="28"/>
        </w:rPr>
        <w:t>ьных значений в диапазоне 34–35</w:t>
      </w:r>
      <w:r w:rsidRPr="000D4FA1">
        <w:rPr>
          <w:sz w:val="28"/>
          <w:szCs w:val="28"/>
        </w:rPr>
        <w:t>% (2008–2012 гг.).</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 период 2013–2017 гг. доля первокурсников закрепляется на уровне 32,5–34,5%, что отражает снижение притока новых студентов на фоне демографической ямы, уменьшения выпускников школ и усиления конкуренции со стороны вузов.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Минимальное значение за весь период фиксируется в 2019 году</w:t>
      </w:r>
      <w:r w:rsidR="007F3605" w:rsidRPr="000D4FA1">
        <w:rPr>
          <w:sz w:val="28"/>
          <w:szCs w:val="28"/>
          <w:lang w:val="kk-KZ"/>
        </w:rPr>
        <w:t xml:space="preserve"> </w:t>
      </w:r>
      <w:r w:rsidR="007B767F" w:rsidRPr="000D4FA1">
        <w:rPr>
          <w:sz w:val="28"/>
          <w:szCs w:val="28"/>
          <w:lang w:val="kk-KZ"/>
        </w:rPr>
        <w:t>–</w:t>
      </w:r>
      <w:r w:rsidR="007F3605" w:rsidRPr="000D4FA1">
        <w:rPr>
          <w:sz w:val="28"/>
          <w:szCs w:val="28"/>
          <w:lang w:val="kk-KZ"/>
        </w:rPr>
        <w:t xml:space="preserve"> </w:t>
      </w:r>
      <w:r w:rsidR="007F3605" w:rsidRPr="000D4FA1">
        <w:rPr>
          <w:sz w:val="28"/>
          <w:szCs w:val="28"/>
        </w:rPr>
        <w:t>32,21</w:t>
      </w:r>
      <w:r w:rsidRPr="000D4FA1">
        <w:rPr>
          <w:sz w:val="28"/>
          <w:szCs w:val="28"/>
        </w:rPr>
        <w:t>%, что соответствует периоду перехода на обновленные стандарты образования и изменения структуры программ ТиПО.</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С 2020 года наблюдается постепенное восстановление: доля студентов 1 курса возрастает до 37,11% в 2022 году, что отражает рост спроса на </w:t>
      </w:r>
      <w:r w:rsidRPr="000D4FA1">
        <w:rPr>
          <w:sz w:val="28"/>
          <w:szCs w:val="28"/>
        </w:rPr>
        <w:lastRenderedPageBreak/>
        <w:t>прикладные профессии и активное развитие дуального обучения. Однако в 2023–2024 гг. показатель вновь умеренно снижается до 34,95%, указывая на стабилизацию набора и баланс между выпуском и приемом обучающихся.</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 xml:space="preserve">Динамика доли первокурсников в системе ТиПО характеризуется циклическими колебаниями, отражающими демографические факторы, реформы приемной кампании, изменения в структуре образовательных программ и колебания спроса на рабочие профессии. </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Современная тенденция указывает на стабилизацию показателя на уровне 34–36%, что соответствует устойчивому, но умеренному притоку студентов в колледжи. Такая динамика является важным индикатором для планирования кадровой политики, распределения государственного заказа и оценки устойчивости образовательных организаций.</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Анализ влияния макроэкономических факторов на устойчивость организаций технического и профессионального образования (ТиПО) показывает, что развитие человеческого потенциала колледжей формируется в тесной связи с внешними социально</w:t>
      </w:r>
      <w:r w:rsidR="007B767F" w:rsidRPr="000D4FA1">
        <w:rPr>
          <w:sz w:val="28"/>
          <w:szCs w:val="28"/>
        </w:rPr>
        <w:t>–</w:t>
      </w:r>
      <w:r w:rsidRPr="000D4FA1">
        <w:rPr>
          <w:sz w:val="28"/>
          <w:szCs w:val="28"/>
        </w:rPr>
        <w:t>экономическими условиями. Динамика контингента студентов, численности преподавателей и объемов приёма в системе ТиПО демонстрирует цикличность, совпадающую с демографическими волнами, изменениями государственного финансирования, реформами в сфере образования и колебаниями потребности рынка труда в кадрах среднего звена.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Долгосрочные ряды данных (2000–2024 гг.) подтверждают:</w:t>
      </w:r>
    </w:p>
    <w:p w:rsidR="00D144D6" w:rsidRPr="000D4FA1" w:rsidRDefault="00CF4ED3" w:rsidP="00CF4ED3">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контингент ТиПО чувствителен к демографическим факторам (молодёжная численность, миграция);</w:t>
      </w:r>
    </w:p>
    <w:p w:rsidR="00D144D6" w:rsidRPr="000D4FA1" w:rsidRDefault="00CF4ED3" w:rsidP="00CF4ED3">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объёмы приёма и доля первокурсников изменяются вслед за реформами в системе образования и корректировкой государственного заказа;</w:t>
      </w:r>
    </w:p>
    <w:p w:rsidR="00D144D6" w:rsidRPr="000D4FA1" w:rsidRDefault="00CF4ED3" w:rsidP="00CF4ED3">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кадровый потенциал (численность преподавателей) реагирует на модернизацию инфраструктуры, внедрение новых стандартов и цифровизацию;</w:t>
      </w:r>
    </w:p>
    <w:p w:rsidR="00D144D6" w:rsidRPr="000D4FA1" w:rsidRDefault="00CF4ED3" w:rsidP="00CF4ED3">
      <w:pPr>
        <w:pStyle w:val="a4"/>
        <w:spacing w:before="0" w:beforeAutospacing="0" w:after="0" w:afterAutospacing="0"/>
        <w:ind w:firstLine="720"/>
        <w:jc w:val="both"/>
        <w:rPr>
          <w:sz w:val="28"/>
          <w:szCs w:val="28"/>
        </w:rPr>
      </w:pPr>
      <w:r w:rsidRPr="000D4FA1">
        <w:rPr>
          <w:sz w:val="28"/>
          <w:szCs w:val="28"/>
        </w:rPr>
        <w:t xml:space="preserve">– </w:t>
      </w:r>
      <w:r w:rsidR="00D144D6" w:rsidRPr="000D4FA1">
        <w:rPr>
          <w:sz w:val="28"/>
          <w:szCs w:val="28"/>
        </w:rPr>
        <w:t xml:space="preserve">региональная структура студентов отражает экономическую специализацию </w:t>
      </w:r>
      <w:r w:rsidR="007F3605" w:rsidRPr="000D4FA1">
        <w:rPr>
          <w:sz w:val="28"/>
          <w:szCs w:val="28"/>
          <w:lang w:val="kk-KZ"/>
        </w:rPr>
        <w:t>регионов</w:t>
      </w:r>
      <w:r w:rsidR="00D144D6" w:rsidRPr="000D4FA1">
        <w:rPr>
          <w:sz w:val="28"/>
          <w:szCs w:val="28"/>
        </w:rPr>
        <w:t>, уровень урбанизации и состояние региональных рынков труда.</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С 2020 года наблюдается новый рост основных показателей ТиПО</w:t>
      </w:r>
      <w:r w:rsidR="00FA4478" w:rsidRPr="000D4FA1">
        <w:rPr>
          <w:sz w:val="28"/>
          <w:szCs w:val="28"/>
          <w:lang w:val="kk-KZ"/>
        </w:rPr>
        <w:t xml:space="preserve"> </w:t>
      </w:r>
      <w:r w:rsidR="007B767F" w:rsidRPr="000D4FA1">
        <w:rPr>
          <w:sz w:val="28"/>
          <w:szCs w:val="28"/>
          <w:lang w:val="kk-KZ"/>
        </w:rPr>
        <w:t>–</w:t>
      </w:r>
      <w:r w:rsidR="00FA4478" w:rsidRPr="000D4FA1">
        <w:rPr>
          <w:sz w:val="28"/>
          <w:szCs w:val="28"/>
          <w:lang w:val="kk-KZ"/>
        </w:rPr>
        <w:t xml:space="preserve"> </w:t>
      </w:r>
      <w:r w:rsidRPr="000D4FA1">
        <w:rPr>
          <w:sz w:val="28"/>
          <w:szCs w:val="28"/>
        </w:rPr>
        <w:t>приёма, контингента и кадрового состава. Это связано с усилением государственного финансирования, модернизацией материальной базы, развитием дуального обучения и увеличением спроса на специалистов среднего звена в медицине, промышленности и сервисном секторе.</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t>Выявленные макроэкономические тренды подтверждают, что устойчивость образовательной организации зависит не только от внутренних управленческих решений, но и от способности адаптироваться к внешним изменениям</w:t>
      </w:r>
      <w:r w:rsidR="00FA4478" w:rsidRPr="000D4FA1">
        <w:rPr>
          <w:sz w:val="28"/>
          <w:szCs w:val="28"/>
          <w:lang w:val="kk-KZ"/>
        </w:rPr>
        <w:t xml:space="preserve"> </w:t>
      </w:r>
      <w:r w:rsidR="007B767F" w:rsidRPr="000D4FA1">
        <w:rPr>
          <w:sz w:val="28"/>
          <w:szCs w:val="28"/>
          <w:lang w:val="kk-KZ"/>
        </w:rPr>
        <w:t>–</w:t>
      </w:r>
      <w:r w:rsidR="00FA4478" w:rsidRPr="000D4FA1">
        <w:rPr>
          <w:sz w:val="28"/>
          <w:szCs w:val="28"/>
          <w:lang w:val="kk-KZ"/>
        </w:rPr>
        <w:t xml:space="preserve"> </w:t>
      </w:r>
      <w:r w:rsidRPr="000D4FA1">
        <w:rPr>
          <w:sz w:val="28"/>
          <w:szCs w:val="28"/>
        </w:rPr>
        <w:t>демографическим, экономическим и нормативным. Для медицинских колледжей эта зависимость особенно выражена, поскольку потребность в кадрах определяется системой здравоохранения, изменениями её финансирования, развитием клинической базы и обновлением профессиональных стандартов.</w:t>
      </w:r>
    </w:p>
    <w:p w:rsidR="00D144D6" w:rsidRPr="000D4FA1" w:rsidRDefault="00D144D6" w:rsidP="00D144D6">
      <w:pPr>
        <w:pStyle w:val="a4"/>
        <w:spacing w:before="0" w:beforeAutospacing="0" w:after="0" w:afterAutospacing="0"/>
        <w:ind w:firstLine="720"/>
        <w:jc w:val="both"/>
        <w:rPr>
          <w:sz w:val="28"/>
          <w:szCs w:val="28"/>
        </w:rPr>
      </w:pPr>
      <w:r w:rsidRPr="000D4FA1">
        <w:rPr>
          <w:sz w:val="28"/>
          <w:szCs w:val="28"/>
        </w:rPr>
        <w:lastRenderedPageBreak/>
        <w:t>Макроэкономические факторы формируют стратегические условия функционирования ТиПО. Сочетание демографических, финансовых, нормативных и трудовых влияний определяет устойчивость человеческого потенциала колледжей. Рекомендуемые меры направлены на укрепление адаптивности организации, совершенствование кадровой политики и повышение качества образовательных услуг, что обеспечивает долгосрочную устойчивость и соответствие потребностям рынка медицинских кадров.</w:t>
      </w:r>
    </w:p>
    <w:p w:rsidR="00122F7A" w:rsidRPr="000D4FA1" w:rsidRDefault="00122F7A" w:rsidP="00122F7A">
      <w:pPr>
        <w:pStyle w:val="a4"/>
        <w:spacing w:before="0" w:beforeAutospacing="0" w:after="0" w:afterAutospacing="0"/>
        <w:ind w:firstLine="720"/>
        <w:jc w:val="both"/>
        <w:rPr>
          <w:sz w:val="28"/>
          <w:szCs w:val="28"/>
        </w:rPr>
      </w:pPr>
      <w:r w:rsidRPr="000D4FA1">
        <w:rPr>
          <w:sz w:val="28"/>
          <w:szCs w:val="28"/>
        </w:rPr>
        <w:t>На первом этапе исследования использована база данных по 76 странам, включающая ключевые макроэкономические и институциональные показатели (уровень грамотности, государственные расходы на образование, ВВП на душу населения, цифровая инфраструктура и др.), что позволило выявить статистически значимые факторы формирования человеческого потенциала и устойчивости образовательных систем. Межстрановой анализ обеспечил высокую вариативность данных и позволил определить универсальные зависимости, отражающие влияние экономической среды, образовательной политики и цифровизации на развитие человеческого капитала</w:t>
      </w:r>
      <w:proofErr w:type="gramStart"/>
      <w:r w:rsidRPr="000D4FA1">
        <w:rPr>
          <w:sz w:val="28"/>
          <w:szCs w:val="28"/>
        </w:rPr>
        <w:t xml:space="preserve"> .</w:t>
      </w:r>
      <w:proofErr w:type="gramEnd"/>
    </w:p>
    <w:p w:rsidR="00122F7A" w:rsidRPr="000D4FA1" w:rsidRDefault="00122F7A" w:rsidP="00122F7A">
      <w:pPr>
        <w:pStyle w:val="a4"/>
        <w:spacing w:before="0" w:beforeAutospacing="0" w:after="0" w:afterAutospacing="0"/>
        <w:ind w:firstLine="720"/>
        <w:jc w:val="both"/>
        <w:rPr>
          <w:sz w:val="28"/>
          <w:szCs w:val="28"/>
        </w:rPr>
      </w:pPr>
      <w:r w:rsidRPr="000D4FA1">
        <w:rPr>
          <w:sz w:val="28"/>
          <w:szCs w:val="28"/>
        </w:rPr>
        <w:t>На втором этапе данные закономерности были операционализированы на уровне колледжа через систему микроэкономических показателей, отражающих кадровую структуру, уровень квалификации преподавателей, качество образовательных услуг и результаты подготовки выпускников</w:t>
      </w:r>
      <w:proofErr w:type="gramStart"/>
      <w:r w:rsidRPr="000D4FA1">
        <w:rPr>
          <w:sz w:val="28"/>
          <w:szCs w:val="28"/>
        </w:rPr>
        <w:t xml:space="preserve"> .</w:t>
      </w:r>
      <w:proofErr w:type="gramEnd"/>
      <w:r w:rsidRPr="000D4FA1">
        <w:rPr>
          <w:sz w:val="28"/>
          <w:szCs w:val="28"/>
        </w:rPr>
        <w:t xml:space="preserve"> Тем самым макроуровневые индикаторы трансформируются в управляемые параметры организации, позволяя оценить, насколько конкретное образовательное учреждение соответствует выявленным глобальным трендам.</w:t>
      </w:r>
    </w:p>
    <w:p w:rsidR="00122F7A" w:rsidRPr="000D4FA1" w:rsidRDefault="00122F7A" w:rsidP="00122F7A">
      <w:pPr>
        <w:pStyle w:val="a4"/>
        <w:spacing w:before="0" w:beforeAutospacing="0" w:after="0" w:afterAutospacing="0"/>
        <w:ind w:firstLine="720"/>
        <w:jc w:val="both"/>
        <w:rPr>
          <w:sz w:val="28"/>
          <w:szCs w:val="28"/>
        </w:rPr>
      </w:pPr>
      <w:r w:rsidRPr="000D4FA1">
        <w:rPr>
          <w:sz w:val="28"/>
          <w:szCs w:val="28"/>
        </w:rPr>
        <w:t>Таким образом, межстрановой анализ выполняет методологическую функцию обоснования выбора показателей, а анализ колледжа – функцию проверки их применимости и управленческой интерпретации. Это обеспечивает целостность исследования и позволяет рассматривать предложенную модель как интеграцию макроэкономических закономерностей и микроуровневых управленческих решений, направленных на развитие человеческого потенциала организаций ТиПО.</w:t>
      </w:r>
    </w:p>
    <w:p w:rsidR="00122F7A" w:rsidRPr="000D4FA1" w:rsidRDefault="00122F7A" w:rsidP="00D144D6">
      <w:pPr>
        <w:pStyle w:val="a4"/>
        <w:spacing w:before="0" w:beforeAutospacing="0" w:after="0" w:afterAutospacing="0"/>
        <w:ind w:firstLine="720"/>
        <w:jc w:val="both"/>
        <w:rPr>
          <w:sz w:val="28"/>
          <w:szCs w:val="28"/>
          <w:lang w:val="kk-KZ"/>
        </w:rPr>
      </w:pPr>
    </w:p>
    <w:p w:rsidR="007D184E" w:rsidRPr="000D4FA1" w:rsidRDefault="007D184E">
      <w:pPr>
        <w:spacing w:after="160" w:line="259" w:lineRule="auto"/>
        <w:rPr>
          <w:rFonts w:ascii="Times New Roman" w:eastAsia="Times New Roman" w:hAnsi="Times New Roman" w:cs="Times New Roman"/>
          <w:sz w:val="28"/>
          <w:szCs w:val="28"/>
          <w:lang w:val="ru-RU" w:eastAsia="ru-RU"/>
        </w:rPr>
      </w:pPr>
      <w:r w:rsidRPr="000D4FA1">
        <w:rPr>
          <w:rFonts w:ascii="Times New Roman" w:hAnsi="Times New Roman" w:cs="Times New Roman"/>
          <w:sz w:val="28"/>
          <w:szCs w:val="28"/>
          <w:lang w:val="ru-RU"/>
        </w:rPr>
        <w:br w:type="page"/>
      </w:r>
    </w:p>
    <w:p w:rsidR="00F136E9" w:rsidRPr="000D4FA1" w:rsidRDefault="00F136E9" w:rsidP="00F45F03">
      <w:pPr>
        <w:spacing w:after="0" w:line="240" w:lineRule="auto"/>
        <w:jc w:val="both"/>
        <w:rPr>
          <w:rFonts w:ascii="Times New Roman" w:eastAsia="Times New Roman" w:hAnsi="Times New Roman" w:cs="Times New Roman"/>
          <w:b/>
          <w:bCs/>
          <w:sz w:val="28"/>
          <w:szCs w:val="28"/>
          <w:lang w:val="ru-RU" w:eastAsia="ru-RU"/>
        </w:rPr>
      </w:pPr>
      <w:r w:rsidRPr="000D4FA1">
        <w:rPr>
          <w:rFonts w:ascii="Times New Roman" w:eastAsia="Times New Roman" w:hAnsi="Times New Roman" w:cs="Times New Roman"/>
          <w:b/>
          <w:bCs/>
          <w:sz w:val="28"/>
          <w:szCs w:val="28"/>
          <w:lang w:val="ru-RU" w:eastAsia="ru-RU"/>
        </w:rPr>
        <w:lastRenderedPageBreak/>
        <w:t>3</w:t>
      </w:r>
      <w:r w:rsidR="00100F49" w:rsidRPr="000D4FA1">
        <w:rPr>
          <w:rFonts w:ascii="Times New Roman" w:eastAsia="Times New Roman" w:hAnsi="Times New Roman" w:cs="Times New Roman"/>
          <w:b/>
          <w:bCs/>
          <w:sz w:val="28"/>
          <w:szCs w:val="28"/>
          <w:lang w:val="ru-RU" w:eastAsia="ru-RU"/>
        </w:rPr>
        <w:t xml:space="preserve"> </w:t>
      </w:r>
      <w:r w:rsidRPr="000D4FA1">
        <w:rPr>
          <w:rFonts w:ascii="Times New Roman" w:eastAsia="Times New Roman" w:hAnsi="Times New Roman" w:cs="Times New Roman"/>
          <w:b/>
          <w:bCs/>
          <w:sz w:val="28"/>
          <w:szCs w:val="28"/>
          <w:lang w:val="ru-RU" w:eastAsia="ru-RU"/>
        </w:rPr>
        <w:t>НАУЧНО</w:t>
      </w:r>
      <w:r w:rsidR="007B767F" w:rsidRPr="000D4FA1">
        <w:rPr>
          <w:rFonts w:ascii="Times New Roman" w:eastAsia="Times New Roman" w:hAnsi="Times New Roman" w:cs="Times New Roman"/>
          <w:b/>
          <w:bCs/>
          <w:sz w:val="28"/>
          <w:szCs w:val="28"/>
          <w:lang w:val="ru-RU" w:eastAsia="ru-RU"/>
        </w:rPr>
        <w:t>–</w:t>
      </w:r>
      <w:r w:rsidRPr="000D4FA1">
        <w:rPr>
          <w:rFonts w:ascii="Times New Roman" w:eastAsia="Times New Roman" w:hAnsi="Times New Roman" w:cs="Times New Roman"/>
          <w:b/>
          <w:bCs/>
          <w:sz w:val="28"/>
          <w:szCs w:val="28"/>
          <w:lang w:val="ru-RU" w:eastAsia="ru-RU"/>
        </w:rPr>
        <w:t>ПРАКТИЧЕСКИЕ РЕКОМЕНДАЦИИ ПО РАЗВИТИЮ ЧЕЛОВЕЧЕСКОГО ПОТЕНЦИАЛА В ОРГАНИЗАЦИЯХ ТиПО НА ОСНОВЕ КОЛИЧЕСТВЕННОГО АНАЛИЗА</w:t>
      </w:r>
    </w:p>
    <w:p w:rsidR="00F136E9" w:rsidRPr="000D4FA1" w:rsidRDefault="00F136E9" w:rsidP="00F136E9">
      <w:pPr>
        <w:spacing w:after="0" w:line="240" w:lineRule="auto"/>
        <w:jc w:val="both"/>
        <w:rPr>
          <w:rFonts w:ascii="Times New Roman" w:eastAsia="Times New Roman" w:hAnsi="Times New Roman" w:cs="Times New Roman"/>
          <w:b/>
          <w:sz w:val="28"/>
          <w:szCs w:val="28"/>
          <w:lang w:val="ru-RU" w:eastAsia="ru-RU"/>
        </w:rPr>
      </w:pPr>
    </w:p>
    <w:p w:rsidR="00F136E9" w:rsidRPr="000D4FA1" w:rsidRDefault="00100F49" w:rsidP="00F136E9">
      <w:pPr>
        <w:spacing w:after="0" w:line="240" w:lineRule="auto"/>
        <w:jc w:val="both"/>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3</w:t>
      </w:r>
      <w:r w:rsidR="00F136E9" w:rsidRPr="000D4FA1">
        <w:rPr>
          <w:rFonts w:ascii="Times New Roman" w:eastAsia="Times New Roman" w:hAnsi="Times New Roman" w:cs="Times New Roman"/>
          <w:b/>
          <w:sz w:val="28"/>
          <w:szCs w:val="28"/>
          <w:lang w:val="ru-RU" w:eastAsia="ru-RU"/>
        </w:rPr>
        <w:t>.1 Оценка влияния социально</w:t>
      </w:r>
      <w:r w:rsidR="007B767F" w:rsidRPr="000D4FA1">
        <w:rPr>
          <w:rFonts w:ascii="Times New Roman" w:eastAsia="Times New Roman" w:hAnsi="Times New Roman" w:cs="Times New Roman"/>
          <w:b/>
          <w:sz w:val="28"/>
          <w:szCs w:val="28"/>
          <w:lang w:val="ru-RU" w:eastAsia="ru-RU"/>
        </w:rPr>
        <w:t>–</w:t>
      </w:r>
      <w:r w:rsidR="00F136E9" w:rsidRPr="000D4FA1">
        <w:rPr>
          <w:rFonts w:ascii="Times New Roman" w:eastAsia="Times New Roman" w:hAnsi="Times New Roman" w:cs="Times New Roman"/>
          <w:b/>
          <w:sz w:val="28"/>
          <w:szCs w:val="28"/>
          <w:lang w:val="ru-RU" w:eastAsia="ru-RU"/>
        </w:rPr>
        <w:t>экономических факторов на формирование человеческого капитала</w:t>
      </w:r>
    </w:p>
    <w:p w:rsidR="00F136E9" w:rsidRPr="000D4FA1" w:rsidRDefault="00F136E9" w:rsidP="00F136E9">
      <w:pPr>
        <w:pStyle w:val="a4"/>
        <w:spacing w:before="0" w:beforeAutospacing="0" w:after="0" w:afterAutospacing="0"/>
        <w:ind w:firstLine="720"/>
        <w:jc w:val="both"/>
        <w:rPr>
          <w:sz w:val="28"/>
          <w:szCs w:val="28"/>
        </w:rPr>
      </w:pPr>
    </w:p>
    <w:p w:rsidR="00694FFF" w:rsidRPr="000D4FA1" w:rsidRDefault="00694FFF" w:rsidP="00694FFF">
      <w:pPr>
        <w:pStyle w:val="a4"/>
        <w:spacing w:before="0" w:beforeAutospacing="0" w:after="0" w:afterAutospacing="0"/>
        <w:ind w:firstLine="720"/>
        <w:jc w:val="both"/>
        <w:rPr>
          <w:sz w:val="28"/>
          <w:szCs w:val="28"/>
        </w:rPr>
      </w:pPr>
      <w:r w:rsidRPr="000D4FA1">
        <w:rPr>
          <w:sz w:val="28"/>
          <w:szCs w:val="28"/>
        </w:rPr>
        <w:t>Концептуальная модель исследования построена на интеграции теоретического и эмпирического уровней анализа и отражает логическую взаимосвязь между теоретическими подходами, переменными исследования, методами анализа и управленческими выводами. В качестве теоретической основы использованы теория человеческого капитала (G. Becker, T. Schultz), теория человеческого потенциала, современные подходы к управлению человеческими ресурсами, а также концепция устойчивости организаций. Дополнительно учтены современные направления, связанные с цифровизацией и развитием learning agility как ключевого фактора адаптации персонала.</w:t>
      </w:r>
    </w:p>
    <w:p w:rsidR="00694FFF" w:rsidRPr="000D4FA1" w:rsidRDefault="00694FFF" w:rsidP="00694FFF">
      <w:pPr>
        <w:pStyle w:val="a4"/>
        <w:spacing w:before="0" w:beforeAutospacing="0" w:after="0" w:afterAutospacing="0"/>
        <w:ind w:firstLine="720"/>
        <w:jc w:val="both"/>
        <w:rPr>
          <w:sz w:val="28"/>
          <w:szCs w:val="28"/>
        </w:rPr>
      </w:pPr>
      <w:r w:rsidRPr="000D4FA1">
        <w:rPr>
          <w:sz w:val="28"/>
          <w:szCs w:val="28"/>
        </w:rPr>
        <w:t>В рамках операционализации теоретических положений выделены ключевые переменные исследования. В качестве независимых переменных рассматриваются уровень образования и квалификации преподавательского состава, инвестиции в повышение квалификации, развитие цифровых компетенций и способность к обучению (learning agility). Зависимой переменной выступает устойчивость организации технического и профессионального образования. В качестве промежуточных факторов учитываются качество образовательных услуг, эффективность подготовки кадров и степень соответствия выпускников требованиям рынка труда.</w:t>
      </w:r>
    </w:p>
    <w:p w:rsidR="00694FFF" w:rsidRPr="000D4FA1" w:rsidRDefault="00694FFF" w:rsidP="00694FFF">
      <w:pPr>
        <w:pStyle w:val="a4"/>
        <w:spacing w:before="0" w:beforeAutospacing="0" w:after="0" w:afterAutospacing="0"/>
        <w:ind w:firstLine="720"/>
        <w:jc w:val="both"/>
        <w:rPr>
          <w:sz w:val="28"/>
          <w:szCs w:val="28"/>
        </w:rPr>
      </w:pPr>
      <w:r w:rsidRPr="000D4FA1">
        <w:rPr>
          <w:sz w:val="28"/>
          <w:szCs w:val="28"/>
        </w:rPr>
        <w:t>Для эмпирической проверки выдвинутых положений применён комплекс количественных методов, включающий корреляционно-регрессионный анализ, кластерный анализ, DEA-анализ эффективности и методы прогнозирования временных рядов (ARIMA). Использование данных методов позволило выявить статистически значимые зависимости, провести типологизацию объектов исследования и оценить эффективность формирования человеческого потенциала.</w:t>
      </w:r>
    </w:p>
    <w:p w:rsidR="00694FFF" w:rsidRPr="000D4FA1" w:rsidRDefault="00694FFF" w:rsidP="00694FFF">
      <w:pPr>
        <w:pStyle w:val="a4"/>
        <w:spacing w:before="0" w:beforeAutospacing="0" w:after="0" w:afterAutospacing="0"/>
        <w:ind w:firstLine="720"/>
        <w:jc w:val="both"/>
        <w:rPr>
          <w:sz w:val="28"/>
          <w:szCs w:val="28"/>
        </w:rPr>
      </w:pPr>
      <w:r w:rsidRPr="000D4FA1">
        <w:rPr>
          <w:sz w:val="28"/>
          <w:szCs w:val="28"/>
        </w:rPr>
        <w:t>Полученные результаты легли в основу разработки управленческой модели, ориентированной на повышение устойчивости организаций ТиПО через развитие человеческого потенциала. Таким образом, концептуальная модель исследования обеспечивает переход от теоретических положений к практическим управленческим решениям и отражает целостную логику исследования в рамках диссертационной работы.</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Формирование человеческого капитала в современном мире определяется не только состоянием образовательной системы, но и более широким комплексом социально</w:t>
      </w:r>
      <w:r w:rsidR="007B767F" w:rsidRPr="000D4FA1">
        <w:rPr>
          <w:sz w:val="28"/>
          <w:szCs w:val="28"/>
        </w:rPr>
        <w:t>–</w:t>
      </w:r>
      <w:r w:rsidRPr="000D4FA1">
        <w:rPr>
          <w:sz w:val="28"/>
          <w:szCs w:val="28"/>
        </w:rPr>
        <w:t xml:space="preserve">экономических условий, напрямую влияющих на доступность знаний и качество развития навыков. В условиях усиливающейся глобальной конкуренции ключевыми становятся такие факторы, как структура государственных расходов, уровень цифровизации, доходы населения, доступ к </w:t>
      </w:r>
      <w:r w:rsidRPr="000D4FA1">
        <w:rPr>
          <w:sz w:val="28"/>
          <w:szCs w:val="28"/>
        </w:rPr>
        <w:lastRenderedPageBreak/>
        <w:t>интернет</w:t>
      </w:r>
      <w:r w:rsidR="007B767F" w:rsidRPr="000D4FA1">
        <w:rPr>
          <w:sz w:val="28"/>
          <w:szCs w:val="28"/>
        </w:rPr>
        <w:t>–</w:t>
      </w:r>
      <w:r w:rsidRPr="000D4FA1">
        <w:rPr>
          <w:sz w:val="28"/>
          <w:szCs w:val="28"/>
        </w:rPr>
        <w:t>инфраструктуре и качество демографической базы. Именно они определяют способность страны обеспечивать устойчивый рост человеческого потенциала, формировать квалифицированные трудовые ресурсы и поддерживать долгосрочное экономическое развитие.</w:t>
      </w:r>
    </w:p>
    <w:p w:rsidR="00671D1D" w:rsidRPr="000D4FA1" w:rsidRDefault="00F136E9" w:rsidP="00F136E9">
      <w:pPr>
        <w:pStyle w:val="a4"/>
        <w:spacing w:before="0" w:beforeAutospacing="0" w:after="0" w:afterAutospacing="0"/>
        <w:ind w:firstLine="720"/>
        <w:jc w:val="both"/>
        <w:rPr>
          <w:sz w:val="28"/>
          <w:szCs w:val="28"/>
        </w:rPr>
      </w:pPr>
      <w:r w:rsidRPr="000D4FA1">
        <w:rPr>
          <w:sz w:val="28"/>
          <w:szCs w:val="28"/>
        </w:rPr>
        <w:t>Для оценки этих взаимосвязей в исследование включены данные 76 стран с различным уровнем социально</w:t>
      </w:r>
      <w:r w:rsidR="007B767F" w:rsidRPr="000D4FA1">
        <w:rPr>
          <w:sz w:val="28"/>
          <w:szCs w:val="28"/>
        </w:rPr>
        <w:t>–</w:t>
      </w:r>
      <w:r w:rsidRPr="000D4FA1">
        <w:rPr>
          <w:sz w:val="28"/>
          <w:szCs w:val="28"/>
        </w:rPr>
        <w:t xml:space="preserve">экономического развития.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Такой межстрановой подход позволяет выявить не только общие закономерности, но и специфические особенности стран с низким, средним и высоким уровнем доходов. Проведённый анализ основан на сопоставлении показателей грамотности населения и факторов, потенциально влияющих на её формирование: государственных расходов на образование, охвата цифровыми технологиями (включая фиксированный широкополосный интернет и мобильный интернет), уровня доходов, демографических характеристик и других параметров, отражённых в итоговой регрессионной модели.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Комплексная оценка влияния этих факторов позволяет выявить ключевые драйверы и ограничения развития человеческого капитала, определить степень их статистической значимости и сформировать практические рекомендации для повышения эффективности образовательной политики. Данный раздел включает корреляционный анализ, построение диагностических визуализаций, оценку моделей множественной регрессии и интерпретацию результатов в контексте международных тенденций и национальных приоритетов Казахстана.</w:t>
      </w:r>
    </w:p>
    <w:p w:rsidR="00100F49" w:rsidRPr="000D4FA1" w:rsidRDefault="00100F49" w:rsidP="00100F49">
      <w:pPr>
        <w:pStyle w:val="a4"/>
        <w:spacing w:before="0" w:beforeAutospacing="0" w:after="0" w:afterAutospacing="0"/>
        <w:ind w:firstLine="720"/>
        <w:jc w:val="both"/>
        <w:rPr>
          <w:sz w:val="28"/>
          <w:szCs w:val="28"/>
        </w:rPr>
      </w:pPr>
      <w:r w:rsidRPr="000D4FA1">
        <w:rPr>
          <w:sz w:val="28"/>
          <w:szCs w:val="28"/>
        </w:rPr>
        <w:t xml:space="preserve">Представленные данные таблицы </w:t>
      </w:r>
      <w:r w:rsidR="00F45F03" w:rsidRPr="000D4FA1">
        <w:rPr>
          <w:sz w:val="28"/>
          <w:szCs w:val="28"/>
        </w:rPr>
        <w:t>19</w:t>
      </w:r>
      <w:r w:rsidRPr="000D4FA1">
        <w:rPr>
          <w:sz w:val="28"/>
          <w:szCs w:val="28"/>
        </w:rPr>
        <w:t xml:space="preserve"> отражают динамику доли государственных расходов на образование в отдельных странах, характеризующихся повышенной значимостью человеческого капитала или особенностями социально</w:t>
      </w:r>
      <w:r w:rsidR="007B767F" w:rsidRPr="000D4FA1">
        <w:rPr>
          <w:sz w:val="28"/>
          <w:szCs w:val="28"/>
        </w:rPr>
        <w:t>–</w:t>
      </w:r>
      <w:r w:rsidRPr="000D4FA1">
        <w:rPr>
          <w:sz w:val="28"/>
          <w:szCs w:val="28"/>
        </w:rPr>
        <w:t>экономического развития. Анализ показывает, что государства демонстрируют разнородные траектории финансирования образовательного сектора, что в свою очередь отражает различия в приоритетах национальной бюджетной политики.</w:t>
      </w:r>
    </w:p>
    <w:p w:rsidR="001140E9" w:rsidRPr="000D4FA1" w:rsidRDefault="001140E9" w:rsidP="00100F4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Таблица </w:t>
      </w:r>
      <w:r w:rsidR="00B80F8B" w:rsidRPr="000D4FA1">
        <w:rPr>
          <w:sz w:val="28"/>
          <w:szCs w:val="28"/>
        </w:rPr>
        <w:t>1</w:t>
      </w:r>
      <w:r w:rsidR="00D17049" w:rsidRPr="000D4FA1">
        <w:rPr>
          <w:sz w:val="28"/>
          <w:szCs w:val="28"/>
        </w:rPr>
        <w:t>9</w:t>
      </w:r>
      <w:r w:rsidR="00CF4ED3" w:rsidRPr="000D4FA1">
        <w:rPr>
          <w:sz w:val="28"/>
          <w:szCs w:val="28"/>
        </w:rPr>
        <w:t xml:space="preserve"> –</w:t>
      </w:r>
      <w:r w:rsidRPr="000D4FA1">
        <w:rPr>
          <w:sz w:val="28"/>
          <w:szCs w:val="28"/>
        </w:rPr>
        <w:t xml:space="preserve"> Динамика государственных расходов на образование (% от общих государственных расходов) в странах</w:t>
      </w:r>
      <w:r w:rsidR="007B767F" w:rsidRPr="000D4FA1">
        <w:rPr>
          <w:sz w:val="28"/>
          <w:szCs w:val="28"/>
        </w:rPr>
        <w:t>–</w:t>
      </w:r>
      <w:r w:rsidRPr="000D4FA1">
        <w:rPr>
          <w:sz w:val="28"/>
          <w:szCs w:val="28"/>
        </w:rPr>
        <w:t>лидерах, 2020–2024 гг.</w:t>
      </w:r>
    </w:p>
    <w:p w:rsidR="00100F49" w:rsidRPr="000D4FA1" w:rsidRDefault="00100F49" w:rsidP="00F136E9">
      <w:pPr>
        <w:pStyle w:val="a4"/>
        <w:spacing w:before="0" w:beforeAutospacing="0" w:after="0" w:afterAutospacing="0"/>
        <w:ind w:firstLine="720"/>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870"/>
        <w:gridCol w:w="1320"/>
        <w:gridCol w:w="1320"/>
        <w:gridCol w:w="1320"/>
        <w:gridCol w:w="1320"/>
        <w:gridCol w:w="1241"/>
      </w:tblGrid>
      <w:tr w:rsidR="00F136E9" w:rsidRPr="000D4FA1" w:rsidTr="00C76C5B">
        <w:trPr>
          <w:trHeight w:val="300"/>
        </w:trPr>
        <w:tc>
          <w:tcPr>
            <w:tcW w:w="96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Ранг</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Страны</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2020</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2021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2022</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2023</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2024</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Mauritania</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9.7</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4.8</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18.9</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32.0</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Turkmenistan</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28.0</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29.1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28.7</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19.3</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29.6</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3</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Kenya</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17.8</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17.3</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16.1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25.0</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27.9</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Solomon Islands</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30.5</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26.0</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25.8</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23.2</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25.2</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5</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Namibia</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24.9</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24.7</w:t>
            </w:r>
          </w:p>
        </w:tc>
        <w:tc>
          <w:tcPr>
            <w:tcW w:w="1320" w:type="dxa"/>
            <w:noWrap/>
            <w:vAlign w:val="bottom"/>
            <w:hideMark/>
          </w:tcPr>
          <w:p w:rsidR="00F136E9" w:rsidRPr="000D4FA1" w:rsidRDefault="007B767F" w:rsidP="00C76C5B">
            <w:pPr>
              <w:spacing w:after="0" w:line="240" w:lineRule="auto"/>
              <w:jc w:val="center"/>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lang w:val="ru-RU"/>
              </w:rPr>
              <w:t>–</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25.1</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6</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Algeria</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16.5</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16.1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13.3</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23.6</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Morocco</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24.2</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23.8</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23.9</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22.8</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23.3</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8</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Guatemala</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21.1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23.0</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22.5</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22.6</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23.0</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9</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Paraguay</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24.5</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23.6</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22.0</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22.4</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10</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Uzbekistan</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15.1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21.9</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22.6</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22.1</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right"/>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w:t>
            </w:r>
          </w:p>
        </w:tc>
        <w:tc>
          <w:tcPr>
            <w:tcW w:w="1870" w:type="dxa"/>
            <w:noWrap/>
            <w:vAlign w:val="bottom"/>
            <w:hideMark/>
          </w:tcPr>
          <w:p w:rsidR="00F136E9" w:rsidRPr="000D4FA1" w:rsidRDefault="00F136E9" w:rsidP="00C76C5B">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Kazakhstan</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18.0</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19.8</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20.1</w:t>
            </w:r>
          </w:p>
        </w:tc>
        <w:tc>
          <w:tcPr>
            <w:tcW w:w="132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20.8</w:t>
            </w:r>
          </w:p>
        </w:tc>
        <w:tc>
          <w:tcPr>
            <w:tcW w:w="1241"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22.0</w:t>
            </w:r>
          </w:p>
        </w:tc>
      </w:tr>
      <w:tr w:rsidR="00F136E9" w:rsidRPr="0036668B" w:rsidTr="00C76C5B">
        <w:trPr>
          <w:trHeight w:val="300"/>
        </w:trPr>
        <w:tc>
          <w:tcPr>
            <w:tcW w:w="9351" w:type="dxa"/>
            <w:gridSpan w:val="7"/>
            <w:noWrap/>
            <w:vAlign w:val="bottom"/>
          </w:tcPr>
          <w:p w:rsidR="00F136E9" w:rsidRPr="000D4FA1" w:rsidRDefault="00CF4ED3" w:rsidP="003F2DA1">
            <w:pPr>
              <w:spacing w:after="0" w:line="240" w:lineRule="auto"/>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lang w:val="ru-RU"/>
              </w:rPr>
              <w:t xml:space="preserve">         </w:t>
            </w:r>
            <w:r w:rsidR="00F136E9" w:rsidRPr="000D4FA1">
              <w:rPr>
                <w:rFonts w:ascii="Times New Roman" w:eastAsia="Times New Roman" w:hAnsi="Times New Roman" w:cs="Times New Roman"/>
                <w:color w:val="000000"/>
                <w:sz w:val="24"/>
                <w:szCs w:val="24"/>
                <w:lang w:val="ru-RU"/>
              </w:rPr>
              <w:t>Прим</w:t>
            </w:r>
            <w:r w:rsidR="00100F49" w:rsidRPr="000D4FA1">
              <w:rPr>
                <w:rFonts w:ascii="Times New Roman" w:eastAsia="Times New Roman" w:hAnsi="Times New Roman" w:cs="Times New Roman"/>
                <w:color w:val="000000"/>
                <w:sz w:val="24"/>
                <w:szCs w:val="24"/>
                <w:lang w:val="ru-RU"/>
              </w:rPr>
              <w:t>е</w:t>
            </w:r>
            <w:r w:rsidR="00F136E9" w:rsidRPr="000D4FA1">
              <w:rPr>
                <w:rFonts w:ascii="Times New Roman" w:eastAsia="Times New Roman" w:hAnsi="Times New Roman" w:cs="Times New Roman"/>
                <w:color w:val="000000"/>
                <w:sz w:val="24"/>
                <w:szCs w:val="24"/>
                <w:lang w:val="ru-RU"/>
              </w:rPr>
              <w:t>чание</w:t>
            </w:r>
            <w:r w:rsidRPr="000D4FA1">
              <w:rPr>
                <w:rFonts w:ascii="Times New Roman" w:eastAsia="Times New Roman" w:hAnsi="Times New Roman" w:cs="Times New Roman"/>
                <w:color w:val="000000"/>
                <w:sz w:val="24"/>
                <w:szCs w:val="24"/>
                <w:lang w:val="ru-RU"/>
              </w:rPr>
              <w:t xml:space="preserve"> –</w:t>
            </w:r>
            <w:r w:rsidR="00100F49" w:rsidRPr="000D4FA1">
              <w:rPr>
                <w:rFonts w:ascii="Times New Roman" w:eastAsia="Times New Roman" w:hAnsi="Times New Roman" w:cs="Times New Roman"/>
                <w:color w:val="000000"/>
                <w:sz w:val="24"/>
                <w:szCs w:val="24"/>
                <w:lang w:val="ru-RU"/>
              </w:rPr>
              <w:t xml:space="preserve"> </w:t>
            </w:r>
            <w:r w:rsidR="00F136E9" w:rsidRPr="000D4FA1">
              <w:rPr>
                <w:rFonts w:ascii="Times New Roman" w:eastAsia="Times New Roman" w:hAnsi="Times New Roman" w:cs="Times New Roman"/>
                <w:color w:val="000000"/>
                <w:sz w:val="24"/>
                <w:szCs w:val="24"/>
                <w:lang w:val="ru-RU"/>
              </w:rPr>
              <w:t>составлено автором на основе данных Всемирного банка</w:t>
            </w:r>
            <w:r w:rsidR="003F2DA1" w:rsidRPr="000D4FA1">
              <w:rPr>
                <w:rFonts w:ascii="Times New Roman" w:eastAsia="Times New Roman" w:hAnsi="Times New Roman" w:cs="Times New Roman"/>
                <w:color w:val="000000"/>
                <w:sz w:val="24"/>
                <w:szCs w:val="24"/>
                <w:lang w:val="ru-RU"/>
              </w:rPr>
              <w:t xml:space="preserve"> [69]</w:t>
            </w:r>
          </w:p>
        </w:tc>
      </w:tr>
    </w:tbl>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Так, Мавритания демонстрирует наиболее выраженный рост показателя </w:t>
      </w:r>
      <w:r w:rsidR="008506F2" w:rsidRPr="000D4FA1">
        <w:rPr>
          <w:sz w:val="28"/>
          <w:szCs w:val="28"/>
        </w:rPr>
        <w:t>–</w:t>
      </w:r>
      <w:r w:rsidRPr="000D4FA1">
        <w:rPr>
          <w:sz w:val="28"/>
          <w:szCs w:val="28"/>
        </w:rPr>
        <w:t xml:space="preserve"> с 9,7% в 2020 году до 32,0% в 2024 году. Подобное увеличение может свидетельствовать о масштабных реформах в социальной сфере и попытке государства усилить человеческий капитал через расширение доступа к образованию. Схожая тенденция наблюдается у Соломоновых Островов и Парагвая, где расходы остаются стабильно высокими (25–30%), что характеризует долговременную ориентацию на развитие образовательной инфраструктуры.</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В противоположность этому, в странах с устойчивой или сырьевой экономикой </w:t>
      </w:r>
      <w:r w:rsidR="008506F2" w:rsidRPr="000D4FA1">
        <w:rPr>
          <w:sz w:val="28"/>
          <w:szCs w:val="28"/>
        </w:rPr>
        <w:t>–</w:t>
      </w:r>
      <w:r w:rsidRPr="000D4FA1">
        <w:rPr>
          <w:sz w:val="28"/>
          <w:szCs w:val="28"/>
        </w:rPr>
        <w:t xml:space="preserve"> таких как Алжир, Марокко, Туркменистан </w:t>
      </w:r>
      <w:r w:rsidR="008506F2" w:rsidRPr="000D4FA1">
        <w:rPr>
          <w:sz w:val="28"/>
          <w:szCs w:val="28"/>
        </w:rPr>
        <w:t>–</w:t>
      </w:r>
      <w:r w:rsidRPr="000D4FA1">
        <w:rPr>
          <w:sz w:val="28"/>
          <w:szCs w:val="28"/>
        </w:rPr>
        <w:t xml:space="preserve"> показатель остается относительно стабильным, а колебания не превышают 2–3 процентных пункта. Это свидетельствует о более консервативной бюджетной политике, где расходы на образование не являются ключевым драйвером развития человеческого капитала.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Отдельный интерес представляет динамика Казахстана, где показатель увеличился с 18,0% в 2020 году до 22,0% в 2024 году. Такая траектория отражает постепенное укрепление приоритетов в области образования, что соответствует стратегическим документам страны, направленным на модернизацию системы подготовки кадров и рост качества человеческого капитала.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целом, анализ показывает, что увеличение расходов на образование чаще наблюдается в странах с высокой демографической нагрузкой или в государствах, активно перестраивающих структуру экономики. Наличие стабильных или растущих расходов коррелирует с улучшением показателей человеческого капитала и создает основу для повышения конкурентоспособности образовательных систем в долгосрочной перспективе. Этот вывод важен для обоснования роли бюджетной образовательной политики в формировании человеческого капитала в контексте диссертации.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Анализ сопоставления ВВП на душу населения и доли государственных расходов на образование показывает, что в ряде государств с низким уровнем экономического развития образование занимает приоритетное место в структуре бюджетных расходов, как группу ст</w:t>
      </w:r>
      <w:r w:rsidR="009C3042" w:rsidRPr="000D4FA1">
        <w:rPr>
          <w:sz w:val="28"/>
          <w:szCs w:val="28"/>
          <w:lang w:val="kk-KZ"/>
        </w:rPr>
        <w:t>р</w:t>
      </w:r>
      <w:r w:rsidRPr="000D4FA1">
        <w:rPr>
          <w:sz w:val="28"/>
          <w:szCs w:val="28"/>
        </w:rPr>
        <w:t xml:space="preserve">ан </w:t>
      </w:r>
      <w:r w:rsidRPr="000D4FA1">
        <w:rPr>
          <w:i/>
          <w:iCs/>
          <w:sz w:val="28"/>
          <w:szCs w:val="28"/>
        </w:rPr>
        <w:t xml:space="preserve">«низкий ВВП </w:t>
      </w:r>
      <w:r w:rsidR="008506F2" w:rsidRPr="000D4FA1">
        <w:rPr>
          <w:i/>
          <w:iCs/>
          <w:sz w:val="28"/>
          <w:szCs w:val="28"/>
        </w:rPr>
        <w:t>–</w:t>
      </w:r>
      <w:r w:rsidRPr="000D4FA1">
        <w:rPr>
          <w:i/>
          <w:iCs/>
          <w:sz w:val="28"/>
          <w:szCs w:val="28"/>
        </w:rPr>
        <w:t xml:space="preserve"> высокая доля расходов на образование».</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Кения.</w:t>
      </w:r>
      <w:r w:rsidR="00100F49" w:rsidRPr="000D4FA1">
        <w:rPr>
          <w:sz w:val="28"/>
          <w:szCs w:val="28"/>
        </w:rPr>
        <w:t xml:space="preserve"> </w:t>
      </w:r>
      <w:r w:rsidRPr="000D4FA1">
        <w:rPr>
          <w:sz w:val="28"/>
          <w:szCs w:val="28"/>
        </w:rPr>
        <w:t>Низкий ВВП на душу населения при стабильно высоких расходах на образование (16–17% всех правительственных расходов).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Соломоновы Острова. Несмотря на ограниченные экономические ресурсы, государство выделяет более 25% бюджета на образование </w:t>
      </w:r>
      <w:r w:rsidR="008506F2" w:rsidRPr="000D4FA1">
        <w:rPr>
          <w:sz w:val="28"/>
          <w:szCs w:val="28"/>
        </w:rPr>
        <w:t>–</w:t>
      </w:r>
      <w:r w:rsidRPr="000D4FA1">
        <w:rPr>
          <w:sz w:val="28"/>
          <w:szCs w:val="28"/>
        </w:rPr>
        <w:t xml:space="preserve"> один из самых высоких показателей в регионе.</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Намибия. Уровень доходов населения остается низким, но доля расходов на образование превышает 24–25%.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Мавритания. При низком ВВП наблюдается резкое увеличение доли образовательных затрат до 32% в 2024 году.</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Марокко. На фоне умеренно низкого ВВП государство стабильно финансирует сектор образования на уровне 23–24%.</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Гватемала. Доходы населения низкие, но расходы на образование поддерживаются на уровне 22–23%.</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Парагвай. ВВП на душу населения остается невысоким, при этом правительство выделяет около 22% бюджета на образование.</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Узбекистан. Экономический уровень остается средне</w:t>
      </w:r>
      <w:r w:rsidR="007B767F" w:rsidRPr="000D4FA1">
        <w:rPr>
          <w:sz w:val="28"/>
          <w:szCs w:val="28"/>
        </w:rPr>
        <w:t>–</w:t>
      </w:r>
      <w:r w:rsidRPr="000D4FA1">
        <w:rPr>
          <w:sz w:val="28"/>
          <w:szCs w:val="28"/>
        </w:rPr>
        <w:t xml:space="preserve">низким, однако расходы на образование </w:t>
      </w:r>
      <w:r w:rsidR="008506F2" w:rsidRPr="000D4FA1">
        <w:rPr>
          <w:sz w:val="28"/>
          <w:szCs w:val="28"/>
        </w:rPr>
        <w:t>–</w:t>
      </w:r>
      <w:r w:rsidRPr="000D4FA1">
        <w:rPr>
          <w:sz w:val="28"/>
          <w:szCs w:val="28"/>
        </w:rPr>
        <w:t xml:space="preserve"> стабильно высокие (21–23%).</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Алжир. ВВП per capita относительно низкий для нефтедобывающей страны, а расходы на образование превышают 24%.</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Казахстан </w:t>
      </w:r>
      <w:r w:rsidRPr="000D4FA1">
        <w:rPr>
          <w:i/>
          <w:iCs/>
          <w:sz w:val="28"/>
          <w:szCs w:val="28"/>
        </w:rPr>
        <w:t xml:space="preserve">(в рамках выборки 2020–2024). </w:t>
      </w:r>
      <w:r w:rsidRPr="000D4FA1">
        <w:rPr>
          <w:sz w:val="28"/>
          <w:szCs w:val="28"/>
        </w:rPr>
        <w:t>Несмотря на ограниченный рост ВВП per capita в последние годы, расходы на образование держатся на уровне 20–22% госбюджета.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Проведённый анализ показывает, что высокий уровень государственных расходов на образование не всегда коррелирует с уровнем экономического развития страны. Для ряда государств с низкими доходами приоритетное финансирование образовательного сектора выступает стратегической мерой, направленной на повышение человеческого капитала и долгосрочного социально</w:t>
      </w:r>
      <w:r w:rsidR="007B767F" w:rsidRPr="000D4FA1">
        <w:rPr>
          <w:sz w:val="28"/>
          <w:szCs w:val="28"/>
        </w:rPr>
        <w:t>–</w:t>
      </w:r>
      <w:r w:rsidRPr="000D4FA1">
        <w:rPr>
          <w:sz w:val="28"/>
          <w:szCs w:val="28"/>
        </w:rPr>
        <w:t>экономического роста. Такие страны, как Соломоновы Острова, Мавритания и Намибия, демонстрируют модель «инвестиционного подхода», когда ограниченные ресурсы перераспределяются в пользу образования как ключевого фактора будущего развития. Данные закономерности важны для сопоставления с результатами исследования человеческого капитала в странах Центральной Азии, включая Казахстан, и позволяют более глубоко понять институциональные различия в образовательной политике.</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CF4ED3">
      <w:pPr>
        <w:pStyle w:val="a4"/>
        <w:spacing w:before="0" w:beforeAutospacing="0" w:after="0" w:afterAutospacing="0"/>
        <w:ind w:firstLine="720"/>
        <w:jc w:val="center"/>
        <w:rPr>
          <w:sz w:val="28"/>
          <w:szCs w:val="28"/>
        </w:rPr>
      </w:pPr>
      <w:r w:rsidRPr="000D4FA1">
        <w:rPr>
          <w:sz w:val="28"/>
          <w:szCs w:val="28"/>
        </w:rPr>
        <w:lastRenderedPageBreak/>
        <w:t xml:space="preserve">Рисунок </w:t>
      </w:r>
      <w:r w:rsidR="00B80F8B" w:rsidRPr="000D4FA1">
        <w:rPr>
          <w:sz w:val="28"/>
          <w:szCs w:val="28"/>
        </w:rPr>
        <w:t>1</w:t>
      </w:r>
      <w:r w:rsidR="00A00396">
        <w:rPr>
          <w:sz w:val="28"/>
          <w:szCs w:val="28"/>
        </w:rPr>
        <w:t>7</w:t>
      </w:r>
      <w:r w:rsidR="00CF4ED3" w:rsidRPr="000D4FA1">
        <w:rPr>
          <w:sz w:val="28"/>
          <w:szCs w:val="28"/>
        </w:rPr>
        <w:t xml:space="preserve"> –</w:t>
      </w:r>
      <w:r w:rsidRPr="000D4FA1">
        <w:rPr>
          <w:sz w:val="28"/>
          <w:szCs w:val="28"/>
        </w:rPr>
        <w:t xml:space="preserve"> Динамика ВВП на душу населения (GDP per capita, current US$) в 10 ведущих странах мира, 2015–2024 гг.</w:t>
      </w:r>
      <w:r w:rsidRPr="000D4FA1">
        <w:rPr>
          <w:noProof/>
        </w:rPr>
        <w:drawing>
          <wp:anchor distT="0" distB="0" distL="114300" distR="114300" simplePos="0" relativeHeight="251660288" behindDoc="1" locked="0" layoutInCell="1" allowOverlap="1">
            <wp:simplePos x="0" y="0"/>
            <wp:positionH relativeFrom="column">
              <wp:posOffset>-147574</wp:posOffset>
            </wp:positionH>
            <wp:positionV relativeFrom="paragraph">
              <wp:posOffset>254</wp:posOffset>
            </wp:positionV>
            <wp:extent cx="5940425" cy="3785235"/>
            <wp:effectExtent l="0" t="0" r="3175" b="5715"/>
            <wp:wrapTight wrapText="bothSides">
              <wp:wrapPolygon edited="0">
                <wp:start x="0" y="0"/>
                <wp:lineTo x="0" y="21524"/>
                <wp:lineTo x="21542" y="21524"/>
                <wp:lineTo x="21542" y="0"/>
                <wp:lineTo x="0" y="0"/>
              </wp:wrapPolygon>
            </wp:wrapTight>
            <wp:docPr id="91404140"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3B21D3B-2948-2CB5-ADD1-614528E78B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rsidR="00F136E9" w:rsidRPr="000D4FA1" w:rsidRDefault="00F136E9" w:rsidP="00CF4ED3">
      <w:pPr>
        <w:pStyle w:val="a4"/>
        <w:spacing w:before="0" w:beforeAutospacing="0" w:after="0" w:afterAutospacing="0"/>
        <w:ind w:firstLine="720"/>
        <w:jc w:val="center"/>
      </w:pPr>
      <w:r w:rsidRPr="000D4FA1">
        <w:t>Примечание</w:t>
      </w:r>
      <w:r w:rsidR="00CF4ED3" w:rsidRPr="000D4FA1">
        <w:t xml:space="preserve"> –</w:t>
      </w:r>
      <w:r w:rsidRPr="000D4FA1">
        <w:t xml:space="preserve"> построена автором на основании официальных статистических данных Всемирного банка (World Bank Open Data).</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Представленная диаграмма отражает изменение уровня ВВП на душу населения (GDP per capita) в десяти странах с наиболее высокими значениями данного показателя в период 2015–2024 гг. Данные позволяют проследить динамику экономического благосостояния и финансовой устойчивости государств, традиционно входящих в мировую группу лидеров </w:t>
      </w:r>
      <w:r w:rsidR="008506F2" w:rsidRPr="000D4FA1">
        <w:rPr>
          <w:sz w:val="28"/>
          <w:szCs w:val="28"/>
        </w:rPr>
        <w:t>–</w:t>
      </w:r>
      <w:r w:rsidRPr="000D4FA1">
        <w:rPr>
          <w:sz w:val="28"/>
          <w:szCs w:val="28"/>
        </w:rPr>
        <w:t xml:space="preserve"> включая Люксембург, Бермуды, Сингапур, Норвегию, Швейцарию, Ирландию и другие развитые экономики.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График демонстрирует как долгосрочные тренды роста, так и временные колебания, обусловленные изменениями глобальной экономической конъюнктуры, пандемическими шоками, структурными реформами и инвестиционной активностью. Такой мониторинг позволяет оценить различия в темпах максимизации человеческого капитала и определить, какие страны наиболее успешно трансформируют экономический рост в повышение качества жизни населения.</w:t>
      </w:r>
    </w:p>
    <w:p w:rsidR="00100F49" w:rsidRPr="000D4FA1" w:rsidRDefault="00100F49" w:rsidP="00F136E9">
      <w:pPr>
        <w:pStyle w:val="a4"/>
        <w:spacing w:before="0" w:beforeAutospacing="0" w:after="0" w:afterAutospacing="0"/>
        <w:ind w:firstLine="720"/>
        <w:jc w:val="both"/>
        <w:rPr>
          <w:sz w:val="28"/>
          <w:szCs w:val="28"/>
        </w:rPr>
      </w:pPr>
    </w:p>
    <w:p w:rsidR="00100F49" w:rsidRPr="000D4FA1" w:rsidRDefault="00100F49" w:rsidP="00F136E9">
      <w:pPr>
        <w:pStyle w:val="a4"/>
        <w:spacing w:before="0" w:beforeAutospacing="0" w:after="0" w:afterAutospacing="0"/>
        <w:ind w:firstLine="720"/>
        <w:jc w:val="both"/>
        <w:rPr>
          <w:sz w:val="28"/>
          <w:szCs w:val="28"/>
        </w:rPr>
      </w:pPr>
    </w:p>
    <w:p w:rsidR="00100F49" w:rsidRPr="000D4FA1" w:rsidRDefault="00100F49" w:rsidP="00F136E9">
      <w:pPr>
        <w:pStyle w:val="a4"/>
        <w:spacing w:before="0" w:beforeAutospacing="0" w:after="0" w:afterAutospacing="0"/>
        <w:ind w:firstLine="720"/>
        <w:jc w:val="both"/>
        <w:rPr>
          <w:sz w:val="28"/>
          <w:szCs w:val="28"/>
        </w:rPr>
      </w:pPr>
    </w:p>
    <w:p w:rsidR="00100F49" w:rsidRPr="000D4FA1" w:rsidRDefault="00100F49" w:rsidP="00F136E9">
      <w:pPr>
        <w:pStyle w:val="a4"/>
        <w:spacing w:before="0" w:beforeAutospacing="0" w:after="0" w:afterAutospacing="0"/>
        <w:ind w:firstLine="720"/>
        <w:jc w:val="both"/>
        <w:rPr>
          <w:sz w:val="28"/>
          <w:szCs w:val="28"/>
        </w:rPr>
      </w:pPr>
    </w:p>
    <w:p w:rsidR="00100F49" w:rsidRPr="000D4FA1" w:rsidRDefault="00100F49" w:rsidP="00F136E9">
      <w:pPr>
        <w:pStyle w:val="a4"/>
        <w:spacing w:before="0" w:beforeAutospacing="0" w:after="0" w:afterAutospacing="0"/>
        <w:ind w:firstLine="720"/>
        <w:jc w:val="both"/>
        <w:rPr>
          <w:sz w:val="28"/>
          <w:szCs w:val="28"/>
        </w:rPr>
      </w:pPr>
    </w:p>
    <w:p w:rsidR="00100F49" w:rsidRPr="000D4FA1" w:rsidRDefault="00100F4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 xml:space="preserve">Таблица </w:t>
      </w:r>
      <w:r w:rsidR="00A00396">
        <w:rPr>
          <w:sz w:val="28"/>
          <w:szCs w:val="28"/>
        </w:rPr>
        <w:t>18</w:t>
      </w:r>
      <w:r w:rsidR="003855B7" w:rsidRPr="000D4FA1">
        <w:rPr>
          <w:sz w:val="28"/>
          <w:szCs w:val="28"/>
        </w:rPr>
        <w:t xml:space="preserve"> –</w:t>
      </w:r>
      <w:r w:rsidRPr="000D4FA1">
        <w:rPr>
          <w:sz w:val="28"/>
          <w:szCs w:val="28"/>
        </w:rPr>
        <w:t xml:space="preserve"> Динамика уровня фиксированных широкополосных подключений в странах с высоким человеческим капиталом (2019–2023 гг.)</w:t>
      </w:r>
    </w:p>
    <w:p w:rsidR="00F136E9" w:rsidRPr="000D4FA1" w:rsidRDefault="00F136E9" w:rsidP="00F136E9">
      <w:pPr>
        <w:pStyle w:val="a4"/>
        <w:spacing w:before="0" w:beforeAutospacing="0" w:after="0" w:afterAutospacing="0"/>
        <w:ind w:firstLine="720"/>
        <w:jc w:val="both"/>
        <w:rPr>
          <w:sz w:val="28"/>
          <w:szCs w:val="28"/>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445"/>
        <w:gridCol w:w="1200"/>
        <w:gridCol w:w="1200"/>
        <w:gridCol w:w="1200"/>
        <w:gridCol w:w="1200"/>
        <w:gridCol w:w="1100"/>
        <w:gridCol w:w="1158"/>
      </w:tblGrid>
      <w:tr w:rsidR="00F136E9" w:rsidRPr="000D4FA1" w:rsidTr="00C76C5B">
        <w:trPr>
          <w:trHeight w:val="1200"/>
        </w:trPr>
        <w:tc>
          <w:tcPr>
            <w:tcW w:w="96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Ранг</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Country Name</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2019</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2020</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2021</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2022</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2023</w:t>
            </w:r>
          </w:p>
        </w:tc>
        <w:tc>
          <w:tcPr>
            <w:tcW w:w="1158" w:type="dxa"/>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Темр прироста 2023/2020 +/</w:t>
            </w:r>
            <w:r w:rsidR="007B767F" w:rsidRPr="000D4FA1">
              <w:rPr>
                <w:rFonts w:ascii="Times New Roman" w:eastAsia="Times New Roman" w:hAnsi="Times New Roman" w:cs="Times New Roman"/>
                <w:color w:val="000000"/>
              </w:rPr>
              <w:t>–</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Monaco</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53.73</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54.87</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54.92</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55.23</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55.88</w:t>
            </w:r>
          </w:p>
        </w:tc>
        <w:tc>
          <w:tcPr>
            <w:tcW w:w="1158" w:type="dxa"/>
            <w:shd w:val="clear" w:color="000000" w:fill="F8696B"/>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1.85</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Andorra</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47.54</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48.66</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50.28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51.21</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51.74</w:t>
            </w:r>
          </w:p>
        </w:tc>
        <w:tc>
          <w:tcPr>
            <w:tcW w:w="1158" w:type="dxa"/>
            <w:shd w:val="clear" w:color="000000" w:fill="FEEB84"/>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6.34</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3</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Liechtenstein</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44.67</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46.56</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47.52</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48.93</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49.41</w:t>
            </w:r>
          </w:p>
        </w:tc>
        <w:tc>
          <w:tcPr>
            <w:tcW w:w="1158" w:type="dxa"/>
            <w:shd w:val="clear" w:color="000000" w:fill="FFEB84"/>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6.11</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France</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45.28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46.47</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47.64</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48.25</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48.67</w:t>
            </w:r>
          </w:p>
        </w:tc>
        <w:tc>
          <w:tcPr>
            <w:tcW w:w="1158" w:type="dxa"/>
            <w:shd w:val="clear" w:color="000000" w:fill="FCC07B"/>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4.73</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5</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Switzerland</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46.91</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46.48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47.94</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46.67</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47.70</w:t>
            </w:r>
          </w:p>
        </w:tc>
        <w:tc>
          <w:tcPr>
            <w:tcW w:w="1158" w:type="dxa"/>
            <w:shd w:val="clear" w:color="000000" w:fill="F9806F"/>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2.61</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6</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Korea, Rep.</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42.04</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43.05</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44.25</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45.45</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46.57</w:t>
            </w:r>
          </w:p>
        </w:tc>
        <w:tc>
          <w:tcPr>
            <w:tcW w:w="1158" w:type="dxa"/>
            <w:shd w:val="clear" w:color="000000" w:fill="F3E884"/>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8.16</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7</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Norway</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42.27</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44.39</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44.94</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45.66</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45.44</w:t>
            </w:r>
          </w:p>
        </w:tc>
        <w:tc>
          <w:tcPr>
            <w:tcW w:w="1158" w:type="dxa"/>
            <w:shd w:val="clear" w:color="000000" w:fill="F8786E"/>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2.37</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8</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Germany</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42.12</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43.30</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44.06</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44.62</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45.38</w:t>
            </w:r>
          </w:p>
        </w:tc>
        <w:tc>
          <w:tcPr>
            <w:tcW w:w="1158" w:type="dxa"/>
            <w:shd w:val="clear" w:color="000000" w:fill="FCC27C"/>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4.79</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9</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China</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31.56</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33.91</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37.56</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41.37</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44.73</w:t>
            </w:r>
          </w:p>
        </w:tc>
        <w:tc>
          <w:tcPr>
            <w:tcW w:w="1158" w:type="dxa"/>
            <w:shd w:val="clear" w:color="000000" w:fill="63BE7B"/>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31.92</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10</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Malta</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40.18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41.11</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42.18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43.45</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44.28</w:t>
            </w:r>
          </w:p>
        </w:tc>
        <w:tc>
          <w:tcPr>
            <w:tcW w:w="1158" w:type="dxa"/>
            <w:shd w:val="clear" w:color="000000" w:fill="F6E984"/>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7.72</w:t>
            </w:r>
          </w:p>
        </w:tc>
      </w:tr>
      <w:tr w:rsidR="00F136E9" w:rsidRPr="000D4FA1" w:rsidTr="00C76C5B">
        <w:trPr>
          <w:trHeight w:val="300"/>
        </w:trPr>
        <w:tc>
          <w:tcPr>
            <w:tcW w:w="960" w:type="dxa"/>
            <w:noWrap/>
            <w:vAlign w:val="bottom"/>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88</w:t>
            </w:r>
          </w:p>
        </w:tc>
        <w:tc>
          <w:tcPr>
            <w:tcW w:w="1445"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Kazakhstan</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13.08</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13.45</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13.95</w:t>
            </w:r>
          </w:p>
        </w:tc>
        <w:tc>
          <w:tcPr>
            <w:tcW w:w="12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14.47</w:t>
            </w:r>
          </w:p>
        </w:tc>
        <w:tc>
          <w:tcPr>
            <w:tcW w:w="1100" w:type="dxa"/>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14.35</w:t>
            </w:r>
          </w:p>
        </w:tc>
        <w:tc>
          <w:tcPr>
            <w:tcW w:w="1158" w:type="dxa"/>
            <w:shd w:val="clear" w:color="000000" w:fill="FCEB84"/>
            <w:noWrap/>
            <w:hideMark/>
          </w:tcPr>
          <w:p w:rsidR="00F136E9" w:rsidRPr="000D4FA1" w:rsidRDefault="00F136E9" w:rsidP="00C76C5B">
            <w:pPr>
              <w:spacing w:after="0" w:line="240" w:lineRule="auto"/>
              <w:jc w:val="center"/>
              <w:rPr>
                <w:rFonts w:ascii="Times New Roman" w:eastAsia="Times New Roman" w:hAnsi="Times New Roman" w:cs="Times New Roman"/>
                <w:color w:val="000000"/>
              </w:rPr>
            </w:pPr>
            <w:r w:rsidRPr="000D4FA1">
              <w:rPr>
                <w:rFonts w:ascii="Times New Roman" w:eastAsia="Times New Roman" w:hAnsi="Times New Roman" w:cs="Times New Roman"/>
                <w:color w:val="000000"/>
              </w:rPr>
              <w:t>6.66</w:t>
            </w:r>
          </w:p>
        </w:tc>
      </w:tr>
      <w:tr w:rsidR="00F136E9" w:rsidRPr="0036668B" w:rsidTr="00C76C5B">
        <w:trPr>
          <w:trHeight w:val="300"/>
        </w:trPr>
        <w:tc>
          <w:tcPr>
            <w:tcW w:w="9463" w:type="dxa"/>
            <w:gridSpan w:val="8"/>
            <w:noWrap/>
            <w:vAlign w:val="bottom"/>
          </w:tcPr>
          <w:p w:rsidR="00F136E9" w:rsidRPr="000D4FA1" w:rsidRDefault="00F136E9" w:rsidP="00100F49">
            <w:pPr>
              <w:pStyle w:val="a4"/>
              <w:spacing w:before="0" w:beforeAutospacing="0" w:after="0" w:afterAutospacing="0"/>
              <w:ind w:firstLine="720"/>
              <w:jc w:val="both"/>
            </w:pPr>
            <w:r w:rsidRPr="000D4FA1">
              <w:rPr>
                <w:color w:val="000000"/>
              </w:rPr>
              <w:t>Примечание</w:t>
            </w:r>
            <w:r w:rsidR="003855B7" w:rsidRPr="000D4FA1">
              <w:rPr>
                <w:color w:val="000000"/>
              </w:rPr>
              <w:t xml:space="preserve"> –</w:t>
            </w:r>
            <w:r w:rsidR="00100F49" w:rsidRPr="000D4FA1">
              <w:t xml:space="preserve"> построен</w:t>
            </w:r>
            <w:r w:rsidR="003855B7" w:rsidRPr="000D4FA1">
              <w:t>о</w:t>
            </w:r>
            <w:r w:rsidR="00100F49" w:rsidRPr="000D4FA1">
              <w:t xml:space="preserve"> автором на основании официальных статистических данных Всемирного банка (World Bank Open Data).</w:t>
            </w:r>
          </w:p>
        </w:tc>
      </w:tr>
    </w:tbl>
    <w:p w:rsidR="00100F49" w:rsidRPr="000D4FA1" w:rsidRDefault="00100F4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Представленная таблица </w:t>
      </w:r>
      <w:r w:rsidR="00D17049" w:rsidRPr="000D4FA1">
        <w:rPr>
          <w:sz w:val="28"/>
          <w:szCs w:val="28"/>
        </w:rPr>
        <w:t>20</w:t>
      </w:r>
      <w:r w:rsidR="00100F49" w:rsidRPr="000D4FA1">
        <w:rPr>
          <w:sz w:val="28"/>
          <w:szCs w:val="28"/>
        </w:rPr>
        <w:t xml:space="preserve"> </w:t>
      </w:r>
      <w:r w:rsidRPr="000D4FA1">
        <w:rPr>
          <w:sz w:val="28"/>
          <w:szCs w:val="28"/>
        </w:rPr>
        <w:t>отражает динамику показателей фиксированных широкополосных подключений (Fixed broadband subscriptions) в ведущих странах мира за период 2019–2023 гг., демонстрируя как уровень цифровой инфраструктуры, так и скорость её развития. В целом все страны из выборки характеризуются стабильно высокими значениями, что свидетельствует о развитой телекоммуникационной среде как важном элементе человеческого капитала. Однако темпы роста существенно различаются.</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Так, Китай (+31,92) и Мальта (+7,72) демонстрируют наиболее значительный прирост фиксированных подключений, что отражает активную государственную цифровую политику и быстрое расширение сетевой инфраструктуры. Казахстан (+6,66), Андорра (+6,34) и Лихтенштейн (+6,11) также показывают высокие темпы роста, что указывает на ускоренное развитие широкополосных сетей и повышение доступности цифровых услуг.</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В странах с уже очень высоким уровнем подключений </w:t>
      </w:r>
      <w:r w:rsidR="008506F2" w:rsidRPr="000D4FA1">
        <w:rPr>
          <w:sz w:val="28"/>
          <w:szCs w:val="28"/>
        </w:rPr>
        <w:t>–</w:t>
      </w:r>
      <w:r w:rsidRPr="000D4FA1">
        <w:rPr>
          <w:sz w:val="28"/>
          <w:szCs w:val="28"/>
        </w:rPr>
        <w:t xml:space="preserve"> Швейцария, Норвегия, Франция, Корея (Республика) </w:t>
      </w:r>
      <w:r w:rsidR="008506F2" w:rsidRPr="000D4FA1">
        <w:rPr>
          <w:sz w:val="28"/>
          <w:szCs w:val="28"/>
        </w:rPr>
        <w:t>–</w:t>
      </w:r>
      <w:r w:rsidRPr="000D4FA1">
        <w:rPr>
          <w:sz w:val="28"/>
          <w:szCs w:val="28"/>
        </w:rPr>
        <w:t xml:space="preserve"> прирост более умеренный (от +2,37 до +4,79), что логично объясняется эффектом насыщения, когда большая часть населения уже обеспечена широкополосным доступом. Несмотря на это, показатели остаются крайне высокими, обеспечивая стабильные условия для развития цифровой экономики и инновационной деятельности.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Отдельного внимания заслуживает Монако, где прирост составил всего +1,85. Это связано не с замедлением развития, а с тем, что страна по факту достигла потолка насыщения благодаря компактной территории и почти полной цифровизации домохозяйств.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Казахстан занимает 88</w:t>
      </w:r>
      <w:r w:rsidR="007B767F" w:rsidRPr="000D4FA1">
        <w:rPr>
          <w:sz w:val="28"/>
          <w:szCs w:val="28"/>
        </w:rPr>
        <w:t>–</w:t>
      </w:r>
      <w:r w:rsidRPr="000D4FA1">
        <w:rPr>
          <w:sz w:val="28"/>
          <w:szCs w:val="28"/>
        </w:rPr>
        <w:t xml:space="preserve">е место в рейтинге стран по уровню фиксированных широкополосных подключений, что свидетельствует о сравнительно низкой распространённости высокоскоростного домашнего интернета по сравнению с развитыми цифровыми экономиками. Несмотря на постепенный рост показателя в динамике, текущий уровень подключений остаётся существенно ниже среднемировых и особенно </w:t>
      </w:r>
      <w:r w:rsidR="008506F2" w:rsidRPr="000D4FA1">
        <w:rPr>
          <w:sz w:val="28"/>
          <w:szCs w:val="28"/>
        </w:rPr>
        <w:t>–</w:t>
      </w:r>
      <w:r w:rsidRPr="000D4FA1">
        <w:rPr>
          <w:sz w:val="28"/>
          <w:szCs w:val="28"/>
        </w:rPr>
        <w:t xml:space="preserve"> показателей цифровых лидеров (Швейцарии, Сингапура, Южной Кореи, Франции и др.).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Такое положение указывает на сохраняющиеся барьеры в развитии широкополосной инфраструктуры, что напрямую влияет на доступность цифровых сервисов, скорость цифровизации домохозяйств и, в конечном счёте, на качество человеческого капитала. Для укрепления цифровой конкурентоспособности стране необходимо ускорять инвестиции в расширение сети, снижать барьеры подключения и повышать качество интернет</w:t>
      </w:r>
      <w:r w:rsidR="007B767F" w:rsidRPr="000D4FA1">
        <w:rPr>
          <w:sz w:val="28"/>
          <w:szCs w:val="28"/>
        </w:rPr>
        <w:t>–</w:t>
      </w:r>
      <w:r w:rsidRPr="000D4FA1">
        <w:rPr>
          <w:sz w:val="28"/>
          <w:szCs w:val="28"/>
        </w:rPr>
        <w:t>услуг в регионах.</w:t>
      </w:r>
    </w:p>
    <w:p w:rsidR="00F136E9" w:rsidRPr="000D4FA1" w:rsidRDefault="00F136E9" w:rsidP="00F136E9">
      <w:pPr>
        <w:pStyle w:val="a4"/>
        <w:spacing w:before="0" w:beforeAutospacing="0" w:after="0" w:afterAutospacing="0"/>
        <w:ind w:firstLine="720"/>
        <w:jc w:val="both"/>
        <w:rPr>
          <w:sz w:val="28"/>
          <w:szCs w:val="28"/>
        </w:rPr>
      </w:pPr>
      <w:r w:rsidRPr="000D4FA1">
        <w:rPr>
          <w:noProof/>
          <w:sz w:val="28"/>
          <w:szCs w:val="28"/>
        </w:rPr>
        <w:drawing>
          <wp:anchor distT="0" distB="0" distL="114300" distR="114300" simplePos="0" relativeHeight="251664384" behindDoc="1" locked="0" layoutInCell="1" allowOverlap="1">
            <wp:simplePos x="0" y="0"/>
            <wp:positionH relativeFrom="margin">
              <wp:align>left</wp:align>
            </wp:positionH>
            <wp:positionV relativeFrom="paragraph">
              <wp:posOffset>1551940</wp:posOffset>
            </wp:positionV>
            <wp:extent cx="5876290" cy="3657600"/>
            <wp:effectExtent l="0" t="0" r="0" b="0"/>
            <wp:wrapTight wrapText="bothSides">
              <wp:wrapPolygon edited="0">
                <wp:start x="0" y="0"/>
                <wp:lineTo x="0" y="21488"/>
                <wp:lineTo x="21497" y="21488"/>
                <wp:lineTo x="21497" y="0"/>
                <wp:lineTo x="0" y="0"/>
              </wp:wrapPolygon>
            </wp:wrapTight>
            <wp:docPr id="1070825245" name="Рисунок 3" descr="Изображение выглядит как текст, число, снимок экран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25245" name="Рисунок 3" descr="Изображение выглядит как текст, число, снимок экрана, Параллельный&#10;&#10;Содержимое, созданное искусственным интеллектом, может быть неверным."/>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6290" cy="3657600"/>
                    </a:xfrm>
                    <a:prstGeom prst="rect">
                      <a:avLst/>
                    </a:prstGeom>
                    <a:noFill/>
                  </pic:spPr>
                </pic:pic>
              </a:graphicData>
            </a:graphic>
          </wp:anchor>
        </w:drawing>
      </w:r>
      <w:r w:rsidRPr="000D4FA1">
        <w:rPr>
          <w:sz w:val="28"/>
          <w:szCs w:val="28"/>
        </w:rPr>
        <w:t>Таким образом, данные свидетельствуют о том, что развитие фиксированной широкополосной инфраструктуры остаётся ключевым элементом формирования человеческого капитала и цифровой конкурентоспособности стран. Высокий и растущий уровень подключений тесно связан с доступом к образованию, инновационной активностью населения и качеством государственных услуг, что напрямую поддерживает общую концепцию диссертационного исследования.</w:t>
      </w:r>
    </w:p>
    <w:p w:rsidR="00F136E9" w:rsidRPr="000D4FA1" w:rsidRDefault="00F136E9" w:rsidP="003855B7">
      <w:pPr>
        <w:pStyle w:val="a4"/>
        <w:spacing w:before="0" w:beforeAutospacing="0" w:after="0" w:afterAutospacing="0"/>
        <w:ind w:firstLine="720"/>
        <w:jc w:val="center"/>
        <w:rPr>
          <w:sz w:val="28"/>
          <w:szCs w:val="28"/>
        </w:rPr>
      </w:pPr>
      <w:r w:rsidRPr="000D4FA1">
        <w:rPr>
          <w:sz w:val="28"/>
          <w:szCs w:val="28"/>
        </w:rPr>
        <w:t xml:space="preserve">Рисунок </w:t>
      </w:r>
      <w:r w:rsidR="00B80F8B" w:rsidRPr="000D4FA1">
        <w:rPr>
          <w:sz w:val="28"/>
          <w:szCs w:val="28"/>
        </w:rPr>
        <w:t>1</w:t>
      </w:r>
      <w:r w:rsidR="00A00396">
        <w:rPr>
          <w:sz w:val="28"/>
          <w:szCs w:val="28"/>
        </w:rPr>
        <w:t>9</w:t>
      </w:r>
      <w:r w:rsidR="00D17049" w:rsidRPr="000D4FA1">
        <w:rPr>
          <w:sz w:val="28"/>
          <w:szCs w:val="28"/>
        </w:rPr>
        <w:t xml:space="preserve"> –</w:t>
      </w:r>
      <w:r w:rsidR="003855B7" w:rsidRPr="000D4FA1">
        <w:rPr>
          <w:sz w:val="28"/>
          <w:szCs w:val="28"/>
        </w:rPr>
        <w:t xml:space="preserve"> </w:t>
      </w:r>
      <w:r w:rsidRPr="000D4FA1">
        <w:rPr>
          <w:sz w:val="28"/>
          <w:szCs w:val="28"/>
        </w:rPr>
        <w:t>Взаимосвязь доли государственных расходов на образование (GEE) и уровня грамотности населения</w:t>
      </w:r>
    </w:p>
    <w:p w:rsidR="003855B7" w:rsidRPr="000D4FA1" w:rsidRDefault="003855B7" w:rsidP="003855B7">
      <w:pPr>
        <w:pStyle w:val="a4"/>
        <w:spacing w:before="0" w:beforeAutospacing="0" w:after="0" w:afterAutospacing="0"/>
        <w:ind w:firstLine="720"/>
        <w:jc w:val="both"/>
      </w:pPr>
      <w:r w:rsidRPr="000D4FA1">
        <w:t>Примечание – составлено автором на основе исследования</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Диаграмма демонстрирует распределение 76 стран по двум ключевым параметрам человеческого капитала: доле государственных расходов на образование (GEE, %) и уровню грамотности взрослого населения (%). Распределение точек показывает умеренную положительную связь: государства, инвестирующие в образование 20–30% госбюджета, чаще достигают уровня грамотности 95–100%. К группе таких стран относятся Узбекистан, Казахстан, Туркменистан, Таджикистан, Монголия, Корея и Мальдивы.</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странах с низким уровнем грамотности (&lt;80%) наблюдается менее выраженная зависимость от величины расходов: некоторые государства Африки (Малави, Нигерия, Ангола, Камерун, Р</w:t>
      </w:r>
      <w:r w:rsidR="00935C7D" w:rsidRPr="000D4FA1">
        <w:rPr>
          <w:sz w:val="28"/>
          <w:szCs w:val="28"/>
          <w:lang w:val="kk-KZ"/>
        </w:rPr>
        <w:t>уанда</w:t>
      </w:r>
      <w:r w:rsidRPr="000D4FA1">
        <w:rPr>
          <w:sz w:val="28"/>
          <w:szCs w:val="28"/>
        </w:rPr>
        <w:t xml:space="preserve">) демонстрируют относительно высокие расходы (12–20%), но результаты в грамотности остаются низкими. Это указывает на структурные проблемы </w:t>
      </w:r>
      <w:r w:rsidR="008506F2" w:rsidRPr="000D4FA1">
        <w:rPr>
          <w:sz w:val="28"/>
          <w:szCs w:val="28"/>
        </w:rPr>
        <w:t>–</w:t>
      </w:r>
      <w:r w:rsidRPr="000D4FA1">
        <w:rPr>
          <w:sz w:val="28"/>
          <w:szCs w:val="28"/>
        </w:rPr>
        <w:t xml:space="preserve"> низкую эффективность использования средств, недостаток квалифицированных кадров, региональные барьеры и ограниченную доступность образования.</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Интересно отметить, что ряд стран с умеренными расходами (8–15%) достигают почти максимальной грамотности. Это Молдавия, Беларусь, Азербайджан, Армения, Грузия. В этих странах качество образовательных систем, историческая накопленная институциональная база и высокий уровень урбанизации компенсируют невысокие доли бюджета.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Казахстан на диаграмме занимает позицию со значением GEE около </w:t>
      </w:r>
      <w:r w:rsidRPr="000D4FA1">
        <w:rPr>
          <w:bCs/>
          <w:sz w:val="28"/>
          <w:szCs w:val="28"/>
        </w:rPr>
        <w:t>21%</w:t>
      </w:r>
      <w:r w:rsidRPr="000D4FA1">
        <w:rPr>
          <w:sz w:val="28"/>
          <w:szCs w:val="28"/>
        </w:rPr>
        <w:t xml:space="preserve"> и грамотностью </w:t>
      </w:r>
      <w:r w:rsidRPr="000D4FA1">
        <w:rPr>
          <w:bCs/>
          <w:sz w:val="28"/>
          <w:szCs w:val="28"/>
        </w:rPr>
        <w:t>99%</w:t>
      </w:r>
      <w:r w:rsidRPr="000D4FA1">
        <w:rPr>
          <w:sz w:val="28"/>
          <w:szCs w:val="28"/>
        </w:rPr>
        <w:t>, что соответствует группе стран с устойчивым человеческим капиталом. Расположение Казахстана среди кластеров развитых образовательных систем подтверждает эффективность бюджетной политики в сфере образования и высокую отдачу от вложений.</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целом распределение стран показывает, что простое увеличение доли бюджетных расходов не гарантирует роста грамотности. Значимую роль играют институциональные и социально</w:t>
      </w:r>
      <w:r w:rsidR="007B767F" w:rsidRPr="000D4FA1">
        <w:rPr>
          <w:sz w:val="28"/>
          <w:szCs w:val="28"/>
        </w:rPr>
        <w:t>–</w:t>
      </w:r>
      <w:r w:rsidRPr="000D4FA1">
        <w:rPr>
          <w:sz w:val="28"/>
          <w:szCs w:val="28"/>
        </w:rPr>
        <w:t>экономические факторы: эффективность управления образованием, доступность инфраструктуры, цифровизация, подготовка педагогов, региональные неравенства.</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3855B7">
      <w:pPr>
        <w:pStyle w:val="a4"/>
        <w:spacing w:before="0" w:beforeAutospacing="0" w:after="0" w:afterAutospacing="0"/>
        <w:ind w:firstLine="720"/>
        <w:jc w:val="center"/>
        <w:rPr>
          <w:sz w:val="28"/>
          <w:szCs w:val="28"/>
        </w:rPr>
      </w:pPr>
      <w:r w:rsidRPr="000D4FA1">
        <w:rPr>
          <w:sz w:val="28"/>
          <w:szCs w:val="28"/>
        </w:rPr>
        <w:lastRenderedPageBreak/>
        <w:t xml:space="preserve">Рисунок </w:t>
      </w:r>
      <w:r w:rsidR="00A00396">
        <w:rPr>
          <w:sz w:val="28"/>
          <w:szCs w:val="28"/>
        </w:rPr>
        <w:t>20</w:t>
      </w:r>
      <w:r w:rsidR="003855B7" w:rsidRPr="000D4FA1">
        <w:rPr>
          <w:sz w:val="28"/>
          <w:szCs w:val="28"/>
        </w:rPr>
        <w:t xml:space="preserve"> –</w:t>
      </w:r>
      <w:r w:rsidRPr="000D4FA1">
        <w:rPr>
          <w:sz w:val="28"/>
          <w:szCs w:val="28"/>
        </w:rPr>
        <w:t xml:space="preserve"> Взаимосвязь между уровнем грамотности населения и количеством фиксированных широкополосных подключений (FB_sub)</w:t>
      </w:r>
      <w:r w:rsidRPr="000D4FA1">
        <w:rPr>
          <w:noProof/>
        </w:rPr>
        <w:drawing>
          <wp:anchor distT="0" distB="0" distL="114300" distR="114300" simplePos="0" relativeHeight="251667456" behindDoc="1" locked="0" layoutInCell="1" allowOverlap="1">
            <wp:simplePos x="0" y="0"/>
            <wp:positionH relativeFrom="margin">
              <wp:posOffset>-1270</wp:posOffset>
            </wp:positionH>
            <wp:positionV relativeFrom="paragraph">
              <wp:posOffset>254</wp:posOffset>
            </wp:positionV>
            <wp:extent cx="5940425" cy="4321175"/>
            <wp:effectExtent l="0" t="0" r="3175" b="3175"/>
            <wp:wrapTight wrapText="bothSides">
              <wp:wrapPolygon edited="0">
                <wp:start x="0" y="0"/>
                <wp:lineTo x="0" y="21521"/>
                <wp:lineTo x="21542" y="21521"/>
                <wp:lineTo x="21542" y="0"/>
                <wp:lineTo x="0" y="0"/>
              </wp:wrapPolygon>
            </wp:wrapTight>
            <wp:docPr id="205088066"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B32B0B3-FC32-6C58-5A0B-5ECD7BF16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3855B7" w:rsidRPr="000D4FA1" w:rsidRDefault="003855B7" w:rsidP="003855B7">
      <w:pPr>
        <w:pStyle w:val="a4"/>
        <w:spacing w:before="0" w:beforeAutospacing="0" w:after="0" w:afterAutospacing="0"/>
        <w:ind w:firstLine="720"/>
        <w:jc w:val="both"/>
      </w:pPr>
      <w:r w:rsidRPr="000D4FA1">
        <w:t>Примечание – составлено автором на основе исследования</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Диаграмма отражает характер связи между уровнем грамотности населения и распространённостью фиксированного широкополосного доступа к интернету (FB_sub) среди 70 развивающихся и переходных экономик. Наблюдается выраженная положительная зависимость: страны с более высоким уровнем цифровой инфраструктуры, как правило, демонстрируют и более высокие показатели грамотности. В кластере государств с высокими значениями FB_sub (20–35 подключений на 100 человек) располагаются преимущественно страны со стабильной грамотностью выше 95% </w:t>
      </w:r>
      <w:r w:rsidR="008506F2" w:rsidRPr="000D4FA1">
        <w:rPr>
          <w:sz w:val="28"/>
          <w:szCs w:val="28"/>
        </w:rPr>
        <w:t>–</w:t>
      </w:r>
      <w:r w:rsidRPr="000D4FA1">
        <w:rPr>
          <w:sz w:val="28"/>
          <w:szCs w:val="28"/>
        </w:rPr>
        <w:t xml:space="preserve"> Сингапур, Беларусь, Узбекистан, Грузия, Казахстан. Это подтверждает гипотезу о том, что развитая телекоммуникационная среда способствует улучшению доступа к информации, расширению образовательных возможностей и повышению качества человеческого капитала.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нижнем левом секторе графика видна группа стран с низкой цифровой доступностью (0–5 подключений) и одновременно низкой грамотностью (40–70%). К ним относятся Бенин, Коморские острова, Малави, Нигерия. Эти страны характеризуются структурной цифровой отсталостью, ограниченной инфраструктурой связи и низким уровнем государственных инвестиций в образование, что объясняет слабую позицию в области развития человеческого капитала.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Интерес представляет группа стран со средним уровнем интернет</w:t>
      </w:r>
      <w:r w:rsidR="007B767F" w:rsidRPr="000D4FA1">
        <w:rPr>
          <w:sz w:val="28"/>
          <w:szCs w:val="28"/>
        </w:rPr>
        <w:t>–</w:t>
      </w:r>
      <w:r w:rsidRPr="000D4FA1">
        <w:rPr>
          <w:sz w:val="28"/>
          <w:szCs w:val="28"/>
        </w:rPr>
        <w:t>распространённости (10–20 подключений), но сильно различающимся уровнем грамотности (от 70% до 100%). Например, Камбоджа и Бангладеш остаются ниже тренда, демонстрируя умеренный уровень цифровой инфраструктуры при всё ещё относительно низкой грамотности. Напротив, Кыргызстан, Филиппины и Доминиканская Республика показывают высокие образовательные результаты даже при средних цифровых показателях, что свидетельствует о более эффективных образовательных системах.</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целом, диаграмма подтверждает: доступ к цифровым услугам является значимым фактором, способствующим увеличению уровня грамотности, а цифровая инфраструктура становится важной компонентой формирования человеческого капитала. Выявленные различия между группами стран позволяют сделать вывод о важности комплексной государственной политики, направленной одновременно на развитие телекоммуникаций и системы образования.</w:t>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Таблица </w:t>
      </w:r>
      <w:r w:rsidR="00D17049" w:rsidRPr="000D4FA1">
        <w:rPr>
          <w:sz w:val="28"/>
          <w:szCs w:val="28"/>
        </w:rPr>
        <w:t>21</w:t>
      </w:r>
      <w:r w:rsidR="003855B7" w:rsidRPr="000D4FA1">
        <w:rPr>
          <w:sz w:val="28"/>
          <w:szCs w:val="28"/>
        </w:rPr>
        <w:t xml:space="preserve"> –</w:t>
      </w:r>
      <w:r w:rsidRPr="000D4FA1">
        <w:rPr>
          <w:sz w:val="28"/>
          <w:szCs w:val="28"/>
        </w:rPr>
        <w:t xml:space="preserve"> Описательная статистика социально</w:t>
      </w:r>
      <w:r w:rsidR="007B767F" w:rsidRPr="000D4FA1">
        <w:rPr>
          <w:sz w:val="28"/>
          <w:szCs w:val="28"/>
        </w:rPr>
        <w:t>–</w:t>
      </w:r>
      <w:r w:rsidRPr="000D4FA1">
        <w:rPr>
          <w:sz w:val="28"/>
          <w:szCs w:val="28"/>
        </w:rPr>
        <w:t>экономических показателей, используемых в модели оценки человеческого капитала</w:t>
      </w:r>
    </w:p>
    <w:p w:rsidR="003855B7" w:rsidRPr="000D4FA1" w:rsidRDefault="003855B7" w:rsidP="00F136E9">
      <w:pPr>
        <w:pStyle w:val="a4"/>
        <w:spacing w:before="0" w:beforeAutospacing="0" w:after="0" w:afterAutospacing="0"/>
        <w:ind w:firstLine="720"/>
        <w:jc w:val="both"/>
        <w:rPr>
          <w:sz w:val="28"/>
          <w:szCs w:val="28"/>
        </w:rPr>
      </w:pPr>
    </w:p>
    <w:tbl>
      <w:tblPr>
        <w:tblW w:w="0" w:type="auto"/>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1644"/>
        <w:gridCol w:w="1701"/>
        <w:gridCol w:w="1722"/>
        <w:gridCol w:w="1821"/>
        <w:gridCol w:w="1783"/>
      </w:tblGrid>
      <w:tr w:rsidR="00F136E9" w:rsidRPr="000D4FA1" w:rsidTr="005E72AF">
        <w:trPr>
          <w:trHeight w:val="262"/>
          <w:jc w:val="center"/>
        </w:trPr>
        <w:tc>
          <w:tcPr>
            <w:tcW w:w="1644" w:type="dxa"/>
          </w:tcPr>
          <w:p w:rsidR="00F136E9" w:rsidRPr="005E72AF" w:rsidRDefault="00F136E9" w:rsidP="005E72AF">
            <w:pPr>
              <w:pStyle w:val="a4"/>
              <w:spacing w:before="0" w:beforeAutospacing="0" w:after="0" w:afterAutospacing="0"/>
              <w:jc w:val="center"/>
              <w:rPr>
                <w:b/>
                <w:sz w:val="28"/>
                <w:szCs w:val="28"/>
                <w:lang w:val="kk-KZ"/>
              </w:rPr>
            </w:pPr>
            <w:r w:rsidRPr="005E72AF">
              <w:rPr>
                <w:b/>
                <w:sz w:val="28"/>
                <w:szCs w:val="28"/>
                <w:lang w:val="kk-KZ"/>
              </w:rPr>
              <w:t>Variable</w:t>
            </w:r>
          </w:p>
        </w:tc>
        <w:tc>
          <w:tcPr>
            <w:tcW w:w="1701" w:type="dxa"/>
          </w:tcPr>
          <w:p w:rsidR="00F136E9" w:rsidRPr="005E72AF" w:rsidRDefault="00F136E9" w:rsidP="005E72AF">
            <w:pPr>
              <w:pStyle w:val="a4"/>
              <w:spacing w:before="0" w:beforeAutospacing="0" w:after="0" w:afterAutospacing="0"/>
              <w:jc w:val="center"/>
              <w:rPr>
                <w:b/>
                <w:sz w:val="28"/>
                <w:szCs w:val="28"/>
                <w:lang w:val="kk-KZ"/>
              </w:rPr>
            </w:pPr>
            <w:r w:rsidRPr="005E72AF">
              <w:rPr>
                <w:b/>
                <w:sz w:val="28"/>
                <w:szCs w:val="28"/>
                <w:lang w:val="kk-KZ"/>
              </w:rPr>
              <w:t>Mean</w:t>
            </w:r>
          </w:p>
        </w:tc>
        <w:tc>
          <w:tcPr>
            <w:tcW w:w="1722" w:type="dxa"/>
          </w:tcPr>
          <w:p w:rsidR="00F136E9" w:rsidRPr="005E72AF" w:rsidRDefault="00F136E9" w:rsidP="005E72AF">
            <w:pPr>
              <w:pStyle w:val="a4"/>
              <w:spacing w:before="0" w:beforeAutospacing="0" w:after="0" w:afterAutospacing="0"/>
              <w:jc w:val="center"/>
              <w:rPr>
                <w:b/>
                <w:sz w:val="28"/>
                <w:szCs w:val="28"/>
                <w:lang w:val="kk-KZ"/>
              </w:rPr>
            </w:pPr>
            <w:r w:rsidRPr="005E72AF">
              <w:rPr>
                <w:b/>
                <w:sz w:val="28"/>
                <w:szCs w:val="28"/>
                <w:lang w:val="kk-KZ"/>
              </w:rPr>
              <w:t>Median</w:t>
            </w:r>
          </w:p>
        </w:tc>
        <w:tc>
          <w:tcPr>
            <w:tcW w:w="1821" w:type="dxa"/>
          </w:tcPr>
          <w:p w:rsidR="00F136E9" w:rsidRPr="005E72AF" w:rsidRDefault="00F136E9" w:rsidP="005E72AF">
            <w:pPr>
              <w:pStyle w:val="a4"/>
              <w:spacing w:before="0" w:beforeAutospacing="0" w:after="0" w:afterAutospacing="0"/>
              <w:jc w:val="center"/>
              <w:rPr>
                <w:b/>
                <w:sz w:val="28"/>
                <w:szCs w:val="28"/>
                <w:lang w:val="kk-KZ"/>
              </w:rPr>
            </w:pPr>
            <w:r w:rsidRPr="005E72AF">
              <w:rPr>
                <w:b/>
                <w:sz w:val="28"/>
                <w:szCs w:val="28"/>
                <w:lang w:val="kk-KZ"/>
              </w:rPr>
              <w:t>Minimum</w:t>
            </w:r>
          </w:p>
        </w:tc>
        <w:tc>
          <w:tcPr>
            <w:tcW w:w="1783" w:type="dxa"/>
          </w:tcPr>
          <w:p w:rsidR="00F136E9" w:rsidRPr="005E72AF" w:rsidRDefault="00F136E9" w:rsidP="005E72AF">
            <w:pPr>
              <w:pStyle w:val="a4"/>
              <w:spacing w:before="0" w:beforeAutospacing="0" w:after="0" w:afterAutospacing="0"/>
              <w:jc w:val="center"/>
              <w:rPr>
                <w:b/>
                <w:sz w:val="28"/>
                <w:szCs w:val="28"/>
                <w:lang w:val="kk-KZ"/>
              </w:rPr>
            </w:pPr>
            <w:r w:rsidRPr="005E72AF">
              <w:rPr>
                <w:b/>
                <w:sz w:val="28"/>
                <w:szCs w:val="28"/>
                <w:lang w:val="kk-KZ"/>
              </w:rPr>
              <w:t>Maximum</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GEE</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14.947</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13.840</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2.9785</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32.042</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GDP_pc</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9284.7</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4566.8</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508.37</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90674.</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LIT</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18.375</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0.00000</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0.00000</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99.603</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11.663</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10.266</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4.1692</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37.064</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DIR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4.6875</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3.5281</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0.53417</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18.122</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Variable</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Std. Dev.</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C.V.</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Skewness</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Ex. kurtosis</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GEE</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5.5073</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0.36846</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0.72250</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0.65397</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GDP_pc</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14537.</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1.5657</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3.5412</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14.489</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LIT</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25.756</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1.4017</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1.5357</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1.8680</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6.4856</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0.55610</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1.9964</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5.1228</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DIR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3.7522</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0.80047</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1.4585</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2.5901</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Variable</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 Perc.</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95% Perc.</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IQ range</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Missing obs.</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GEE</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6.9825</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25.483</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6.6137</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GDP_pc</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917.68</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42893.</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6431.3</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8</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LIT</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0.00000</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84.421</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31.007</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LIR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4.5023</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26.616</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5.7459</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42</w:t>
            </w:r>
          </w:p>
        </w:tc>
      </w:tr>
      <w:tr w:rsidR="00F136E9" w:rsidRPr="000D4FA1" w:rsidTr="005E72AF">
        <w:trPr>
          <w:trHeight w:val="262"/>
          <w:jc w:val="center"/>
        </w:trPr>
        <w:tc>
          <w:tcPr>
            <w:tcW w:w="1644"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DIR</w:t>
            </w:r>
          </w:p>
        </w:tc>
        <w:tc>
          <w:tcPr>
            <w:tcW w:w="170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0.89061</w:t>
            </w:r>
          </w:p>
        </w:tc>
        <w:tc>
          <w:tcPr>
            <w:tcW w:w="1722"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11.688</w:t>
            </w:r>
          </w:p>
        </w:tc>
        <w:tc>
          <w:tcPr>
            <w:tcW w:w="1821"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5.3209</w:t>
            </w:r>
          </w:p>
        </w:tc>
        <w:tc>
          <w:tcPr>
            <w:tcW w:w="1783" w:type="dxa"/>
          </w:tcPr>
          <w:p w:rsidR="00F136E9" w:rsidRPr="00E738EB" w:rsidRDefault="00F136E9" w:rsidP="001140E9">
            <w:pPr>
              <w:pStyle w:val="a4"/>
              <w:spacing w:before="0" w:beforeAutospacing="0" w:after="0" w:afterAutospacing="0"/>
              <w:jc w:val="both"/>
              <w:rPr>
                <w:sz w:val="28"/>
                <w:szCs w:val="28"/>
                <w:lang w:val="kk-KZ"/>
              </w:rPr>
            </w:pPr>
            <w:r w:rsidRPr="00E738EB">
              <w:rPr>
                <w:sz w:val="28"/>
                <w:szCs w:val="28"/>
                <w:lang w:val="kk-KZ"/>
              </w:rPr>
              <w:t>40</w:t>
            </w:r>
          </w:p>
        </w:tc>
      </w:tr>
    </w:tbl>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Представленная описательная статистика отражает ключевые характеристики выборки из 76 стран, включённых в исследование формирования человеческого капитала. Переменные демонстрируют существенную неоднородность, что подтверждает актуальность межстранового анализа и необходимость использования регрессионных методов.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 xml:space="preserve">Показатель государственных расходов на образование (GEE) имеет умеренную вариацию: среднее значение составляет 14.95%, медиана близка </w:t>
      </w:r>
      <w:r w:rsidR="008506F2" w:rsidRPr="000D4FA1">
        <w:rPr>
          <w:sz w:val="28"/>
          <w:szCs w:val="28"/>
        </w:rPr>
        <w:t>–</w:t>
      </w:r>
      <w:r w:rsidRPr="000D4FA1">
        <w:rPr>
          <w:sz w:val="28"/>
          <w:szCs w:val="28"/>
        </w:rPr>
        <w:t xml:space="preserve"> 13.84%, а диапазон колеблется от 2.98% до 32.04%. Коэффициент вариации (0.37) указывает на относительно стабильное распределение доли образовательных расходов среди стран, что делает данный показатель надёжным фактором в модели.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ВВП на душу населения (GDP_pc) характеризуется крайне высокой дисперсией, что типично для глобальных выборок: минимальное значение составляет 508 USD, максимальное </w:t>
      </w:r>
      <w:r w:rsidR="008506F2" w:rsidRPr="000D4FA1">
        <w:rPr>
          <w:sz w:val="28"/>
          <w:szCs w:val="28"/>
        </w:rPr>
        <w:t>–</w:t>
      </w:r>
      <w:r w:rsidRPr="000D4FA1">
        <w:rPr>
          <w:sz w:val="28"/>
          <w:szCs w:val="28"/>
        </w:rPr>
        <w:t xml:space="preserve"> 90 674 USD. Высокая стандартная ошибка и значительный коэффициент вариации (1.56) показывают сильное межстрановое неравенство развития, которое необходимо учитывать при интерпретации эффектов.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Показатель владения английским языком (LIT) обладает наиболее широкой вариативностью (от 0 до 99.6), что отражает существенные различия в языковой подготовке населения. Высокая асимметрия (1.54) и положительная эксцессивность (1.87) свидетельствуют о смещённости распределения в сторону стран с низкими значениями.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Переменные цифровой инфраструктуры (LIR и DIR) также демонстрируют значительную вариативность. Для LIR коэффициент вариации составляет 0.56, что говорит о средней неоднородности. Для DIR вариация выше (0.80), а распределение характеризуется умеренной положительной асимметрией, что отражает разрыв между странами с высокими и низкими уровнями цифровой доступности.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Дополнительно стоит отметить значительные объёмы пропущенных данных для LIR и DIR (42 и 40 наблюдений соответственно), что ограничивает полноту сравнения и подчёркивает необходимость корректных процедур обработки данных (лист</w:t>
      </w:r>
      <w:r w:rsidR="007B767F" w:rsidRPr="000D4FA1">
        <w:rPr>
          <w:sz w:val="28"/>
          <w:szCs w:val="28"/>
        </w:rPr>
        <w:t>–</w:t>
      </w:r>
      <w:r w:rsidRPr="000D4FA1">
        <w:rPr>
          <w:sz w:val="28"/>
          <w:szCs w:val="28"/>
        </w:rPr>
        <w:t>вайс, мультиимпутация и др.).</w:t>
      </w:r>
    </w:p>
    <w:p w:rsidR="00F136E9" w:rsidRDefault="00F136E9" w:rsidP="00F136E9">
      <w:pPr>
        <w:pStyle w:val="a4"/>
        <w:spacing w:before="0" w:beforeAutospacing="0" w:after="0" w:afterAutospacing="0"/>
        <w:ind w:firstLine="720"/>
        <w:jc w:val="both"/>
        <w:rPr>
          <w:sz w:val="28"/>
          <w:szCs w:val="28"/>
        </w:rPr>
      </w:pPr>
      <w:r w:rsidRPr="000D4FA1">
        <w:rPr>
          <w:sz w:val="28"/>
          <w:szCs w:val="28"/>
        </w:rPr>
        <w:t>В целом, описательная статистика подтверждает, что показатели отличаются не только по уровням, но и по форме распределения, что делает выбор OLS</w:t>
      </w:r>
      <w:r w:rsidR="007B767F" w:rsidRPr="000D4FA1">
        <w:rPr>
          <w:sz w:val="28"/>
          <w:szCs w:val="28"/>
        </w:rPr>
        <w:t>–</w:t>
      </w:r>
      <w:r w:rsidRPr="000D4FA1">
        <w:rPr>
          <w:sz w:val="28"/>
          <w:szCs w:val="28"/>
        </w:rPr>
        <w:t>модели оправданным при условии проведения последующей диагностики остатков. Высокая неоднородность значений между странами отражает реальные различия в социально</w:t>
      </w:r>
      <w:r w:rsidR="007B767F" w:rsidRPr="000D4FA1">
        <w:rPr>
          <w:sz w:val="28"/>
          <w:szCs w:val="28"/>
        </w:rPr>
        <w:t>–</w:t>
      </w:r>
      <w:r w:rsidRPr="000D4FA1">
        <w:rPr>
          <w:sz w:val="28"/>
          <w:szCs w:val="28"/>
        </w:rPr>
        <w:t>экономических условиях и подтверждает необходимость международного анализа факторов, влияющих на человеческий капитал.</w:t>
      </w:r>
    </w:p>
    <w:p w:rsidR="007F50FD" w:rsidRPr="000D4FA1" w:rsidRDefault="007F50FD" w:rsidP="00F136E9">
      <w:pPr>
        <w:pStyle w:val="a4"/>
        <w:spacing w:before="0" w:beforeAutospacing="0" w:after="0" w:afterAutospacing="0"/>
        <w:ind w:firstLine="720"/>
        <w:jc w:val="both"/>
        <w:rPr>
          <w:sz w:val="28"/>
          <w:szCs w:val="28"/>
        </w:rPr>
      </w:pPr>
    </w:p>
    <w:p w:rsidR="00F136E9" w:rsidRPr="000D4FA1" w:rsidRDefault="00100F49" w:rsidP="0087121B">
      <w:pPr>
        <w:jc w:val="both"/>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3</w:t>
      </w:r>
      <w:r w:rsidR="00F136E9" w:rsidRPr="000D4FA1">
        <w:rPr>
          <w:rFonts w:ascii="Times New Roman" w:eastAsia="Times New Roman" w:hAnsi="Times New Roman" w:cs="Times New Roman"/>
          <w:b/>
          <w:sz w:val="28"/>
          <w:szCs w:val="28"/>
          <w:lang w:val="ru-RU" w:eastAsia="ru-RU"/>
        </w:rPr>
        <w:t>.</w:t>
      </w:r>
      <w:r w:rsidR="00E96602" w:rsidRPr="000D4FA1">
        <w:rPr>
          <w:rFonts w:ascii="Times New Roman" w:eastAsia="Times New Roman" w:hAnsi="Times New Roman" w:cs="Times New Roman"/>
          <w:b/>
          <w:sz w:val="28"/>
          <w:szCs w:val="28"/>
          <w:lang w:val="ru-RU" w:eastAsia="ru-RU"/>
        </w:rPr>
        <w:t>2</w:t>
      </w:r>
      <w:r w:rsidR="00F136E9" w:rsidRPr="000D4FA1">
        <w:rPr>
          <w:rFonts w:ascii="Times New Roman" w:eastAsia="Times New Roman" w:hAnsi="Times New Roman" w:cs="Times New Roman"/>
          <w:b/>
          <w:sz w:val="28"/>
          <w:szCs w:val="28"/>
          <w:lang w:val="ru-RU" w:eastAsia="ru-RU"/>
        </w:rPr>
        <w:t xml:space="preserve"> Стратегии укрепления организационной устойчивости ТиПО на основе выявленных социально</w:t>
      </w:r>
      <w:r w:rsidR="007B767F" w:rsidRPr="000D4FA1">
        <w:rPr>
          <w:rFonts w:ascii="Times New Roman" w:eastAsia="Times New Roman" w:hAnsi="Times New Roman" w:cs="Times New Roman"/>
          <w:b/>
          <w:sz w:val="28"/>
          <w:szCs w:val="28"/>
          <w:lang w:val="ru-RU" w:eastAsia="ru-RU"/>
        </w:rPr>
        <w:t>–</w:t>
      </w:r>
      <w:r w:rsidR="00F136E9" w:rsidRPr="000D4FA1">
        <w:rPr>
          <w:rFonts w:ascii="Times New Roman" w:eastAsia="Times New Roman" w:hAnsi="Times New Roman" w:cs="Times New Roman"/>
          <w:b/>
          <w:sz w:val="28"/>
          <w:szCs w:val="28"/>
          <w:lang w:val="ru-RU" w:eastAsia="ru-RU"/>
        </w:rPr>
        <w:t>экономических факторов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Настоящий раздел посвящен проверке выдвинутых гипотез о влиянии человеческого потенциала (ЧП) на устойчивость системы технического и профессионального образования (ТиПО) посредством корреляционно</w:t>
      </w:r>
      <w:r w:rsidR="007B767F" w:rsidRPr="000D4FA1">
        <w:rPr>
          <w:sz w:val="28"/>
          <w:szCs w:val="28"/>
        </w:rPr>
        <w:t>–</w:t>
      </w:r>
      <w:r w:rsidRPr="000D4FA1">
        <w:rPr>
          <w:sz w:val="28"/>
          <w:szCs w:val="28"/>
        </w:rPr>
        <w:t>регрессионного анализа на основе консолидированной базы мировых данных.</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lastRenderedPageBreak/>
        <w:t>Консолидированная база данных, включающая мировые индикаторы (Worldwide Governance Indicators, World Development Indicators, EF English Proficiency Index и др.) для 76 стран</w:t>
      </w:r>
      <w:r w:rsidR="007B767F" w:rsidRPr="000D4FA1">
        <w:rPr>
          <w:sz w:val="28"/>
          <w:szCs w:val="28"/>
        </w:rPr>
        <w:t>–</w:t>
      </w:r>
      <w:r w:rsidRPr="000D4FA1">
        <w:rPr>
          <w:sz w:val="28"/>
          <w:szCs w:val="28"/>
        </w:rPr>
        <w:t>объектов исследования.</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Перекрестные данные (cross</w:t>
      </w:r>
      <w:r w:rsidR="007B767F" w:rsidRPr="000D4FA1">
        <w:rPr>
          <w:sz w:val="28"/>
          <w:szCs w:val="28"/>
        </w:rPr>
        <w:t>–</w:t>
      </w:r>
      <w:r w:rsidRPr="000D4FA1">
        <w:rPr>
          <w:sz w:val="28"/>
          <w:szCs w:val="28"/>
        </w:rPr>
        <w:t>sectional data), отражающие социально</w:t>
      </w:r>
      <w:r w:rsidR="007B767F" w:rsidRPr="000D4FA1">
        <w:rPr>
          <w:sz w:val="28"/>
          <w:szCs w:val="28"/>
        </w:rPr>
        <w:t>–</w:t>
      </w:r>
      <w:r w:rsidRPr="000D4FA1">
        <w:rPr>
          <w:sz w:val="28"/>
          <w:szCs w:val="28"/>
        </w:rPr>
        <w:t>экономическое состояние и уровень развития образовательных систем на определенный период (актуальные данные из запомненной таблицы).</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Выборка включает страны с разнообразным уровнем экономического развития и географическим положением, что обеспечивает высокую вариативность и репрезентативность данных для выявления глобальных закономерностей.</w:t>
      </w:r>
    </w:p>
    <w:p w:rsidR="00664A03" w:rsidRPr="000D4FA1" w:rsidRDefault="00664A03"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Таблица </w:t>
      </w:r>
      <w:r w:rsidR="00D17049" w:rsidRPr="000D4FA1">
        <w:rPr>
          <w:sz w:val="28"/>
          <w:szCs w:val="28"/>
        </w:rPr>
        <w:t>22</w:t>
      </w:r>
      <w:r w:rsidR="003855B7" w:rsidRPr="000D4FA1">
        <w:rPr>
          <w:sz w:val="28"/>
          <w:szCs w:val="28"/>
        </w:rPr>
        <w:t xml:space="preserve"> –</w:t>
      </w:r>
      <w:r w:rsidRPr="000D4FA1">
        <w:rPr>
          <w:sz w:val="28"/>
          <w:szCs w:val="28"/>
        </w:rPr>
        <w:t xml:space="preserve"> Консолидированные данные для корреляционного и регрессионного анализа взаимосвязи Человеческого потенциала и финансовой устойчивости образовательных систем</w:t>
      </w:r>
    </w:p>
    <w:p w:rsidR="0087121B" w:rsidRPr="000D4FA1" w:rsidRDefault="0087121B" w:rsidP="00F136E9">
      <w:pPr>
        <w:pStyle w:val="a4"/>
        <w:spacing w:before="0" w:beforeAutospacing="0" w:after="0" w:afterAutospacing="0"/>
        <w:ind w:firstLine="720"/>
        <w:jc w:val="both"/>
        <w:rPr>
          <w:sz w:val="28"/>
          <w:szCs w:val="28"/>
        </w:rPr>
      </w:pPr>
    </w:p>
    <w:tbl>
      <w:tblPr>
        <w:tblW w:w="9923" w:type="dxa"/>
        <w:tblInd w:w="-176" w:type="dxa"/>
        <w:tblLayout w:type="fixed"/>
        <w:tblLook w:val="04A0"/>
      </w:tblPr>
      <w:tblGrid>
        <w:gridCol w:w="568"/>
        <w:gridCol w:w="1559"/>
        <w:gridCol w:w="2977"/>
        <w:gridCol w:w="1701"/>
        <w:gridCol w:w="3118"/>
      </w:tblGrid>
      <w:tr w:rsidR="00F136E9" w:rsidRPr="000D4FA1" w:rsidTr="003855B7">
        <w:trPr>
          <w:trHeight w:val="823"/>
        </w:trPr>
        <w:tc>
          <w:tcPr>
            <w:tcW w:w="568" w:type="dxa"/>
            <w:tcBorders>
              <w:top w:val="single" w:sz="4" w:space="0" w:color="auto"/>
              <w:left w:val="single" w:sz="4" w:space="0" w:color="auto"/>
              <w:bottom w:val="single" w:sz="4" w:space="0" w:color="auto"/>
              <w:right w:val="single" w:sz="4" w:space="0" w:color="auto"/>
            </w:tcBorders>
            <w:vAlign w:val="center"/>
            <w:hideMark/>
          </w:tcPr>
          <w:p w:rsidR="00F136E9" w:rsidRPr="000D4FA1" w:rsidRDefault="00F136E9" w:rsidP="001140E9">
            <w:pPr>
              <w:spacing w:after="0" w:line="240" w:lineRule="auto"/>
              <w:jc w:val="center"/>
              <w:rPr>
                <w:rFonts w:ascii="Times New Roman" w:eastAsia="Times New Roman" w:hAnsi="Times New Roman" w:cs="Times New Roman"/>
                <w:b/>
                <w:bCs/>
                <w:color w:val="1F1F1F"/>
                <w:sz w:val="24"/>
                <w:szCs w:val="24"/>
                <w:lang w:val="ru-RU"/>
              </w:rPr>
            </w:pPr>
            <w:r w:rsidRPr="000D4FA1">
              <w:rPr>
                <w:rFonts w:ascii="Times New Roman" w:eastAsia="Times New Roman" w:hAnsi="Times New Roman" w:cs="Times New Roman"/>
                <w:b/>
                <w:bCs/>
                <w:color w:val="1F1F1F"/>
                <w:sz w:val="24"/>
                <w:szCs w:val="24"/>
                <w:lang w:val="ru-RU"/>
              </w:rPr>
              <w:t>№</w:t>
            </w:r>
          </w:p>
        </w:tc>
        <w:tc>
          <w:tcPr>
            <w:tcW w:w="1559" w:type="dxa"/>
            <w:tcBorders>
              <w:top w:val="single" w:sz="4" w:space="0" w:color="auto"/>
              <w:left w:val="nil"/>
              <w:bottom w:val="single" w:sz="4" w:space="0" w:color="auto"/>
              <w:right w:val="single" w:sz="4" w:space="0" w:color="auto"/>
            </w:tcBorders>
            <w:vAlign w:val="center"/>
            <w:hideMark/>
          </w:tcPr>
          <w:p w:rsidR="00F136E9" w:rsidRPr="000D4FA1" w:rsidRDefault="00F136E9" w:rsidP="001140E9">
            <w:pPr>
              <w:spacing w:after="0" w:line="240" w:lineRule="auto"/>
              <w:jc w:val="center"/>
              <w:rPr>
                <w:rFonts w:ascii="Times New Roman" w:eastAsia="Times New Roman" w:hAnsi="Times New Roman" w:cs="Times New Roman"/>
                <w:bCs/>
                <w:color w:val="1F1F1F"/>
                <w:sz w:val="24"/>
                <w:szCs w:val="24"/>
                <w:lang w:val="ru-RU"/>
              </w:rPr>
            </w:pPr>
            <w:r w:rsidRPr="000D4FA1">
              <w:rPr>
                <w:rFonts w:ascii="Times New Roman" w:eastAsia="Times New Roman" w:hAnsi="Times New Roman" w:cs="Times New Roman"/>
                <w:bCs/>
                <w:color w:val="1F1F1F"/>
                <w:sz w:val="24"/>
                <w:szCs w:val="24"/>
                <w:lang w:val="ru-RU"/>
              </w:rPr>
              <w:t>Индикатор (Сокращение в базе)</w:t>
            </w:r>
          </w:p>
        </w:tc>
        <w:tc>
          <w:tcPr>
            <w:tcW w:w="2977" w:type="dxa"/>
            <w:tcBorders>
              <w:top w:val="single" w:sz="4" w:space="0" w:color="auto"/>
              <w:left w:val="nil"/>
              <w:bottom w:val="single" w:sz="4" w:space="0" w:color="auto"/>
              <w:right w:val="single" w:sz="4" w:space="0" w:color="auto"/>
            </w:tcBorders>
            <w:vAlign w:val="center"/>
            <w:hideMark/>
          </w:tcPr>
          <w:p w:rsidR="00F136E9" w:rsidRPr="000D4FA1" w:rsidRDefault="00F136E9" w:rsidP="001140E9">
            <w:pPr>
              <w:spacing w:after="0" w:line="240" w:lineRule="auto"/>
              <w:jc w:val="center"/>
              <w:rPr>
                <w:rFonts w:ascii="Times New Roman" w:eastAsia="Times New Roman" w:hAnsi="Times New Roman" w:cs="Times New Roman"/>
                <w:bCs/>
                <w:color w:val="1F1F1F"/>
                <w:sz w:val="24"/>
                <w:szCs w:val="24"/>
                <w:lang w:val="ru-RU"/>
              </w:rPr>
            </w:pPr>
            <w:r w:rsidRPr="000D4FA1">
              <w:rPr>
                <w:rFonts w:ascii="Times New Roman" w:eastAsia="Times New Roman" w:hAnsi="Times New Roman" w:cs="Times New Roman"/>
                <w:bCs/>
                <w:color w:val="1F1F1F"/>
                <w:sz w:val="24"/>
                <w:szCs w:val="24"/>
                <w:lang w:val="ru-RU"/>
              </w:rPr>
              <w:t xml:space="preserve">Полное Наименование </w:t>
            </w:r>
          </w:p>
        </w:tc>
        <w:tc>
          <w:tcPr>
            <w:tcW w:w="1701" w:type="dxa"/>
            <w:tcBorders>
              <w:top w:val="single" w:sz="4" w:space="0" w:color="auto"/>
              <w:left w:val="nil"/>
              <w:bottom w:val="single" w:sz="4" w:space="0" w:color="auto"/>
              <w:right w:val="single" w:sz="4" w:space="0" w:color="auto"/>
            </w:tcBorders>
            <w:vAlign w:val="center"/>
            <w:hideMark/>
          </w:tcPr>
          <w:p w:rsidR="00F136E9" w:rsidRPr="000D4FA1" w:rsidRDefault="00F136E9" w:rsidP="001140E9">
            <w:pPr>
              <w:spacing w:after="0" w:line="240" w:lineRule="auto"/>
              <w:jc w:val="center"/>
              <w:rPr>
                <w:rFonts w:ascii="Times New Roman" w:eastAsia="Times New Roman" w:hAnsi="Times New Roman" w:cs="Times New Roman"/>
                <w:bCs/>
                <w:color w:val="1F1F1F"/>
                <w:sz w:val="24"/>
                <w:szCs w:val="24"/>
                <w:lang w:val="ru-RU"/>
              </w:rPr>
            </w:pPr>
            <w:r w:rsidRPr="000D4FA1">
              <w:rPr>
                <w:rFonts w:ascii="Times New Roman" w:eastAsia="Times New Roman" w:hAnsi="Times New Roman" w:cs="Times New Roman"/>
                <w:bCs/>
                <w:color w:val="1F1F1F"/>
                <w:sz w:val="24"/>
                <w:szCs w:val="24"/>
                <w:lang w:val="ru-RU"/>
              </w:rPr>
              <w:t>Роль в Модели</w:t>
            </w:r>
          </w:p>
        </w:tc>
        <w:tc>
          <w:tcPr>
            <w:tcW w:w="3118" w:type="dxa"/>
            <w:tcBorders>
              <w:top w:val="single" w:sz="4" w:space="0" w:color="auto"/>
              <w:left w:val="nil"/>
              <w:bottom w:val="single" w:sz="4" w:space="0" w:color="auto"/>
              <w:right w:val="single" w:sz="4" w:space="0" w:color="auto"/>
            </w:tcBorders>
            <w:vAlign w:val="center"/>
            <w:hideMark/>
          </w:tcPr>
          <w:p w:rsidR="00F136E9" w:rsidRPr="000D4FA1" w:rsidRDefault="00F136E9" w:rsidP="001140E9">
            <w:pPr>
              <w:spacing w:after="0" w:line="240" w:lineRule="auto"/>
              <w:jc w:val="center"/>
              <w:rPr>
                <w:rFonts w:ascii="Times New Roman" w:eastAsia="Times New Roman" w:hAnsi="Times New Roman" w:cs="Times New Roman"/>
                <w:bCs/>
                <w:color w:val="1F1F1F"/>
                <w:sz w:val="24"/>
                <w:szCs w:val="24"/>
                <w:lang w:val="ru-RU"/>
              </w:rPr>
            </w:pPr>
            <w:r w:rsidRPr="000D4FA1">
              <w:rPr>
                <w:rFonts w:ascii="Times New Roman" w:eastAsia="Times New Roman" w:hAnsi="Times New Roman" w:cs="Times New Roman"/>
                <w:bCs/>
                <w:color w:val="1F1F1F"/>
                <w:sz w:val="24"/>
                <w:szCs w:val="24"/>
                <w:lang w:val="ru-RU"/>
              </w:rPr>
              <w:t>Обоснование Роли</w:t>
            </w:r>
          </w:p>
        </w:tc>
      </w:tr>
      <w:tr w:rsidR="00F136E9" w:rsidRPr="000D4FA1" w:rsidTr="003855B7">
        <w:trPr>
          <w:trHeight w:val="551"/>
        </w:trPr>
        <w:tc>
          <w:tcPr>
            <w:tcW w:w="568" w:type="dxa"/>
            <w:tcBorders>
              <w:top w:val="nil"/>
              <w:left w:val="single" w:sz="4" w:space="0" w:color="auto"/>
              <w:bottom w:val="single" w:sz="4" w:space="0" w:color="auto"/>
              <w:right w:val="single" w:sz="4" w:space="0" w:color="auto"/>
            </w:tcBorders>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1</w:t>
            </w:r>
          </w:p>
        </w:tc>
        <w:tc>
          <w:tcPr>
            <w:tcW w:w="1559" w:type="dxa"/>
            <w:tcBorders>
              <w:top w:val="nil"/>
              <w:left w:val="nil"/>
              <w:bottom w:val="single" w:sz="4" w:space="0" w:color="auto"/>
              <w:right w:val="single" w:sz="4" w:space="0" w:color="auto"/>
            </w:tcBorders>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Literacy</w:t>
            </w:r>
          </w:p>
        </w:tc>
        <w:tc>
          <w:tcPr>
            <w:tcW w:w="2977" w:type="dxa"/>
            <w:tcBorders>
              <w:top w:val="nil"/>
              <w:left w:val="nil"/>
              <w:bottom w:val="single" w:sz="4" w:space="0" w:color="auto"/>
              <w:right w:val="single" w:sz="4" w:space="0" w:color="auto"/>
            </w:tcBorders>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Уровень грамотности населения (проценты)</w:t>
            </w:r>
          </w:p>
        </w:tc>
        <w:tc>
          <w:tcPr>
            <w:tcW w:w="1701" w:type="dxa"/>
            <w:tcBorders>
              <w:top w:val="nil"/>
              <w:left w:val="nil"/>
              <w:bottom w:val="single" w:sz="4" w:space="0" w:color="auto"/>
              <w:right w:val="single" w:sz="4" w:space="0" w:color="auto"/>
            </w:tcBorders>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Зависимая (Y)</w:t>
            </w:r>
          </w:p>
        </w:tc>
        <w:tc>
          <w:tcPr>
            <w:tcW w:w="3118" w:type="dxa"/>
            <w:tcBorders>
              <w:top w:val="nil"/>
              <w:left w:val="nil"/>
              <w:bottom w:val="single" w:sz="4" w:space="0" w:color="auto"/>
              <w:right w:val="single" w:sz="4" w:space="0" w:color="auto"/>
            </w:tcBorders>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Основной индикатор</w:t>
            </w:r>
          </w:p>
        </w:tc>
      </w:tr>
      <w:tr w:rsidR="00F136E9" w:rsidRPr="000D4FA1" w:rsidTr="003855B7">
        <w:trPr>
          <w:trHeight w:val="700"/>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1</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GEE</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Государственные расходы на образование (% от общих гос. расходов)</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Независимая (X1)</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Устойчивости/Приверженности ТиПО.</w:t>
            </w:r>
          </w:p>
        </w:tc>
      </w:tr>
      <w:tr w:rsidR="00F136E9" w:rsidRPr="0036668B" w:rsidTr="003855B7">
        <w:trPr>
          <w:trHeight w:val="854"/>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2</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GDP_pc</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ВВП на душу населения (текущие US$)</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Независимая (X2) / Контрольная</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Экономическая база и общий уровень развития ЧП.</w:t>
            </w:r>
          </w:p>
        </w:tc>
      </w:tr>
      <w:tr w:rsidR="00F136E9" w:rsidRPr="000D4FA1" w:rsidTr="003855B7">
        <w:trPr>
          <w:trHeight w:val="630"/>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3</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POP</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Численность населения (млн. чел.)</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Отражает масштаб системы образования.</w:t>
            </w:r>
          </w:p>
        </w:tc>
      </w:tr>
      <w:tr w:rsidR="00F136E9" w:rsidRPr="000D4FA1" w:rsidTr="003855B7">
        <w:trPr>
          <w:trHeight w:val="630"/>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4</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LIT</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Уровень грамотности взрослого населения (15+)</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Независимая (X1)</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Базовый человеческий капитал.</w:t>
            </w:r>
          </w:p>
        </w:tc>
      </w:tr>
      <w:tr w:rsidR="00F136E9" w:rsidRPr="000D4FA1" w:rsidTr="003855B7">
        <w:trPr>
          <w:trHeight w:val="276"/>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5</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GDP</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Общий ВВП (млрд. US$)</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Общий размер экономики.</w:t>
            </w:r>
          </w:p>
        </w:tc>
      </w:tr>
      <w:tr w:rsidR="00F136E9" w:rsidRPr="000D4FA1" w:rsidTr="003855B7">
        <w:trPr>
          <w:trHeight w:val="832"/>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6</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FB_SUB</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Абоненты фиксированной широкополосной связи (на 100 чел.)</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Инфраструктурный фактор развития.</w:t>
            </w:r>
          </w:p>
        </w:tc>
      </w:tr>
      <w:tr w:rsidR="00F136E9" w:rsidRPr="000D4FA1" w:rsidTr="003855B7">
        <w:trPr>
          <w:trHeight w:val="630"/>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7</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MB_SUB</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Абоненты мобильной связи (на 100 чел.)</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Инфраструктурный фактор развития.</w:t>
            </w:r>
          </w:p>
        </w:tc>
      </w:tr>
      <w:tr w:rsidR="00F136E9" w:rsidRPr="0036668B" w:rsidTr="003855B7">
        <w:trPr>
          <w:trHeight w:val="911"/>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8</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LIR</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Процентная ставка по кредитам (%)</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 / Финансовый фактор</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Отражает стоимость капитала и общую финансовую среду.</w:t>
            </w:r>
          </w:p>
        </w:tc>
      </w:tr>
      <w:tr w:rsidR="00F136E9" w:rsidRPr="000D4FA1" w:rsidTr="003855B7">
        <w:trPr>
          <w:trHeight w:val="852"/>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9</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DIR</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Процентная ставка по депозитам (%)</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Контрольная / Финансовый фактор</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Отражает инвестиционный климат.</w:t>
            </w:r>
          </w:p>
        </w:tc>
      </w:tr>
      <w:tr w:rsidR="00F136E9" w:rsidRPr="000D4FA1" w:rsidTr="003855B7">
        <w:trPr>
          <w:trHeight w:val="587"/>
        </w:trPr>
        <w:tc>
          <w:tcPr>
            <w:tcW w:w="568" w:type="dxa"/>
            <w:tcBorders>
              <w:top w:val="nil"/>
              <w:left w:val="single" w:sz="4" w:space="0" w:color="auto"/>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10</w:t>
            </w:r>
          </w:p>
        </w:tc>
        <w:tc>
          <w:tcPr>
            <w:tcW w:w="1559"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English</w:t>
            </w:r>
          </w:p>
        </w:tc>
        <w:tc>
          <w:tcPr>
            <w:tcW w:w="2977"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Уровень владения английским языком</w:t>
            </w:r>
          </w:p>
        </w:tc>
        <w:tc>
          <w:tcPr>
            <w:tcW w:w="1701"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Независимая (X3)</w:t>
            </w:r>
          </w:p>
        </w:tc>
        <w:tc>
          <w:tcPr>
            <w:tcW w:w="3118" w:type="dxa"/>
            <w:tcBorders>
              <w:top w:val="nil"/>
              <w:left w:val="nil"/>
              <w:bottom w:val="single" w:sz="4" w:space="0" w:color="auto"/>
              <w:right w:val="single" w:sz="4" w:space="0" w:color="auto"/>
            </w:tcBorders>
            <w:hideMark/>
          </w:tcPr>
          <w:p w:rsidR="00F136E9" w:rsidRPr="000D4FA1" w:rsidRDefault="00F136E9" w:rsidP="001140E9">
            <w:pPr>
              <w:spacing w:after="0" w:line="240" w:lineRule="auto"/>
              <w:rPr>
                <w:rFonts w:ascii="Times New Roman" w:eastAsia="Times New Roman" w:hAnsi="Times New Roman" w:cs="Times New Roman"/>
                <w:color w:val="1F1F1F"/>
                <w:sz w:val="24"/>
                <w:szCs w:val="24"/>
                <w:lang w:val="ru-RU"/>
              </w:rPr>
            </w:pPr>
            <w:r w:rsidRPr="000D4FA1">
              <w:rPr>
                <w:rFonts w:ascii="Times New Roman" w:eastAsia="Times New Roman" w:hAnsi="Times New Roman" w:cs="Times New Roman"/>
                <w:color w:val="1F1F1F"/>
                <w:sz w:val="24"/>
                <w:szCs w:val="24"/>
                <w:lang w:val="ru-RU"/>
              </w:rPr>
              <w:t>Глобальная конкурентоспособность ЧП</w:t>
            </w:r>
          </w:p>
        </w:tc>
      </w:tr>
    </w:tbl>
    <w:p w:rsidR="00F136E9" w:rsidRPr="000D4FA1" w:rsidRDefault="00F136E9" w:rsidP="00F136E9">
      <w:pPr>
        <w:spacing w:after="0" w:line="240" w:lineRule="auto"/>
        <w:jc w:val="both"/>
        <w:rPr>
          <w:rFonts w:ascii="Times New Roman" w:eastAsia="Times New Roman" w:hAnsi="Times New Roman" w:cs="Times New Roman"/>
          <w:b/>
          <w:sz w:val="28"/>
          <w:szCs w:val="28"/>
          <w:lang w:val="ru-RU" w:eastAsia="ru-RU"/>
        </w:rPr>
      </w:pPr>
    </w:p>
    <w:p w:rsidR="004E5E46"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В рамках данного статистического исследования, направленного на изучение влияния человеческого потенциала на устойчивость систем ТиПО, все </w:t>
      </w:r>
      <w:r w:rsidRPr="000D4FA1">
        <w:rPr>
          <w:sz w:val="28"/>
          <w:szCs w:val="28"/>
        </w:rPr>
        <w:lastRenderedPageBreak/>
        <w:t xml:space="preserve">используемые индикаторы были классифицированы по их функциональной роли в модели множественной регрессии.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Зависимая переменная (Y) </w:t>
      </w:r>
      <w:r w:rsidR="008506F2" w:rsidRPr="000D4FA1">
        <w:rPr>
          <w:sz w:val="28"/>
          <w:szCs w:val="28"/>
        </w:rPr>
        <w:t>–</w:t>
      </w:r>
      <w:r w:rsidRPr="000D4FA1">
        <w:rPr>
          <w:sz w:val="28"/>
          <w:szCs w:val="28"/>
        </w:rPr>
        <w:t xml:space="preserve"> это ключевой показатель, изменение которого стремимся объяснить; в модели это Государственные расходы на образование (GEE), служащие прокси</w:t>
      </w:r>
      <w:r w:rsidR="007B767F" w:rsidRPr="000D4FA1">
        <w:rPr>
          <w:sz w:val="28"/>
          <w:szCs w:val="28"/>
        </w:rPr>
        <w:t>–</w:t>
      </w:r>
      <w:r w:rsidRPr="000D4FA1">
        <w:rPr>
          <w:sz w:val="28"/>
          <w:szCs w:val="28"/>
        </w:rPr>
        <w:t xml:space="preserve">индикатором финансовой устойчивости и приверженности системы. </w:t>
      </w:r>
    </w:p>
    <w:p w:rsidR="005E72AF" w:rsidRPr="005E72AF" w:rsidRDefault="00F136E9" w:rsidP="00E075F4">
      <w:pPr>
        <w:pStyle w:val="a4"/>
        <w:spacing w:before="0" w:beforeAutospacing="0" w:after="0" w:afterAutospacing="0"/>
        <w:ind w:firstLine="720"/>
        <w:jc w:val="both"/>
        <w:rPr>
          <w:sz w:val="28"/>
          <w:szCs w:val="28"/>
        </w:rPr>
      </w:pPr>
      <w:r w:rsidRPr="000D4FA1">
        <w:rPr>
          <w:sz w:val="28"/>
          <w:szCs w:val="28"/>
        </w:rPr>
        <w:t xml:space="preserve">Независимые переменные (X1, X2, X3) представляют собой факторы Человеческого потенциала (такие как Уровень грамотности и ВВП на душу населения), чье влияние на GEE мы проверяем. Данные переменные формируют ядро гипотезы. Наконец, для обеспечения точности и надежности результатов, в модель вводятся Контрольные переменные (такие как финансовые ставки LIR/DIR). Эти переменные позволяют изолировать чистый эффект человеческого потенциала, исключая влияние макроэкономического </w:t>
      </w:r>
      <w:r w:rsidRPr="005E72AF">
        <w:rPr>
          <w:sz w:val="28"/>
          <w:szCs w:val="28"/>
        </w:rPr>
        <w:t>контекста, институционального качества или общего размера страны</w:t>
      </w:r>
      <w:r w:rsidR="007F50FD" w:rsidRPr="005E72AF">
        <w:rPr>
          <w:sz w:val="28"/>
          <w:szCs w:val="28"/>
        </w:rPr>
        <w:t>.</w:t>
      </w:r>
    </w:p>
    <w:p w:rsidR="00E075F4" w:rsidRPr="005E72AF" w:rsidRDefault="00E075F4" w:rsidP="00E075F4">
      <w:pPr>
        <w:pStyle w:val="a4"/>
        <w:spacing w:before="0" w:beforeAutospacing="0" w:after="0" w:afterAutospacing="0"/>
        <w:ind w:firstLine="720"/>
        <w:jc w:val="both"/>
        <w:rPr>
          <w:sz w:val="28"/>
          <w:szCs w:val="28"/>
        </w:rPr>
      </w:pPr>
      <w:r w:rsidRPr="005E72AF">
        <w:rPr>
          <w:sz w:val="28"/>
          <w:szCs w:val="28"/>
        </w:rPr>
        <w:t>Анализ представленных макроэкономических и институциональных показателей выполнен не как самостоятельное исследование международных образовательных систем, а как аналитическая база для выявления факторов, потенциально влияющих на развитие человеческого потенциала и устойчивость организаций технического и профессионального образования.</w:t>
      </w:r>
    </w:p>
    <w:p w:rsidR="00E075F4" w:rsidRPr="005E72AF" w:rsidRDefault="00E075F4" w:rsidP="00E075F4">
      <w:pPr>
        <w:pStyle w:val="a4"/>
        <w:spacing w:before="0" w:beforeAutospacing="0" w:after="0" w:afterAutospacing="0"/>
        <w:ind w:firstLine="720"/>
        <w:jc w:val="both"/>
        <w:rPr>
          <w:sz w:val="28"/>
          <w:szCs w:val="28"/>
        </w:rPr>
      </w:pPr>
      <w:r w:rsidRPr="005E72AF">
        <w:rPr>
          <w:sz w:val="28"/>
          <w:szCs w:val="28"/>
        </w:rPr>
        <w:t xml:space="preserve">Использование консолидированных международных данных позволило определить общие закономерности взаимосвязи между уровнем развития человеческого потенциала, образовательными расходами, инфраструктурными условиями и социально–экономической средой. Полученные результаты далее интерпретируются применительно к объекту исследования </w:t>
      </w:r>
      <w:r w:rsidR="007F50FD" w:rsidRPr="005E72AF">
        <w:rPr>
          <w:sz w:val="28"/>
          <w:szCs w:val="28"/>
        </w:rPr>
        <w:t>–</w:t>
      </w:r>
      <w:r w:rsidRPr="005E72AF">
        <w:rPr>
          <w:sz w:val="28"/>
          <w:szCs w:val="28"/>
        </w:rPr>
        <w:t xml:space="preserve"> Шымкентскому высшему медицинскому колледжу.</w:t>
      </w:r>
    </w:p>
    <w:p w:rsidR="00E075F4" w:rsidRPr="00E075F4" w:rsidRDefault="00E075F4" w:rsidP="00E075F4">
      <w:pPr>
        <w:pStyle w:val="a4"/>
        <w:spacing w:before="0" w:beforeAutospacing="0" w:after="0" w:afterAutospacing="0"/>
        <w:ind w:firstLine="720"/>
        <w:jc w:val="both"/>
        <w:rPr>
          <w:sz w:val="28"/>
          <w:szCs w:val="28"/>
        </w:rPr>
      </w:pPr>
      <w:r w:rsidRPr="005E72AF">
        <w:rPr>
          <w:sz w:val="28"/>
          <w:szCs w:val="28"/>
        </w:rPr>
        <w:t>Такой подход обеспечивает возможность сопоставления внутренних организационных характеристик колледжа с более широкими тенденциями развития образовательных систем и позволяет научно обосновать практические рекомендации по повышению устойчивости исследуемой организации через развитие человеческого потенциала.</w:t>
      </w:r>
    </w:p>
    <w:p w:rsidR="00F136E9" w:rsidRDefault="00F136E9" w:rsidP="00F136E9">
      <w:pPr>
        <w:pStyle w:val="a4"/>
        <w:spacing w:before="0" w:beforeAutospacing="0" w:after="0" w:afterAutospacing="0"/>
        <w:ind w:firstLine="720"/>
        <w:jc w:val="both"/>
        <w:rPr>
          <w:sz w:val="28"/>
          <w:szCs w:val="28"/>
        </w:rPr>
      </w:pPr>
      <w:r w:rsidRPr="000D4FA1">
        <w:rPr>
          <w:sz w:val="28"/>
          <w:szCs w:val="28"/>
        </w:rPr>
        <w:t xml:space="preserve">Таблица </w:t>
      </w:r>
      <w:r w:rsidR="002B3956" w:rsidRPr="000D4FA1">
        <w:rPr>
          <w:sz w:val="28"/>
          <w:szCs w:val="28"/>
        </w:rPr>
        <w:t>2</w:t>
      </w:r>
      <w:r w:rsidR="00D17049" w:rsidRPr="000D4FA1">
        <w:rPr>
          <w:sz w:val="28"/>
          <w:szCs w:val="28"/>
        </w:rPr>
        <w:t>3</w:t>
      </w:r>
      <w:r w:rsidR="003855B7" w:rsidRPr="000D4FA1">
        <w:rPr>
          <w:sz w:val="28"/>
          <w:szCs w:val="28"/>
        </w:rPr>
        <w:t xml:space="preserve"> –</w:t>
      </w:r>
      <w:r w:rsidRPr="000D4FA1">
        <w:rPr>
          <w:sz w:val="28"/>
          <w:szCs w:val="28"/>
        </w:rPr>
        <w:t xml:space="preserve"> Матрица корреляций ключевых индикаторов Человеческого потенциала и Устойчивости систем ТиПО</w:t>
      </w:r>
    </w:p>
    <w:p w:rsidR="007F50FD" w:rsidRPr="000D4FA1" w:rsidRDefault="007F50FD" w:rsidP="00F136E9">
      <w:pPr>
        <w:pStyle w:val="a4"/>
        <w:spacing w:before="0" w:beforeAutospacing="0" w:after="0" w:afterAutospacing="0"/>
        <w:ind w:firstLine="720"/>
        <w:jc w:val="both"/>
        <w:rPr>
          <w:sz w:val="28"/>
          <w:szCs w:val="28"/>
        </w:rPr>
      </w:pPr>
    </w:p>
    <w:tbl>
      <w:tblPr>
        <w:tblW w:w="9747" w:type="dxa"/>
        <w:tblLook w:val="04A0"/>
      </w:tblPr>
      <w:tblGrid>
        <w:gridCol w:w="2648"/>
        <w:gridCol w:w="2384"/>
        <w:gridCol w:w="1979"/>
        <w:gridCol w:w="2736"/>
      </w:tblGrid>
      <w:tr w:rsidR="00F136E9" w:rsidRPr="000D4FA1" w:rsidTr="007F50FD">
        <w:trPr>
          <w:trHeight w:val="615"/>
        </w:trPr>
        <w:tc>
          <w:tcPr>
            <w:tcW w:w="2235" w:type="dxa"/>
            <w:tcBorders>
              <w:top w:val="single" w:sz="8" w:space="0" w:color="000000"/>
              <w:left w:val="single" w:sz="8" w:space="0" w:color="000000"/>
              <w:bottom w:val="single" w:sz="8" w:space="0" w:color="000000"/>
              <w:right w:val="single" w:sz="8" w:space="0" w:color="000000"/>
            </w:tcBorders>
            <w:hideMark/>
          </w:tcPr>
          <w:p w:rsidR="00F136E9" w:rsidRPr="000D4FA1" w:rsidRDefault="00F136E9" w:rsidP="004C4231">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 xml:space="preserve">Цель </w:t>
            </w:r>
            <w:r w:rsidR="004C4231" w:rsidRPr="000D4FA1">
              <w:rPr>
                <w:rFonts w:ascii="Times New Roman" w:eastAsia="Times New Roman" w:hAnsi="Times New Roman" w:cs="Times New Roman"/>
                <w:color w:val="1F1F1F"/>
                <w:sz w:val="24"/>
                <w:szCs w:val="24"/>
                <w:lang w:val="kk-KZ"/>
              </w:rPr>
              <w:t>а</w:t>
            </w:r>
            <w:r w:rsidRPr="000D4FA1">
              <w:rPr>
                <w:rFonts w:ascii="Times New Roman" w:eastAsia="Times New Roman" w:hAnsi="Times New Roman" w:cs="Times New Roman"/>
                <w:color w:val="1F1F1F"/>
                <w:sz w:val="24"/>
                <w:szCs w:val="24"/>
                <w:lang w:val="kk-KZ"/>
              </w:rPr>
              <w:t>нализа</w:t>
            </w:r>
          </w:p>
        </w:tc>
        <w:tc>
          <w:tcPr>
            <w:tcW w:w="2551" w:type="dxa"/>
            <w:tcBorders>
              <w:top w:val="single" w:sz="8" w:space="0" w:color="000000"/>
              <w:left w:val="nil"/>
              <w:bottom w:val="single" w:sz="8" w:space="0" w:color="000000"/>
              <w:right w:val="single" w:sz="8" w:space="0" w:color="000000"/>
            </w:tcBorders>
            <w:hideMark/>
          </w:tcPr>
          <w:p w:rsidR="00F136E9" w:rsidRPr="000D4FA1" w:rsidRDefault="00F136E9" w:rsidP="004C4231">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 xml:space="preserve">Проверяемая </w:t>
            </w:r>
            <w:r w:rsidR="004C4231" w:rsidRPr="000D4FA1">
              <w:rPr>
                <w:rFonts w:ascii="Times New Roman" w:eastAsia="Times New Roman" w:hAnsi="Times New Roman" w:cs="Times New Roman"/>
                <w:color w:val="1F1F1F"/>
                <w:sz w:val="24"/>
                <w:szCs w:val="24"/>
                <w:lang w:val="kk-KZ"/>
              </w:rPr>
              <w:t>г</w:t>
            </w:r>
            <w:r w:rsidRPr="000D4FA1">
              <w:rPr>
                <w:rFonts w:ascii="Times New Roman" w:eastAsia="Times New Roman" w:hAnsi="Times New Roman" w:cs="Times New Roman"/>
                <w:color w:val="1F1F1F"/>
                <w:sz w:val="24"/>
                <w:szCs w:val="24"/>
                <w:lang w:val="kk-KZ"/>
              </w:rPr>
              <w:t>ипотеза</w:t>
            </w:r>
          </w:p>
        </w:tc>
        <w:tc>
          <w:tcPr>
            <w:tcW w:w="2065" w:type="dxa"/>
            <w:tcBorders>
              <w:top w:val="single" w:sz="8" w:space="0" w:color="000000"/>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Метод</w:t>
            </w:r>
          </w:p>
        </w:tc>
        <w:tc>
          <w:tcPr>
            <w:tcW w:w="2896" w:type="dxa"/>
            <w:tcBorders>
              <w:top w:val="single" w:sz="8" w:space="0" w:color="000000"/>
              <w:left w:val="nil"/>
              <w:bottom w:val="single" w:sz="8" w:space="0" w:color="000000"/>
              <w:right w:val="single" w:sz="8" w:space="0" w:color="000000"/>
            </w:tcBorders>
            <w:hideMark/>
          </w:tcPr>
          <w:p w:rsidR="00F136E9" w:rsidRPr="000D4FA1" w:rsidRDefault="00F136E9" w:rsidP="004C4231">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 xml:space="preserve">Ожидаемый </w:t>
            </w:r>
            <w:r w:rsidR="004C4231" w:rsidRPr="000D4FA1">
              <w:rPr>
                <w:rFonts w:ascii="Times New Roman" w:eastAsia="Times New Roman" w:hAnsi="Times New Roman" w:cs="Times New Roman"/>
                <w:color w:val="1F1F1F"/>
                <w:sz w:val="24"/>
                <w:szCs w:val="24"/>
                <w:lang w:val="kk-KZ"/>
              </w:rPr>
              <w:t>р</w:t>
            </w:r>
            <w:r w:rsidRPr="000D4FA1">
              <w:rPr>
                <w:rFonts w:ascii="Times New Roman" w:eastAsia="Times New Roman" w:hAnsi="Times New Roman" w:cs="Times New Roman"/>
                <w:color w:val="1F1F1F"/>
                <w:sz w:val="24"/>
                <w:szCs w:val="24"/>
                <w:lang w:val="kk-KZ"/>
              </w:rPr>
              <w:t>езультат</w:t>
            </w:r>
          </w:p>
        </w:tc>
      </w:tr>
      <w:tr w:rsidR="00F136E9" w:rsidRPr="0036668B" w:rsidTr="007F50FD">
        <w:trPr>
          <w:trHeight w:val="1888"/>
        </w:trPr>
        <w:tc>
          <w:tcPr>
            <w:tcW w:w="2235" w:type="dxa"/>
            <w:tcBorders>
              <w:top w:val="nil"/>
              <w:left w:val="single" w:sz="8" w:space="0" w:color="000000"/>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Предварительная оценка</w:t>
            </w:r>
          </w:p>
        </w:tc>
        <w:tc>
          <w:tcPr>
            <w:tcW w:w="2551"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Выявить наличие и силу линейной связи между каждым индикатором ЧП (X1, X2, X3) и индикатором устойчивости (Y: GEE).</w:t>
            </w:r>
          </w:p>
        </w:tc>
        <w:tc>
          <w:tcPr>
            <w:tcW w:w="2065"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Коэффициент корреляции Пирсона (r)</w:t>
            </w:r>
          </w:p>
        </w:tc>
        <w:tc>
          <w:tcPr>
            <w:tcW w:w="2896"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Высокие положительные значения (r &gt; 0.5) между ключевыми парами: (LIT, GEE), (GDP_pc, GEE), (English, GEE).</w:t>
            </w:r>
          </w:p>
        </w:tc>
      </w:tr>
      <w:tr w:rsidR="00F136E9" w:rsidRPr="0036668B" w:rsidTr="007F50FD">
        <w:trPr>
          <w:trHeight w:val="1785"/>
        </w:trPr>
        <w:tc>
          <w:tcPr>
            <w:tcW w:w="2235" w:type="dxa"/>
            <w:tcBorders>
              <w:top w:val="nil"/>
              <w:left w:val="single" w:sz="8" w:space="0" w:color="000000"/>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lastRenderedPageBreak/>
              <w:t>Мультиколлинеарность</w:t>
            </w:r>
          </w:p>
        </w:tc>
        <w:tc>
          <w:tcPr>
            <w:tcW w:w="2551"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Оценить степень корреляции между самими независимыми переменными (X1, X2, X3).</w:t>
            </w:r>
          </w:p>
        </w:tc>
        <w:tc>
          <w:tcPr>
            <w:tcW w:w="2065"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Матрица корреляций</w:t>
            </w:r>
          </w:p>
        </w:tc>
        <w:tc>
          <w:tcPr>
            <w:tcW w:w="2896" w:type="dxa"/>
            <w:tcBorders>
              <w:top w:val="nil"/>
              <w:left w:val="nil"/>
              <w:bottom w:val="single" w:sz="8" w:space="0" w:color="000000"/>
              <w:right w:val="single" w:sz="8" w:space="0" w:color="000000"/>
            </w:tcBorders>
            <w:hideMark/>
          </w:tcPr>
          <w:p w:rsidR="00F136E9" w:rsidRPr="000D4FA1" w:rsidRDefault="00F136E9" w:rsidP="00C76C5B">
            <w:pPr>
              <w:spacing w:after="0" w:line="240" w:lineRule="auto"/>
              <w:jc w:val="center"/>
              <w:rPr>
                <w:rFonts w:ascii="Times New Roman" w:eastAsia="Times New Roman" w:hAnsi="Times New Roman" w:cs="Times New Roman"/>
                <w:color w:val="1F1F1F"/>
                <w:sz w:val="24"/>
                <w:szCs w:val="24"/>
                <w:lang w:val="kk-KZ"/>
              </w:rPr>
            </w:pPr>
            <w:r w:rsidRPr="000D4FA1">
              <w:rPr>
                <w:rFonts w:ascii="Times New Roman" w:eastAsia="Times New Roman" w:hAnsi="Times New Roman" w:cs="Times New Roman"/>
                <w:color w:val="1F1F1F"/>
                <w:sz w:val="24"/>
                <w:szCs w:val="24"/>
                <w:lang w:val="kk-KZ"/>
              </w:rPr>
              <w:t>Умеренная/низкая корреляция между независимыми переменными для обеспечения надежности регрессионной модели.</w:t>
            </w:r>
          </w:p>
        </w:tc>
      </w:tr>
    </w:tbl>
    <w:p w:rsidR="001140E9" w:rsidRPr="000D4FA1" w:rsidRDefault="001140E9" w:rsidP="00F136E9">
      <w:pPr>
        <w:pStyle w:val="a4"/>
        <w:spacing w:before="0" w:beforeAutospacing="0" w:after="0" w:afterAutospacing="0"/>
        <w:ind w:firstLine="720"/>
        <w:jc w:val="both"/>
        <w:rPr>
          <w:sz w:val="28"/>
          <w:szCs w:val="28"/>
        </w:rPr>
      </w:pPr>
    </w:p>
    <w:p w:rsidR="00F136E9" w:rsidRPr="000D4FA1" w:rsidRDefault="007F50FD" w:rsidP="00F136E9">
      <w:pPr>
        <w:pStyle w:val="a4"/>
        <w:spacing w:before="0" w:beforeAutospacing="0" w:after="0" w:afterAutospacing="0"/>
        <w:ind w:firstLine="720"/>
        <w:jc w:val="both"/>
        <w:rPr>
          <w:sz w:val="28"/>
          <w:szCs w:val="28"/>
        </w:rPr>
      </w:pPr>
      <w:r w:rsidRPr="000D4FA1">
        <w:rPr>
          <w:noProof/>
          <w:sz w:val="28"/>
          <w:szCs w:val="28"/>
        </w:rPr>
        <w:drawing>
          <wp:anchor distT="0" distB="0" distL="114300" distR="114300" simplePos="0" relativeHeight="251647488" behindDoc="1" locked="0" layoutInCell="1" allowOverlap="1">
            <wp:simplePos x="0" y="0"/>
            <wp:positionH relativeFrom="column">
              <wp:posOffset>132715</wp:posOffset>
            </wp:positionH>
            <wp:positionV relativeFrom="paragraph">
              <wp:posOffset>1144270</wp:posOffset>
            </wp:positionV>
            <wp:extent cx="5868035" cy="4429125"/>
            <wp:effectExtent l="0" t="0" r="0" b="9525"/>
            <wp:wrapTight wrapText="bothSides">
              <wp:wrapPolygon edited="0">
                <wp:start x="0" y="0"/>
                <wp:lineTo x="0" y="21554"/>
                <wp:lineTo x="21528" y="21554"/>
                <wp:lineTo x="21528" y="0"/>
                <wp:lineTo x="0" y="0"/>
              </wp:wrapPolygon>
            </wp:wrapTight>
            <wp:docPr id="1080831666" name="Рисунок 1" descr="Изображение выглядит как текст, снимок экрана, прямоуго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31666" name="Рисунок 1" descr="Изображение выглядит как текст, снимок экрана, прямоугольный, число&#10;&#10;Содержимое, созданное искусственным интеллектом, может быть неверным."/>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8035" cy="4429125"/>
                    </a:xfrm>
                    <a:prstGeom prst="rect">
                      <a:avLst/>
                    </a:prstGeom>
                  </pic:spPr>
                </pic:pic>
              </a:graphicData>
            </a:graphic>
          </wp:anchor>
        </w:drawing>
      </w:r>
      <w:r w:rsidR="001140E9" w:rsidRPr="000D4FA1">
        <w:rPr>
          <w:sz w:val="28"/>
          <w:szCs w:val="28"/>
        </w:rPr>
        <w:t>Представленная классификация переменных является методологической основой для проведения корреляционного и регрессионного анализа, направленного на эмпирическое доказательство основной гипотезы диссертации о влиянии человеческого потенциала (ЧП) на устойчивость системы технического и профессионального образования (ТиПО).</w:t>
      </w:r>
    </w:p>
    <w:p w:rsidR="00272456" w:rsidRPr="000D4FA1" w:rsidRDefault="00272456" w:rsidP="001140E9">
      <w:pPr>
        <w:pStyle w:val="a4"/>
        <w:spacing w:before="0" w:beforeAutospacing="0" w:after="0" w:afterAutospacing="0"/>
        <w:ind w:firstLine="720"/>
        <w:jc w:val="center"/>
        <w:rPr>
          <w:sz w:val="28"/>
          <w:szCs w:val="28"/>
        </w:rPr>
      </w:pPr>
      <w:r w:rsidRPr="000D4FA1">
        <w:rPr>
          <w:sz w:val="28"/>
          <w:szCs w:val="28"/>
        </w:rPr>
        <w:t xml:space="preserve">Рисунок </w:t>
      </w:r>
      <w:r w:rsidR="00A00396">
        <w:rPr>
          <w:sz w:val="28"/>
          <w:szCs w:val="28"/>
        </w:rPr>
        <w:t>21</w:t>
      </w:r>
      <w:r w:rsidRPr="000D4FA1">
        <w:rPr>
          <w:sz w:val="28"/>
          <w:szCs w:val="28"/>
        </w:rPr>
        <w:t xml:space="preserve"> – Корреляционная матрица</w:t>
      </w:r>
    </w:p>
    <w:p w:rsidR="00272456" w:rsidRPr="000D4FA1" w:rsidRDefault="00272456" w:rsidP="004E5E46">
      <w:pPr>
        <w:pStyle w:val="a4"/>
        <w:spacing w:before="0" w:beforeAutospacing="0" w:after="0" w:afterAutospacing="0"/>
        <w:ind w:firstLine="720"/>
        <w:jc w:val="both"/>
        <w:rPr>
          <w:sz w:val="28"/>
          <w:szCs w:val="28"/>
        </w:rPr>
      </w:pPr>
    </w:p>
    <w:p w:rsidR="00F136E9" w:rsidRPr="000D4FA1" w:rsidRDefault="00F136E9" w:rsidP="004E5E46">
      <w:pPr>
        <w:pStyle w:val="a4"/>
        <w:spacing w:before="0" w:beforeAutospacing="0" w:after="0" w:afterAutospacing="0"/>
        <w:ind w:firstLine="720"/>
        <w:jc w:val="both"/>
        <w:rPr>
          <w:sz w:val="28"/>
          <w:szCs w:val="28"/>
          <w:lang w:val="kk-KZ"/>
        </w:rPr>
      </w:pPr>
      <w:r w:rsidRPr="000D4FA1">
        <w:rPr>
          <w:sz w:val="28"/>
          <w:szCs w:val="28"/>
        </w:rPr>
        <w:t xml:space="preserve">Корреляционная матрица показывает, что прямой связи между объёмом государственных расходов на образование (GEE) и результатами в виде грамотности населения, цифровой включённости и владения английским практически нет: все коэффициенты GEE с ключевыми показателями находятся около нуля, что говорит скорее о различиях в эффективности использования ресурсов, чем об их количестве. </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lastRenderedPageBreak/>
        <w:t xml:space="preserve">Наиболее выраженные зависимости наблюдаются между параметрами цифровой инфраструктуры и макроэкономическими условиями. ВВП на душу населения (GDP_pc) умеренно связан с проникновением фиксированного и мобильного широкополосного интернета (FB_sub и MB_sub; коэффициенты порядка 0,6), а также с уровнем владения английским языком и численностью населения (около 0,3), что отражает эффект «цифрового и языкового капитала» в более обеспеченных экономиках. </w:t>
      </w:r>
    </w:p>
    <w:p w:rsidR="00F136E9" w:rsidRPr="000D4FA1" w:rsidRDefault="00100F49" w:rsidP="00F136E9">
      <w:pPr>
        <w:pStyle w:val="a4"/>
        <w:spacing w:before="0" w:beforeAutospacing="0" w:after="0" w:afterAutospacing="0"/>
        <w:ind w:firstLine="720"/>
        <w:jc w:val="both"/>
        <w:rPr>
          <w:sz w:val="28"/>
          <w:szCs w:val="28"/>
          <w:lang w:val="kk-KZ"/>
        </w:rPr>
      </w:pPr>
      <w:r w:rsidRPr="000D4FA1">
        <w:rPr>
          <w:sz w:val="28"/>
          <w:szCs w:val="28"/>
        </w:rPr>
        <w:t>Собственно,</w:t>
      </w:r>
      <w:r w:rsidR="00F136E9" w:rsidRPr="000D4FA1">
        <w:rPr>
          <w:sz w:val="28"/>
          <w:szCs w:val="28"/>
        </w:rPr>
        <w:t xml:space="preserve"> цифровые показатели сильно коррелируют между собой: FB_sub и MB_sub имеют тесную положительную связь (≈0,6), а уровень грамотности взрослого населения (Literacy) заметно связан с доступом к интернету (0,7 с FB_sub и около 0,5 с MB_sub), что подтверждает роль ИКТ</w:t>
      </w:r>
      <w:r w:rsidR="007B767F" w:rsidRPr="000D4FA1">
        <w:rPr>
          <w:sz w:val="28"/>
          <w:szCs w:val="28"/>
        </w:rPr>
        <w:t>–</w:t>
      </w:r>
      <w:r w:rsidR="00F136E9" w:rsidRPr="000D4FA1">
        <w:rPr>
          <w:sz w:val="28"/>
          <w:szCs w:val="28"/>
        </w:rPr>
        <w:t xml:space="preserve">инфраструктуры как канала накопления человеческого капитала. </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Денежно</w:t>
      </w:r>
      <w:r w:rsidR="007B767F" w:rsidRPr="000D4FA1">
        <w:rPr>
          <w:sz w:val="28"/>
          <w:szCs w:val="28"/>
        </w:rPr>
        <w:t>–</w:t>
      </w:r>
      <w:r w:rsidRPr="000D4FA1">
        <w:rPr>
          <w:sz w:val="28"/>
          <w:szCs w:val="28"/>
        </w:rPr>
        <w:t xml:space="preserve">кредитные условия выступают ограничивающим фактором для цифровизации и образования: процентная ставка по кредитам (LIR) обратно связана с проникновением интернета и грамотностью (коэффициенты порядка –0,4…–0,5), при этом LIR и ставка по депозитам (DIR) закономерно движутся синхронно (положительная корреляция около 0,7), отражая единую траекторию монетарной политики. </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 xml:space="preserve">Владение английским языком демонстрирует пока лишь слабую положительную связь с Literacy и цифровыми показателями (коэффициенты около 0,2), что указывает на не до конца реализованный потенциал языка как компонента человеческого капитала в рассматриваемой выборке стран. </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В совокупности результаты говорят о том, что для роста человеческого потенциала важнее не просто наращивать бюджетные расходы на образование, а создавать макроэкономические и институциональные условия, обеспечивающие доступность цифровой инфраструктуры и снижение финансовых барьеров к инвестициям в знания.</w:t>
      </w:r>
    </w:p>
    <w:p w:rsidR="00F136E9" w:rsidRPr="000D4FA1" w:rsidRDefault="00F136E9" w:rsidP="00F136E9">
      <w:pPr>
        <w:spacing w:after="0" w:line="240" w:lineRule="auto"/>
        <w:rPr>
          <w:rFonts w:ascii="Times New Roman" w:eastAsia="Times New Roman" w:hAnsi="Times New Roman" w:cs="Times New Roman"/>
          <w:i/>
          <w:iCs/>
          <w:sz w:val="24"/>
          <w:szCs w:val="24"/>
          <w:lang w:val="ru-RU"/>
        </w:rPr>
      </w:pPr>
      <w:r w:rsidRPr="000D4FA1">
        <w:rPr>
          <w:rFonts w:ascii="Times New Roman" w:eastAsia="Times New Roman" w:hAnsi="Times New Roman" w:cs="Times New Roman"/>
          <w:i/>
          <w:iCs/>
          <w:sz w:val="24"/>
          <w:szCs w:val="24"/>
          <w:lang w:val="ru-RU"/>
        </w:rPr>
        <w:t xml:space="preserve">                                         </w:t>
      </w:r>
    </w:p>
    <w:p w:rsidR="00F136E9" w:rsidRPr="000D4FA1" w:rsidRDefault="00F136E9" w:rsidP="00F136E9">
      <w:pPr>
        <w:spacing w:after="0" w:line="240" w:lineRule="auto"/>
        <w:rPr>
          <w:rFonts w:ascii="Times New Roman" w:eastAsia="Times New Roman" w:hAnsi="Times New Roman" w:cs="Times New Roman"/>
          <w:i/>
          <w:iCs/>
          <w:noProof/>
          <w:sz w:val="24"/>
          <w:szCs w:val="24"/>
        </w:rPr>
      </w:pPr>
      <w:r w:rsidRPr="000D4FA1">
        <w:rPr>
          <w:rFonts w:ascii="Times New Roman" w:eastAsia="Times New Roman" w:hAnsi="Times New Roman" w:cs="Times New Roman"/>
          <w:i/>
          <w:iCs/>
          <w:noProof/>
          <w:sz w:val="24"/>
          <w:szCs w:val="24"/>
          <w:lang w:val="ru-RU"/>
        </w:rPr>
        <w:t xml:space="preserve">                                   </w:t>
      </w:r>
      <w:r w:rsidRPr="000D4FA1">
        <w:rPr>
          <w:rFonts w:ascii="Times New Roman" w:eastAsia="Times New Roman" w:hAnsi="Times New Roman" w:cs="Times New Roman"/>
          <w:i/>
          <w:iCs/>
          <w:noProof/>
          <w:sz w:val="24"/>
          <w:szCs w:val="24"/>
        </w:rPr>
        <w:t>Model 22: OLS, using observations 1</w:t>
      </w:r>
      <w:r w:rsidR="007B767F" w:rsidRPr="000D4FA1">
        <w:rPr>
          <w:rFonts w:ascii="Times New Roman" w:eastAsia="Times New Roman" w:hAnsi="Times New Roman" w:cs="Times New Roman"/>
          <w:i/>
          <w:iCs/>
          <w:noProof/>
          <w:sz w:val="24"/>
          <w:szCs w:val="24"/>
        </w:rPr>
        <w:t>–</w:t>
      </w:r>
      <w:r w:rsidRPr="000D4FA1">
        <w:rPr>
          <w:rFonts w:ascii="Times New Roman" w:eastAsia="Times New Roman" w:hAnsi="Times New Roman" w:cs="Times New Roman"/>
          <w:i/>
          <w:iCs/>
          <w:noProof/>
          <w:sz w:val="24"/>
          <w:szCs w:val="24"/>
        </w:rPr>
        <w:t>76 (n = 76)</w:t>
      </w:r>
    </w:p>
    <w:p w:rsidR="00F136E9" w:rsidRPr="000D4FA1" w:rsidRDefault="00F136E9" w:rsidP="00F136E9">
      <w:pPr>
        <w:pStyle w:val="a4"/>
        <w:spacing w:before="0" w:beforeAutospacing="0" w:after="0" w:afterAutospacing="0"/>
        <w:jc w:val="center"/>
        <w:rPr>
          <w:i/>
          <w:iCs/>
          <w:noProof/>
          <w:lang w:val="en-US"/>
        </w:rPr>
      </w:pPr>
      <w:r w:rsidRPr="000D4FA1">
        <w:rPr>
          <w:i/>
          <w:iCs/>
          <w:noProof/>
          <w:lang w:val="en-US"/>
        </w:rPr>
        <w:t>Dependent variable: Literacy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30"/>
        <w:gridCol w:w="600"/>
        <w:gridCol w:w="800"/>
        <w:gridCol w:w="500"/>
        <w:gridCol w:w="400"/>
        <w:gridCol w:w="500"/>
        <w:gridCol w:w="1400"/>
        <w:gridCol w:w="600"/>
        <w:gridCol w:w="800"/>
        <w:gridCol w:w="500"/>
      </w:tblGrid>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i/>
                <w:iCs/>
                <w:noProof/>
                <w:sz w:val="20"/>
                <w:szCs w:val="20"/>
                <w:lang w:val="en-US"/>
              </w:rPr>
              <w:t xml:space="preserve"> </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i/>
                <w:iCs/>
                <w:noProof/>
                <w:sz w:val="20"/>
                <w:szCs w:val="20"/>
                <w:lang w:val="en-US"/>
              </w:rPr>
              <w:t>Coefficient</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i/>
                <w:iCs/>
                <w:noProof/>
                <w:sz w:val="20"/>
                <w:szCs w:val="20"/>
                <w:lang w:val="en-US"/>
              </w:rPr>
              <w:t>Std. Error</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i/>
                <w:iCs/>
                <w:noProof/>
                <w:sz w:val="20"/>
                <w:szCs w:val="20"/>
                <w:lang w:val="en-US"/>
              </w:rPr>
              <w:t>t</w:t>
            </w:r>
            <w:r w:rsidR="007B767F" w:rsidRPr="000D4FA1">
              <w:rPr>
                <w:i/>
                <w:iCs/>
                <w:noProof/>
                <w:sz w:val="20"/>
                <w:szCs w:val="20"/>
                <w:lang w:val="en-US"/>
              </w:rPr>
              <w:t>–</w:t>
            </w:r>
            <w:r w:rsidRPr="000D4FA1">
              <w:rPr>
                <w:i/>
                <w:iCs/>
                <w:noProof/>
                <w:sz w:val="20"/>
                <w:szCs w:val="20"/>
                <w:lang w:val="en-US"/>
              </w:rPr>
              <w:t>ratio</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i/>
                <w:iCs/>
                <w:noProof/>
                <w:sz w:val="20"/>
                <w:szCs w:val="20"/>
                <w:lang w:val="en-US"/>
              </w:rPr>
              <w:t>p</w:t>
            </w:r>
            <w:r w:rsidR="007B767F" w:rsidRPr="000D4FA1">
              <w:rPr>
                <w:i/>
                <w:iCs/>
                <w:noProof/>
                <w:sz w:val="20"/>
                <w:szCs w:val="20"/>
                <w:lang w:val="en-US"/>
              </w:rPr>
              <w:t>–</w:t>
            </w:r>
            <w:r w:rsidRPr="000D4FA1">
              <w:rPr>
                <w:i/>
                <w:iCs/>
                <w:noProof/>
                <w:sz w:val="20"/>
                <w:szCs w:val="20"/>
                <w:lang w:val="en-US"/>
              </w:rPr>
              <w:t>value</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p>
        </w:tc>
      </w:tr>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const</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99.5511</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12.0908</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8.234</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&lt;0.0001</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w:t>
            </w:r>
          </w:p>
        </w:tc>
      </w:tr>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LIT</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0.143760</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0.0660651</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2.176</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0.0449</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w:t>
            </w:r>
          </w:p>
        </w:tc>
      </w:tr>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FB_sub</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1.26270</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0.246246</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5.128</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0.0001</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w:t>
            </w:r>
          </w:p>
        </w:tc>
      </w:tr>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MB_sub</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−0.212045</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0.111996</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−1.893</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0.0765</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w:t>
            </w:r>
          </w:p>
        </w:tc>
      </w:tr>
      <w:tr w:rsidR="00F136E9" w:rsidRPr="000D4FA1" w:rsidTr="00C76C5B">
        <w:trPr>
          <w:trHeight w:val="262"/>
          <w:jc w:val="center"/>
        </w:trPr>
        <w:tc>
          <w:tcPr>
            <w:tcW w:w="193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DIR</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−1.45083</w:t>
            </w:r>
          </w:p>
        </w:tc>
        <w:tc>
          <w:tcPr>
            <w:tcW w:w="14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0.642926</w:t>
            </w:r>
          </w:p>
        </w:tc>
        <w:tc>
          <w:tcPr>
            <w:tcW w:w="14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−2.257</w:t>
            </w:r>
          </w:p>
        </w:tc>
        <w:tc>
          <w:tcPr>
            <w:tcW w:w="14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0.0384</w:t>
            </w:r>
          </w:p>
        </w:tc>
        <w:tc>
          <w:tcPr>
            <w:tcW w:w="500" w:type="dxa"/>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Mean dependent var</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88.40909</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S.D. dependent var</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11.90702</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Sum squared resid</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900.1035</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S.E. of regression</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7.500431</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R</w:t>
            </w:r>
            <w:r w:rsidR="007B767F" w:rsidRPr="000D4FA1">
              <w:rPr>
                <w:noProof/>
                <w:sz w:val="20"/>
                <w:szCs w:val="20"/>
                <w:lang w:val="en-US"/>
              </w:rPr>
              <w:t>–</w:t>
            </w:r>
            <w:r w:rsidRPr="000D4FA1">
              <w:rPr>
                <w:noProof/>
                <w:sz w:val="20"/>
                <w:szCs w:val="20"/>
                <w:lang w:val="en-US"/>
              </w:rPr>
              <w:t>squared</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0.697680</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Adjusted R</w:t>
            </w:r>
            <w:r w:rsidR="007B767F" w:rsidRPr="000D4FA1">
              <w:rPr>
                <w:noProof/>
                <w:sz w:val="20"/>
                <w:szCs w:val="20"/>
                <w:lang w:val="en-US"/>
              </w:rPr>
              <w:t>–</w:t>
            </w:r>
            <w:r w:rsidRPr="000D4FA1">
              <w:rPr>
                <w:noProof/>
                <w:sz w:val="20"/>
                <w:szCs w:val="20"/>
                <w:lang w:val="en-US"/>
              </w:rPr>
              <w:t>squared</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0.603205</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F(5, 71)</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7.384803</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P</w:t>
            </w:r>
            <w:r w:rsidR="007B767F" w:rsidRPr="000D4FA1">
              <w:rPr>
                <w:noProof/>
                <w:sz w:val="20"/>
                <w:szCs w:val="20"/>
                <w:lang w:val="en-US"/>
              </w:rPr>
              <w:t>–</w:t>
            </w:r>
            <w:r w:rsidRPr="000D4FA1">
              <w:rPr>
                <w:noProof/>
                <w:sz w:val="20"/>
                <w:szCs w:val="20"/>
                <w:lang w:val="en-US"/>
              </w:rPr>
              <w:t>value(F)</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0.000923</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Log</w:t>
            </w:r>
            <w:r w:rsidR="007B767F" w:rsidRPr="000D4FA1">
              <w:rPr>
                <w:noProof/>
                <w:sz w:val="20"/>
                <w:szCs w:val="20"/>
                <w:lang w:val="en-US"/>
              </w:rPr>
              <w:t>–</w:t>
            </w:r>
            <w:r w:rsidRPr="000D4FA1">
              <w:rPr>
                <w:noProof/>
                <w:sz w:val="20"/>
                <w:szCs w:val="20"/>
                <w:lang w:val="en-US"/>
              </w:rPr>
              <w:t>likelihood</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−72.04279</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Akaike criterion</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156.0856</w:t>
            </w:r>
          </w:p>
        </w:tc>
      </w:tr>
      <w:tr w:rsidR="00F136E9" w:rsidRPr="000D4FA1" w:rsidTr="00C76C5B">
        <w:trPr>
          <w:trHeight w:val="262"/>
          <w:jc w:val="center"/>
        </w:trPr>
        <w:tc>
          <w:tcPr>
            <w:tcW w:w="253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Schwarz criterion</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162.6318</w:t>
            </w:r>
          </w:p>
        </w:tc>
        <w:tc>
          <w:tcPr>
            <w:tcW w:w="400" w:type="dxa"/>
          </w:tcPr>
          <w:p w:rsidR="00F136E9" w:rsidRPr="000D4FA1" w:rsidRDefault="00F136E9" w:rsidP="00C76C5B">
            <w:pPr>
              <w:pStyle w:val="a4"/>
              <w:spacing w:before="0" w:beforeAutospacing="0" w:after="0" w:afterAutospacing="0"/>
              <w:jc w:val="both"/>
              <w:rPr>
                <w:noProof/>
                <w:sz w:val="20"/>
                <w:szCs w:val="20"/>
                <w:lang w:val="en-US"/>
              </w:rPr>
            </w:pPr>
          </w:p>
        </w:tc>
        <w:tc>
          <w:tcPr>
            <w:tcW w:w="2500" w:type="dxa"/>
            <w:gridSpan w:val="3"/>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Hannan</w:t>
            </w:r>
            <w:r w:rsidR="007B767F" w:rsidRPr="000D4FA1">
              <w:rPr>
                <w:noProof/>
                <w:sz w:val="20"/>
                <w:szCs w:val="20"/>
                <w:lang w:val="en-US"/>
              </w:rPr>
              <w:t>–</w:t>
            </w:r>
            <w:r w:rsidRPr="000D4FA1">
              <w:rPr>
                <w:noProof/>
                <w:sz w:val="20"/>
                <w:szCs w:val="20"/>
                <w:lang w:val="en-US"/>
              </w:rPr>
              <w:t>Quinn</w:t>
            </w:r>
          </w:p>
        </w:tc>
        <w:tc>
          <w:tcPr>
            <w:tcW w:w="1300" w:type="dxa"/>
            <w:gridSpan w:val="2"/>
          </w:tcPr>
          <w:p w:rsidR="00F136E9" w:rsidRPr="000D4FA1" w:rsidRDefault="00F136E9" w:rsidP="00C76C5B">
            <w:pPr>
              <w:pStyle w:val="a4"/>
              <w:spacing w:before="0" w:beforeAutospacing="0" w:after="0" w:afterAutospacing="0"/>
              <w:jc w:val="both"/>
              <w:rPr>
                <w:noProof/>
                <w:sz w:val="20"/>
                <w:szCs w:val="20"/>
                <w:lang w:val="en-US"/>
              </w:rPr>
            </w:pPr>
            <w:r w:rsidRPr="000D4FA1">
              <w:rPr>
                <w:noProof/>
                <w:sz w:val="20"/>
                <w:szCs w:val="20"/>
                <w:lang w:val="en-US"/>
              </w:rPr>
              <w:t xml:space="preserve"> 157.6277</w:t>
            </w:r>
          </w:p>
        </w:tc>
      </w:tr>
    </w:tbl>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t xml:space="preserve">White's test for heteroskedasticity </w:t>
      </w:r>
      <w:r w:rsidR="007B767F" w:rsidRPr="000D4FA1">
        <w:rPr>
          <w:i/>
          <w:iCs/>
          <w:noProof/>
          <w:lang w:val="en-US"/>
        </w:rPr>
        <w:t>–</w:t>
      </w:r>
    </w:p>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t xml:space="preserve"> Null hypothesis: heteroskedasticity not present</w:t>
      </w:r>
    </w:p>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t xml:space="preserve"> Test statistic: LM = 18.4474</w:t>
      </w:r>
    </w:p>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t xml:space="preserve"> with p</w:t>
      </w:r>
      <w:r w:rsidR="007B767F" w:rsidRPr="000D4FA1">
        <w:rPr>
          <w:i/>
          <w:iCs/>
          <w:noProof/>
          <w:lang w:val="en-US"/>
        </w:rPr>
        <w:t>–</w:t>
      </w:r>
      <w:r w:rsidRPr="000D4FA1">
        <w:rPr>
          <w:i/>
          <w:iCs/>
          <w:noProof/>
          <w:lang w:val="en-US"/>
        </w:rPr>
        <w:t>value = P(Chi</w:t>
      </w:r>
      <w:r w:rsidR="007B767F" w:rsidRPr="000D4FA1">
        <w:rPr>
          <w:i/>
          <w:iCs/>
          <w:noProof/>
          <w:lang w:val="en-US"/>
        </w:rPr>
        <w:t>–</w:t>
      </w:r>
      <w:r w:rsidRPr="000D4FA1">
        <w:rPr>
          <w:i/>
          <w:iCs/>
          <w:noProof/>
          <w:lang w:val="en-US"/>
        </w:rPr>
        <w:t>square(20) &gt; 18.4474) = 0.557962</w:t>
      </w:r>
    </w:p>
    <w:p w:rsidR="00F136E9" w:rsidRPr="000D4FA1" w:rsidRDefault="00F136E9" w:rsidP="00F136E9">
      <w:pPr>
        <w:pStyle w:val="a4"/>
        <w:spacing w:before="0" w:beforeAutospacing="0" w:after="0" w:afterAutospacing="0"/>
        <w:ind w:firstLine="1985"/>
        <w:jc w:val="both"/>
        <w:rPr>
          <w:i/>
          <w:iCs/>
          <w:noProof/>
          <w:lang w:val="en-US"/>
        </w:rPr>
      </w:pPr>
    </w:p>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t xml:space="preserve">Chow test for structural break at observation 38 </w:t>
      </w:r>
      <w:r w:rsidR="007B767F" w:rsidRPr="000D4FA1">
        <w:rPr>
          <w:i/>
          <w:iCs/>
          <w:noProof/>
          <w:lang w:val="en-US"/>
        </w:rPr>
        <w:t>–</w:t>
      </w:r>
    </w:p>
    <w:p w:rsidR="00F136E9" w:rsidRPr="000D4FA1" w:rsidRDefault="00F136E9" w:rsidP="00F136E9">
      <w:pPr>
        <w:pStyle w:val="a4"/>
        <w:spacing w:before="0" w:beforeAutospacing="0" w:after="0" w:afterAutospacing="0"/>
        <w:ind w:firstLine="1985"/>
        <w:jc w:val="both"/>
        <w:rPr>
          <w:i/>
          <w:iCs/>
          <w:noProof/>
          <w:lang w:val="en-US"/>
        </w:rPr>
      </w:pPr>
      <w:r w:rsidRPr="000D4FA1">
        <w:rPr>
          <w:i/>
          <w:iCs/>
          <w:noProof/>
          <w:lang w:val="en-US"/>
        </w:rPr>
        <w:lastRenderedPageBreak/>
        <w:t xml:space="preserve"> Null hypothesis: no structural break</w:t>
      </w: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 xml:space="preserve"> Test statistic: </w:t>
      </w:r>
      <w:proofErr w:type="gramStart"/>
      <w:r w:rsidRPr="000D4FA1">
        <w:rPr>
          <w:i/>
          <w:iCs/>
          <w:lang w:val="en-US"/>
        </w:rPr>
        <w:t>F(</w:t>
      </w:r>
      <w:proofErr w:type="gramEnd"/>
      <w:r w:rsidRPr="000D4FA1">
        <w:rPr>
          <w:i/>
          <w:iCs/>
          <w:lang w:val="en-US"/>
        </w:rPr>
        <w:t>6, 10) = 0.710458</w:t>
      </w: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 xml:space="preserve"> </w:t>
      </w:r>
      <w:proofErr w:type="gramStart"/>
      <w:r w:rsidRPr="000D4FA1">
        <w:rPr>
          <w:i/>
          <w:iCs/>
          <w:lang w:val="en-US"/>
        </w:rPr>
        <w:t>with</w:t>
      </w:r>
      <w:proofErr w:type="gramEnd"/>
      <w:r w:rsidRPr="000D4FA1">
        <w:rPr>
          <w:i/>
          <w:iCs/>
          <w:lang w:val="en-US"/>
        </w:rPr>
        <w:t xml:space="preserve"> p</w:t>
      </w:r>
      <w:r w:rsidR="007B767F" w:rsidRPr="000D4FA1">
        <w:rPr>
          <w:i/>
          <w:iCs/>
          <w:lang w:val="en-US"/>
        </w:rPr>
        <w:t>–</w:t>
      </w:r>
      <w:r w:rsidRPr="000D4FA1">
        <w:rPr>
          <w:i/>
          <w:iCs/>
          <w:lang w:val="en-US"/>
        </w:rPr>
        <w:t>value = P(F(6, 10) &gt; 0.710458) = 0.649626</w:t>
      </w:r>
    </w:p>
    <w:p w:rsidR="00F136E9" w:rsidRPr="000D4FA1" w:rsidRDefault="00F136E9" w:rsidP="00F136E9">
      <w:pPr>
        <w:pStyle w:val="a4"/>
        <w:spacing w:before="0" w:beforeAutospacing="0" w:after="0" w:afterAutospacing="0"/>
        <w:ind w:firstLine="1985"/>
        <w:jc w:val="both"/>
        <w:rPr>
          <w:i/>
          <w:iCs/>
          <w:lang w:val="en-US"/>
        </w:rPr>
      </w:pP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Breusch</w:t>
      </w:r>
      <w:r w:rsidR="007B767F" w:rsidRPr="000D4FA1">
        <w:rPr>
          <w:i/>
          <w:iCs/>
          <w:lang w:val="en-US"/>
        </w:rPr>
        <w:t>–</w:t>
      </w:r>
      <w:r w:rsidRPr="000D4FA1">
        <w:rPr>
          <w:i/>
          <w:iCs/>
          <w:lang w:val="en-US"/>
        </w:rPr>
        <w:t xml:space="preserve">Pagan test for heteroskedasticity </w:t>
      </w:r>
      <w:r w:rsidR="007B767F" w:rsidRPr="000D4FA1">
        <w:rPr>
          <w:i/>
          <w:iCs/>
          <w:lang w:val="en-US"/>
        </w:rPr>
        <w:t>–</w:t>
      </w: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 xml:space="preserve"> Null hypothesis: heteroskedasticity not present</w:t>
      </w: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 xml:space="preserve"> Test statistic: LM = 4.40525</w:t>
      </w:r>
    </w:p>
    <w:p w:rsidR="00F136E9" w:rsidRPr="000D4FA1" w:rsidRDefault="00F136E9" w:rsidP="00F136E9">
      <w:pPr>
        <w:pStyle w:val="a4"/>
        <w:spacing w:before="0" w:beforeAutospacing="0" w:after="0" w:afterAutospacing="0"/>
        <w:ind w:firstLine="1985"/>
        <w:jc w:val="both"/>
        <w:rPr>
          <w:i/>
          <w:iCs/>
          <w:lang w:val="en-US"/>
        </w:rPr>
      </w:pPr>
      <w:r w:rsidRPr="000D4FA1">
        <w:rPr>
          <w:i/>
          <w:iCs/>
          <w:lang w:val="en-US"/>
        </w:rPr>
        <w:t xml:space="preserve"> </w:t>
      </w:r>
      <w:proofErr w:type="gramStart"/>
      <w:r w:rsidRPr="000D4FA1">
        <w:rPr>
          <w:i/>
          <w:iCs/>
          <w:lang w:val="en-US"/>
        </w:rPr>
        <w:t>with</w:t>
      </w:r>
      <w:proofErr w:type="gramEnd"/>
      <w:r w:rsidRPr="000D4FA1">
        <w:rPr>
          <w:i/>
          <w:iCs/>
          <w:lang w:val="en-US"/>
        </w:rPr>
        <w:t xml:space="preserve"> p</w:t>
      </w:r>
      <w:r w:rsidR="007B767F" w:rsidRPr="000D4FA1">
        <w:rPr>
          <w:i/>
          <w:iCs/>
          <w:lang w:val="en-US"/>
        </w:rPr>
        <w:t>–</w:t>
      </w:r>
      <w:r w:rsidRPr="000D4FA1">
        <w:rPr>
          <w:i/>
          <w:iCs/>
          <w:lang w:val="en-US"/>
        </w:rPr>
        <w:t>value = P(Chi</w:t>
      </w:r>
      <w:r w:rsidR="007B767F" w:rsidRPr="000D4FA1">
        <w:rPr>
          <w:i/>
          <w:iCs/>
          <w:lang w:val="en-US"/>
        </w:rPr>
        <w:t>–</w:t>
      </w:r>
      <w:r w:rsidRPr="000D4FA1">
        <w:rPr>
          <w:i/>
          <w:iCs/>
          <w:lang w:val="en-US"/>
        </w:rPr>
        <w:t>square(5) &gt; 4.40525) = 0.49266</w:t>
      </w:r>
    </w:p>
    <w:p w:rsidR="00F136E9" w:rsidRPr="000D4FA1" w:rsidRDefault="00F136E9" w:rsidP="00F136E9">
      <w:pPr>
        <w:pStyle w:val="a4"/>
        <w:spacing w:after="0"/>
        <w:ind w:firstLine="720"/>
        <w:jc w:val="both"/>
        <w:rPr>
          <w:lang w:val="kk-KZ"/>
        </w:rPr>
      </w:pPr>
      <w:r w:rsidRPr="000D4FA1">
        <w:rPr>
          <w:lang w:val="kk-KZ"/>
        </w:rPr>
        <w:t xml:space="preserve">Literacy = 99.6 +  0.144*LIT + 1.26*FB_sub </w:t>
      </w:r>
      <w:r w:rsidR="007B767F" w:rsidRPr="000D4FA1">
        <w:rPr>
          <w:lang w:val="kk-KZ"/>
        </w:rPr>
        <w:t>–</w:t>
      </w:r>
      <w:r w:rsidRPr="000D4FA1">
        <w:rPr>
          <w:lang w:val="kk-KZ"/>
        </w:rPr>
        <w:t xml:space="preserve"> 0.212*MB_sub </w:t>
      </w:r>
      <w:r w:rsidR="007B767F" w:rsidRPr="000D4FA1">
        <w:rPr>
          <w:lang w:val="kk-KZ"/>
        </w:rPr>
        <w:t>–</w:t>
      </w:r>
      <w:r w:rsidRPr="000D4FA1">
        <w:rPr>
          <w:lang w:val="kk-KZ"/>
        </w:rPr>
        <w:t xml:space="preserve"> 1.45*DIR</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Полученные результаты OLS</w:t>
      </w:r>
      <w:r w:rsidR="007B767F" w:rsidRPr="000D4FA1">
        <w:rPr>
          <w:sz w:val="28"/>
          <w:szCs w:val="28"/>
        </w:rPr>
        <w:t>–</w:t>
      </w:r>
      <w:r w:rsidRPr="000D4FA1">
        <w:rPr>
          <w:sz w:val="28"/>
          <w:szCs w:val="28"/>
        </w:rPr>
        <w:t>регрессии, где зависимой переменной является уровень грамотности населения (</w:t>
      </w:r>
      <w:r w:rsidRPr="000D4FA1">
        <w:rPr>
          <w:i/>
          <w:iCs/>
          <w:sz w:val="28"/>
          <w:szCs w:val="28"/>
        </w:rPr>
        <w:t>Literacy</w:t>
      </w:r>
      <w:r w:rsidRPr="000D4FA1">
        <w:rPr>
          <w:sz w:val="28"/>
          <w:szCs w:val="28"/>
        </w:rPr>
        <w:t>), демонстрируют наличие статистически значимых взаимосвязей между качеством человеческого капитала и рядом социально</w:t>
      </w:r>
      <w:r w:rsidR="007B767F" w:rsidRPr="000D4FA1">
        <w:rPr>
          <w:sz w:val="28"/>
          <w:szCs w:val="28"/>
        </w:rPr>
        <w:t>–</w:t>
      </w:r>
      <w:r w:rsidRPr="000D4FA1">
        <w:rPr>
          <w:sz w:val="28"/>
          <w:szCs w:val="28"/>
        </w:rPr>
        <w:t>экономических факторов. Коэффициент детерминации модели составляет R² = 0.697, что означает объяснение почти 70% вариации грамотности, что является высоким значением для кросс</w:t>
      </w:r>
      <w:r w:rsidR="007B767F" w:rsidRPr="000D4FA1">
        <w:rPr>
          <w:sz w:val="28"/>
          <w:szCs w:val="28"/>
        </w:rPr>
        <w:t>–</w:t>
      </w:r>
      <w:r w:rsidRPr="000D4FA1">
        <w:rPr>
          <w:sz w:val="28"/>
          <w:szCs w:val="28"/>
        </w:rPr>
        <w:t xml:space="preserve">страновых данных. </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 xml:space="preserve">Существенное влияние на грамотность оказывают три переменные: </w:t>
      </w:r>
      <w:r w:rsidRPr="000D4FA1">
        <w:rPr>
          <w:i/>
          <w:iCs/>
          <w:sz w:val="28"/>
          <w:szCs w:val="28"/>
        </w:rPr>
        <w:t>LIT</w:t>
      </w:r>
      <w:r w:rsidRPr="000D4FA1">
        <w:rPr>
          <w:sz w:val="28"/>
          <w:szCs w:val="28"/>
        </w:rPr>
        <w:t xml:space="preserve"> (уровень образования внутри страны </w:t>
      </w:r>
      <w:r w:rsidR="008506F2" w:rsidRPr="000D4FA1">
        <w:rPr>
          <w:sz w:val="28"/>
          <w:szCs w:val="28"/>
        </w:rPr>
        <w:t>–</w:t>
      </w:r>
      <w:r w:rsidRPr="000D4FA1">
        <w:rPr>
          <w:sz w:val="28"/>
          <w:szCs w:val="28"/>
        </w:rPr>
        <w:t xml:space="preserve"> p=0.0449), </w:t>
      </w:r>
      <w:r w:rsidRPr="000D4FA1">
        <w:rPr>
          <w:i/>
          <w:iCs/>
          <w:sz w:val="28"/>
          <w:szCs w:val="28"/>
        </w:rPr>
        <w:t>FB_sub</w:t>
      </w:r>
      <w:r w:rsidRPr="000D4FA1">
        <w:rPr>
          <w:sz w:val="28"/>
          <w:szCs w:val="28"/>
        </w:rPr>
        <w:t xml:space="preserve"> (фиксированный широкополосный интернет </w:t>
      </w:r>
      <w:r w:rsidR="008506F2" w:rsidRPr="000D4FA1">
        <w:rPr>
          <w:sz w:val="28"/>
          <w:szCs w:val="28"/>
        </w:rPr>
        <w:t>–</w:t>
      </w:r>
      <w:r w:rsidRPr="000D4FA1">
        <w:rPr>
          <w:sz w:val="28"/>
          <w:szCs w:val="28"/>
        </w:rPr>
        <w:t xml:space="preserve"> p=0.0001) и </w:t>
      </w:r>
      <w:r w:rsidRPr="000D4FA1">
        <w:rPr>
          <w:i/>
          <w:iCs/>
          <w:sz w:val="28"/>
          <w:szCs w:val="28"/>
        </w:rPr>
        <w:t>DIR</w:t>
      </w:r>
      <w:r w:rsidRPr="000D4FA1">
        <w:rPr>
          <w:sz w:val="28"/>
          <w:szCs w:val="28"/>
        </w:rPr>
        <w:t xml:space="preserve"> (ставка депозитов </w:t>
      </w:r>
      <w:r w:rsidR="008506F2" w:rsidRPr="000D4FA1">
        <w:rPr>
          <w:sz w:val="28"/>
          <w:szCs w:val="28"/>
        </w:rPr>
        <w:t>–</w:t>
      </w:r>
      <w:r w:rsidRPr="000D4FA1">
        <w:rPr>
          <w:sz w:val="28"/>
          <w:szCs w:val="28"/>
        </w:rPr>
        <w:t xml:space="preserve"> p=0.0384). Положительный коэффициент при </w:t>
      </w:r>
      <w:r w:rsidRPr="000D4FA1">
        <w:rPr>
          <w:i/>
          <w:iCs/>
          <w:sz w:val="28"/>
          <w:szCs w:val="28"/>
        </w:rPr>
        <w:t>LIT</w:t>
      </w:r>
      <w:r w:rsidRPr="000D4FA1">
        <w:rPr>
          <w:sz w:val="28"/>
          <w:szCs w:val="28"/>
        </w:rPr>
        <w:t xml:space="preserve"> (0.144) отражает прямую связь между качеством формальной образовательной среды и итоговой грамотностью, что согласуется с теорией человеческого капитала (Becker, 1993).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Коэффициент </w:t>
      </w:r>
      <w:r w:rsidRPr="000D4FA1">
        <w:rPr>
          <w:i/>
          <w:iCs/>
          <w:sz w:val="28"/>
          <w:szCs w:val="28"/>
        </w:rPr>
        <w:t>FB_sub</w:t>
      </w:r>
      <w:r w:rsidRPr="000D4FA1">
        <w:rPr>
          <w:sz w:val="28"/>
          <w:szCs w:val="28"/>
        </w:rPr>
        <w:t xml:space="preserve"> также положителен (0.2627), что подтверждает роль цифровой инфраструктуры в расширении доступа к знаниям и образовательным ресурсам, особенно в странах со смешанной формой обучения и растущей цифровой экономикой.</w:t>
      </w:r>
    </w:p>
    <w:p w:rsidR="00F136E9" w:rsidRPr="000D4FA1" w:rsidRDefault="00F136E9" w:rsidP="00F136E9">
      <w:pPr>
        <w:pStyle w:val="a4"/>
        <w:spacing w:before="0" w:beforeAutospacing="0" w:after="0" w:afterAutospacing="0"/>
        <w:ind w:firstLine="720"/>
        <w:jc w:val="both"/>
        <w:rPr>
          <w:sz w:val="28"/>
          <w:szCs w:val="28"/>
          <w:lang w:val="kk-KZ"/>
        </w:rPr>
      </w:pPr>
      <w:r w:rsidRPr="000D4FA1">
        <w:rPr>
          <w:sz w:val="28"/>
          <w:szCs w:val="28"/>
        </w:rPr>
        <w:t xml:space="preserve">Переменная </w:t>
      </w:r>
      <w:r w:rsidRPr="000D4FA1">
        <w:rPr>
          <w:i/>
          <w:iCs/>
          <w:sz w:val="28"/>
          <w:szCs w:val="28"/>
        </w:rPr>
        <w:t>DIR</w:t>
      </w:r>
      <w:r w:rsidRPr="000D4FA1">
        <w:rPr>
          <w:sz w:val="28"/>
          <w:szCs w:val="28"/>
        </w:rPr>
        <w:t xml:space="preserve"> имеет отрицательный коэффициент (–1.4508), что можно интерпретировать как сигнал о том, что высокие депозитные ставки часто сопутствуют экономике с низкой инвестиционной активностью и ограниченным финансированием социальных программ, включая образование. Таким образом, увеличение ставок может косвенно снижать доступность образования, ухудшая уровень грамотности.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 Переменная </w:t>
      </w:r>
      <w:r w:rsidRPr="000D4FA1">
        <w:rPr>
          <w:i/>
          <w:iCs/>
          <w:sz w:val="28"/>
          <w:szCs w:val="28"/>
        </w:rPr>
        <w:t>MB_sub</w:t>
      </w:r>
      <w:r w:rsidRPr="000D4FA1">
        <w:rPr>
          <w:sz w:val="28"/>
          <w:szCs w:val="28"/>
        </w:rPr>
        <w:t xml:space="preserve"> имеет отрицательный коэффициент (–0.212) и p</w:t>
      </w:r>
      <w:r w:rsidR="007B767F" w:rsidRPr="000D4FA1">
        <w:rPr>
          <w:sz w:val="28"/>
          <w:szCs w:val="28"/>
        </w:rPr>
        <w:t>–</w:t>
      </w:r>
      <w:r w:rsidRPr="000D4FA1">
        <w:rPr>
          <w:sz w:val="28"/>
          <w:szCs w:val="28"/>
        </w:rPr>
        <w:t xml:space="preserve">value=0.0765, то есть близка к значимости. Это указывает на то, что мобильный интернет сам по себе не повышает грамотность, что характерно для стран, где мобильная связь используется преимущественно для бытовых сервисов, а не образовательных целей. </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В целом результаты показывают, что грамотность как ключевой элемент человеческого капитала формируется сочетанием институциональных факторов (качество образования), цифровой инфраструктуры (широкополосный интернет) и макрофинансовых условий (процентные ставки). Модель подтверждает, что повышение качества образования и развитие ИКТ</w:t>
      </w:r>
      <w:r w:rsidR="007B767F" w:rsidRPr="000D4FA1">
        <w:rPr>
          <w:sz w:val="28"/>
          <w:szCs w:val="28"/>
        </w:rPr>
        <w:t>–</w:t>
      </w:r>
      <w:r w:rsidRPr="000D4FA1">
        <w:rPr>
          <w:sz w:val="28"/>
          <w:szCs w:val="28"/>
        </w:rPr>
        <w:t xml:space="preserve">инфраструктуры являются основными рычагами устойчивого роста человеческого потенциала, тогда как неблагоприятные финансовые условия </w:t>
      </w:r>
      <w:r w:rsidRPr="000D4FA1">
        <w:rPr>
          <w:sz w:val="28"/>
          <w:szCs w:val="28"/>
        </w:rPr>
        <w:lastRenderedPageBreak/>
        <w:t>могут его сдерживать. Выводы согласуются с эмпирическими исследованиями Всемирного банка и ЮНЕСКО, что усиливает надежность полученной модели.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Для проверки надежности оценок регрессионной модели и корректности сделанных выводов был проведён комплекс диагностических процедур, включающий тест Уайта и тест Бройша–Пагана на гетероскедастичность, а также тест Чоу на структурный разрыв. Результаты тестов показали, что все ключевые предпосылки модели ОLS сохраняются, а полученные коэффициенты могут интерпретироваться как статистически состоятельные.</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1. Тест Уайта на гетероскедастичность</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Тест Уайта предназначен для выявления зависимости дисперсии остатков от значений объясняющих переменных. В исследовании получено:</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LM = 18.4474,</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p</w:t>
      </w:r>
      <w:r w:rsidR="007B767F" w:rsidRPr="000D4FA1">
        <w:rPr>
          <w:sz w:val="28"/>
          <w:szCs w:val="28"/>
        </w:rPr>
        <w:t>–</w:t>
      </w:r>
      <w:r w:rsidRPr="000D4FA1">
        <w:rPr>
          <w:sz w:val="28"/>
          <w:szCs w:val="28"/>
        </w:rPr>
        <w:t>value = 0.557962, что существенно превышает 0.05.</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Таким образом, нет оснований отвергнуть нулевую гипотезу, согласно которой дисперсия ошибок является постоянной. Это означает отсутствие признаков гетероскедастичности и подтверждает корректность стандартных ошибок коэффициентов модели. Следовательно, статистические выводы (t</w:t>
      </w:r>
      <w:r w:rsidR="007B767F" w:rsidRPr="000D4FA1">
        <w:rPr>
          <w:sz w:val="28"/>
          <w:szCs w:val="28"/>
        </w:rPr>
        <w:t>–</w:t>
      </w:r>
      <w:r w:rsidRPr="000D4FA1">
        <w:rPr>
          <w:sz w:val="28"/>
          <w:szCs w:val="28"/>
        </w:rPr>
        <w:t>тесты, интерпретация значимости коэффициентов) являются достоверными.</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2. Тест Бройша–Пагана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Для дополнительной проверки стабильности дисперсии использован тест Бройша–Пагана:</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LM = 4.40525,</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p</w:t>
      </w:r>
      <w:r w:rsidR="007B767F" w:rsidRPr="000D4FA1">
        <w:rPr>
          <w:sz w:val="28"/>
          <w:szCs w:val="28"/>
        </w:rPr>
        <w:t>–</w:t>
      </w:r>
      <w:r w:rsidRPr="000D4FA1">
        <w:rPr>
          <w:sz w:val="28"/>
          <w:szCs w:val="28"/>
        </w:rPr>
        <w:t>value = 0.49266, что также значительно выше 0.05.</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Это подтверждает результаты теста Уайта и свидетельствует, что остатки модели не демонстрируют систематического изменения дисперсии, а модель удовлетворяет предпосылке гомоскедастичности. Таким образом, модель статистически устойчива и не требует применения робастных стандартных ошибок.</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3. Тест Чоу на структурный разрыв</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Тест Чоу позволяет определить наличие значимого изменения структуры модели в разные периоды или подвыборки. В исследовании тест выполнялся на наблюдении №38:</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F(6, 10) = 0.710458,</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p</w:t>
      </w:r>
      <w:r w:rsidR="007B767F" w:rsidRPr="000D4FA1">
        <w:rPr>
          <w:sz w:val="28"/>
          <w:szCs w:val="28"/>
        </w:rPr>
        <w:t>–</w:t>
      </w:r>
      <w:r w:rsidRPr="000D4FA1">
        <w:rPr>
          <w:sz w:val="28"/>
          <w:szCs w:val="28"/>
        </w:rPr>
        <w:t>value = 0.649626, что значительно выше критического уровня 0.05.</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Иными словами, отсутствуют статистические основания для утверждения о наличии структурного разрыва. Модель является структурно стабильной, а связь между переменными сохраняется по всей выборке. Это особенно важно, поскольку подтверждает корректность объединения стран в одну панель для анализа и отсутствие систематических различий между группами наблюдений.</w:t>
      </w:r>
    </w:p>
    <w:p w:rsidR="00F136E9" w:rsidRPr="000D4FA1" w:rsidRDefault="00F136E9" w:rsidP="00F136E9">
      <w:pPr>
        <w:pStyle w:val="a4"/>
        <w:spacing w:before="0" w:beforeAutospacing="0" w:after="0" w:afterAutospacing="0"/>
        <w:ind w:firstLine="720"/>
        <w:jc w:val="both"/>
        <w:rPr>
          <w:sz w:val="28"/>
          <w:szCs w:val="28"/>
        </w:rPr>
      </w:pPr>
      <w:r w:rsidRPr="000D4FA1">
        <w:rPr>
          <w:sz w:val="28"/>
          <w:szCs w:val="28"/>
        </w:rPr>
        <w:t xml:space="preserve">Проведённые диагностические тесты демонстрируют, что регрессионная модель удовлетворяет базовым предпосылкам классической модели линейной регрессии. Отсутствие гетероскедастичности и структурных сдвигов подтверждает состоятельность оценок коэффициентов и надежность статистических выводов, сделанных в исследовании. Это позволяет </w:t>
      </w:r>
      <w:r w:rsidRPr="000D4FA1">
        <w:rPr>
          <w:sz w:val="28"/>
          <w:szCs w:val="28"/>
        </w:rPr>
        <w:lastRenderedPageBreak/>
        <w:t>интерпретировать влияние социально</w:t>
      </w:r>
      <w:r w:rsidR="007B767F" w:rsidRPr="000D4FA1">
        <w:rPr>
          <w:sz w:val="28"/>
          <w:szCs w:val="28"/>
        </w:rPr>
        <w:t>–</w:t>
      </w:r>
      <w:r w:rsidRPr="000D4FA1">
        <w:rPr>
          <w:sz w:val="28"/>
          <w:szCs w:val="28"/>
        </w:rPr>
        <w:t>экономических факторов на уровень грамотности (Dependent variable: Literacy) без необходимости корректировки модели или применения альтернативных методов оценивания.</w:t>
      </w:r>
    </w:p>
    <w:p w:rsidR="00151FA0" w:rsidRPr="000D4FA1" w:rsidRDefault="00151FA0" w:rsidP="00151FA0">
      <w:pPr>
        <w:spacing w:after="0" w:line="240" w:lineRule="auto"/>
        <w:ind w:firstLine="720"/>
        <w:jc w:val="both"/>
        <w:rPr>
          <w:rFonts w:ascii="Times New Roman" w:eastAsia="Times New Roman" w:hAnsi="Times New Roman" w:cs="Times New Roman"/>
          <w:bCs/>
          <w:sz w:val="28"/>
          <w:szCs w:val="28"/>
          <w:lang w:val="kk-KZ" w:eastAsia="ru-RU"/>
        </w:rPr>
      </w:pPr>
      <w:r w:rsidRPr="000D4FA1">
        <w:rPr>
          <w:rFonts w:ascii="Times New Roman" w:eastAsia="Times New Roman" w:hAnsi="Times New Roman" w:cs="Times New Roman"/>
          <w:bCs/>
          <w:sz w:val="28"/>
          <w:szCs w:val="28"/>
          <w:lang w:eastAsia="ru-RU"/>
        </w:rPr>
        <w:t>Q</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Q</w:t>
      </w:r>
      <w:r w:rsidRPr="000D4FA1">
        <w:rPr>
          <w:rFonts w:ascii="Times New Roman" w:eastAsia="Times New Roman" w:hAnsi="Times New Roman" w:cs="Times New Roman"/>
          <w:bCs/>
          <w:sz w:val="28"/>
          <w:szCs w:val="28"/>
          <w:lang w:val="ru-RU" w:eastAsia="ru-RU"/>
        </w:rPr>
        <w:t xml:space="preserve"> график сравнивает фактические квантили остатков модели с теоретическими квантилями нормального распределения. Точки распределены вдоль прямой линии </w:t>
      </w:r>
      <w:r w:rsidRPr="000D4FA1">
        <w:rPr>
          <w:rFonts w:ascii="Times New Roman" w:eastAsia="Times New Roman" w:hAnsi="Times New Roman" w:cs="Times New Roman"/>
          <w:bCs/>
          <w:sz w:val="28"/>
          <w:szCs w:val="28"/>
          <w:lang w:eastAsia="ru-RU"/>
        </w:rPr>
        <w:t>y</w:t>
      </w:r>
      <w:r w:rsidRPr="000D4FA1">
        <w:rPr>
          <w:rFonts w:ascii="Times New Roman" w:eastAsia="Times New Roman" w:hAnsi="Times New Roman" w:cs="Times New Roman"/>
          <w:bCs/>
          <w:sz w:val="28"/>
          <w:szCs w:val="28"/>
          <w:lang w:val="ru-RU" w:eastAsia="ru-RU"/>
        </w:rPr>
        <w:t xml:space="preserve"> = </w:t>
      </w:r>
      <w:r w:rsidRPr="000D4FA1">
        <w:rPr>
          <w:rFonts w:ascii="Times New Roman" w:eastAsia="Times New Roman" w:hAnsi="Times New Roman" w:cs="Times New Roman"/>
          <w:bCs/>
          <w:sz w:val="28"/>
          <w:szCs w:val="28"/>
          <w:lang w:eastAsia="ru-RU"/>
        </w:rPr>
        <w:t>x</w:t>
      </w:r>
      <w:r w:rsidRPr="000D4FA1">
        <w:rPr>
          <w:rFonts w:ascii="Times New Roman" w:eastAsia="Times New Roman" w:hAnsi="Times New Roman" w:cs="Times New Roman"/>
          <w:bCs/>
          <w:sz w:val="28"/>
          <w:szCs w:val="28"/>
          <w:lang w:val="ru-RU" w:eastAsia="ru-RU"/>
        </w:rPr>
        <w:t>, что указывает на приемлемое соответствие остатков нормальному распределению. Незначительные отклонения на краях выборки отражают наличие лёгкой асимметрии, но они не носят систематического характера и не нарушают ключевые предпосылки МНК.</w:t>
      </w:r>
    </w:p>
    <w:p w:rsidR="00151FA0" w:rsidRPr="000D4FA1" w:rsidRDefault="00151FA0" w:rsidP="00F136E9">
      <w:pPr>
        <w:pStyle w:val="a4"/>
        <w:spacing w:before="0" w:beforeAutospacing="0" w:after="0" w:afterAutospacing="0"/>
        <w:ind w:firstLine="720"/>
        <w:jc w:val="both"/>
        <w:rPr>
          <w:sz w:val="28"/>
          <w:szCs w:val="28"/>
          <w:lang w:val="kk-KZ"/>
        </w:rPr>
      </w:pPr>
    </w:p>
    <w:p w:rsidR="00F136E9" w:rsidRPr="000D4FA1" w:rsidRDefault="00F136E9" w:rsidP="00F136E9">
      <w:pPr>
        <w:pStyle w:val="a4"/>
        <w:spacing w:before="0" w:beforeAutospacing="0" w:after="0" w:afterAutospacing="0"/>
        <w:ind w:firstLine="720"/>
        <w:jc w:val="both"/>
        <w:rPr>
          <w:sz w:val="28"/>
          <w:szCs w:val="28"/>
        </w:rPr>
      </w:pPr>
      <w:r w:rsidRPr="000D4FA1">
        <w:rPr>
          <w:noProof/>
          <w:sz w:val="28"/>
          <w:szCs w:val="28"/>
        </w:rPr>
        <w:drawing>
          <wp:anchor distT="0" distB="0" distL="114300" distR="114300" simplePos="0" relativeHeight="251658240" behindDoc="1" locked="0" layoutInCell="1" allowOverlap="1">
            <wp:simplePos x="0" y="0"/>
            <wp:positionH relativeFrom="column">
              <wp:posOffset>712851</wp:posOffset>
            </wp:positionH>
            <wp:positionV relativeFrom="paragraph">
              <wp:posOffset>207899</wp:posOffset>
            </wp:positionV>
            <wp:extent cx="4241800" cy="3180080"/>
            <wp:effectExtent l="19050" t="19050" r="25400" b="20320"/>
            <wp:wrapTight wrapText="bothSides">
              <wp:wrapPolygon edited="0">
                <wp:start x="-97" y="-129"/>
                <wp:lineTo x="-97" y="21609"/>
                <wp:lineTo x="21632" y="21609"/>
                <wp:lineTo x="21632" y="-129"/>
                <wp:lineTo x="-97" y="-129"/>
              </wp:wrapPolygon>
            </wp:wrapTight>
            <wp:docPr id="1197063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41800" cy="3180080"/>
                    </a:xfrm>
                    <a:prstGeom prst="rect">
                      <a:avLst/>
                    </a:prstGeom>
                    <a:noFill/>
                    <a:ln>
                      <a:solidFill>
                        <a:srgbClr val="EE0000"/>
                      </a:solidFill>
                    </a:ln>
                  </pic:spPr>
                </pic:pic>
              </a:graphicData>
            </a:graphic>
          </wp:anchor>
        </w:drawing>
      </w: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pStyle w:val="a4"/>
        <w:spacing w:before="0" w:beforeAutospacing="0" w:after="0" w:afterAutospacing="0"/>
        <w:ind w:firstLine="720"/>
        <w:jc w:val="both"/>
        <w:rPr>
          <w:sz w:val="28"/>
          <w:szCs w:val="28"/>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3855B7">
      <w:pPr>
        <w:spacing w:after="0" w:line="240" w:lineRule="auto"/>
        <w:ind w:firstLine="720"/>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Рисунок </w:t>
      </w:r>
      <w:r w:rsidR="00F22554" w:rsidRPr="000D4FA1">
        <w:rPr>
          <w:rFonts w:ascii="Times New Roman" w:eastAsia="Times New Roman" w:hAnsi="Times New Roman" w:cs="Times New Roman"/>
          <w:bCs/>
          <w:sz w:val="28"/>
          <w:szCs w:val="28"/>
          <w:lang w:val="ru-RU" w:eastAsia="ru-RU"/>
        </w:rPr>
        <w:t>2</w:t>
      </w:r>
      <w:r w:rsidR="00A00396">
        <w:rPr>
          <w:rFonts w:ascii="Times New Roman" w:eastAsia="Times New Roman" w:hAnsi="Times New Roman" w:cs="Times New Roman"/>
          <w:bCs/>
          <w:sz w:val="28"/>
          <w:szCs w:val="28"/>
          <w:lang w:val="ru-RU" w:eastAsia="ru-RU"/>
        </w:rPr>
        <w:t>2</w:t>
      </w:r>
      <w:r w:rsidR="003855B7"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Q</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Q</w:t>
      </w:r>
      <w:r w:rsidRPr="000D4FA1">
        <w:rPr>
          <w:rFonts w:ascii="Times New Roman" w:eastAsia="Times New Roman" w:hAnsi="Times New Roman" w:cs="Times New Roman"/>
          <w:bCs/>
          <w:sz w:val="28"/>
          <w:szCs w:val="28"/>
          <w:lang w:val="ru-RU" w:eastAsia="ru-RU"/>
        </w:rPr>
        <w:t xml:space="preserve"> график остатков регрессионной модели (проверка нормальности распределения ошибок)</w:t>
      </w:r>
    </w:p>
    <w:p w:rsidR="003855B7" w:rsidRPr="000D4FA1" w:rsidRDefault="003855B7" w:rsidP="003855B7">
      <w:pPr>
        <w:pStyle w:val="a4"/>
        <w:spacing w:before="0" w:beforeAutospacing="0" w:after="0" w:afterAutospacing="0"/>
        <w:ind w:firstLine="720"/>
        <w:jc w:val="both"/>
      </w:pPr>
      <w:r w:rsidRPr="000D4FA1">
        <w:t>Примечание – составлено автором на основе исследования</w:t>
      </w:r>
    </w:p>
    <w:p w:rsidR="00F136E9" w:rsidRPr="000D4FA1" w:rsidRDefault="00F136E9" w:rsidP="00F136E9">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Таким образом, предпосылка о нормальности ошибок выполняется, что подтверждает корректность </w:t>
      </w:r>
      <w:r w:rsidRPr="000D4FA1">
        <w:rPr>
          <w:rFonts w:ascii="Times New Roman" w:eastAsia="Times New Roman" w:hAnsi="Times New Roman" w:cs="Times New Roman"/>
          <w:bCs/>
          <w:sz w:val="28"/>
          <w:szCs w:val="28"/>
          <w:lang w:eastAsia="ru-RU"/>
        </w:rPr>
        <w:t>t</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и </w:t>
      </w:r>
      <w:r w:rsidRPr="000D4FA1">
        <w:rPr>
          <w:rFonts w:ascii="Times New Roman" w:eastAsia="Times New Roman" w:hAnsi="Times New Roman" w:cs="Times New Roman"/>
          <w:bCs/>
          <w:sz w:val="28"/>
          <w:szCs w:val="28"/>
          <w:lang w:eastAsia="ru-RU"/>
        </w:rPr>
        <w:t>F</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статистик, а также позволяет использовать полученную модель для выводов и интерпретации коэффициентов.</w:t>
      </w:r>
    </w:p>
    <w:p w:rsidR="00F136E9" w:rsidRPr="000D4FA1" w:rsidRDefault="00F136E9" w:rsidP="00F136E9">
      <w:pPr>
        <w:spacing w:after="0" w:line="240" w:lineRule="auto"/>
        <w:rPr>
          <w:rFonts w:ascii="Times New Roman" w:eastAsia="Times New Roman" w:hAnsi="Times New Roman" w:cs="Times New Roman"/>
          <w:bCs/>
          <w:sz w:val="28"/>
          <w:szCs w:val="28"/>
          <w:lang w:val="kk-KZ" w:eastAsia="ru-RU"/>
        </w:rPr>
      </w:pP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kk-KZ" w:eastAsia="ru-RU"/>
        </w:rPr>
      </w:pPr>
      <w:r w:rsidRPr="000D4FA1">
        <w:rPr>
          <w:rFonts w:ascii="Times New Roman" w:eastAsia="Times New Roman" w:hAnsi="Times New Roman" w:cs="Times New Roman"/>
          <w:bCs/>
          <w:sz w:val="28"/>
          <w:szCs w:val="28"/>
          <w:lang w:val="ru-RU" w:eastAsia="ru-RU"/>
        </w:rPr>
        <w:t xml:space="preserve">Таблица </w:t>
      </w:r>
      <w:r w:rsidR="002B3956" w:rsidRPr="000D4FA1">
        <w:rPr>
          <w:rFonts w:ascii="Times New Roman" w:eastAsia="Times New Roman" w:hAnsi="Times New Roman" w:cs="Times New Roman"/>
          <w:bCs/>
          <w:sz w:val="28"/>
          <w:szCs w:val="28"/>
          <w:lang w:val="kk-KZ" w:eastAsia="ru-RU"/>
        </w:rPr>
        <w:t>2</w:t>
      </w:r>
      <w:r w:rsidR="00D17049" w:rsidRPr="000D4FA1">
        <w:rPr>
          <w:rFonts w:ascii="Times New Roman" w:eastAsia="Times New Roman" w:hAnsi="Times New Roman" w:cs="Times New Roman"/>
          <w:bCs/>
          <w:sz w:val="28"/>
          <w:szCs w:val="28"/>
          <w:lang w:val="kk-KZ" w:eastAsia="ru-RU"/>
        </w:rPr>
        <w:t>4</w:t>
      </w:r>
      <w:r w:rsidR="003855B7" w:rsidRPr="000D4FA1">
        <w:rPr>
          <w:rFonts w:ascii="Times New Roman" w:eastAsia="Times New Roman" w:hAnsi="Times New Roman" w:cs="Times New Roman"/>
          <w:bCs/>
          <w:sz w:val="28"/>
          <w:szCs w:val="28"/>
          <w:lang w:val="kk-KZ" w:eastAsia="ru-RU"/>
        </w:rPr>
        <w:t xml:space="preserve"> –</w:t>
      </w:r>
      <w:r w:rsidRPr="000D4FA1">
        <w:rPr>
          <w:rFonts w:ascii="Times New Roman" w:eastAsia="Times New Roman" w:hAnsi="Times New Roman" w:cs="Times New Roman"/>
          <w:bCs/>
          <w:sz w:val="28"/>
          <w:szCs w:val="28"/>
          <w:lang w:val="ru-RU" w:eastAsia="ru-RU"/>
        </w:rPr>
        <w:t xml:space="preserve"> Доверительные интервалы коэффициентов регрессионной модели (</w:t>
      </w:r>
      <w:r w:rsidRPr="000D4FA1">
        <w:rPr>
          <w:rFonts w:ascii="Times New Roman" w:eastAsia="Times New Roman" w:hAnsi="Times New Roman" w:cs="Times New Roman"/>
          <w:bCs/>
          <w:sz w:val="28"/>
          <w:szCs w:val="28"/>
          <w:lang w:eastAsia="ru-RU"/>
        </w:rPr>
        <w:t>OLS</w:t>
      </w:r>
      <w:r w:rsidRPr="000D4FA1">
        <w:rPr>
          <w:rFonts w:ascii="Times New Roman" w:eastAsia="Times New Roman" w:hAnsi="Times New Roman" w:cs="Times New Roman"/>
          <w:bCs/>
          <w:sz w:val="28"/>
          <w:szCs w:val="28"/>
          <w:lang w:val="ru-RU" w:eastAsia="ru-RU"/>
        </w:rPr>
        <w:t>), объясняющей уровень грамотности населения</w:t>
      </w:r>
      <w:r w:rsidRPr="000D4FA1">
        <w:rPr>
          <w:rFonts w:ascii="Times New Roman" w:eastAsia="Times New Roman" w:hAnsi="Times New Roman" w:cs="Times New Roman"/>
          <w:bCs/>
          <w:sz w:val="28"/>
          <w:szCs w:val="28"/>
          <w:lang w:val="kk-KZ" w:eastAsia="ru-RU"/>
        </w:rPr>
        <w:t xml:space="preserve"> </w:t>
      </w:r>
      <w:r w:rsidRPr="000D4FA1">
        <w:rPr>
          <w:rFonts w:ascii="Times New Roman" w:eastAsia="Times New Roman" w:hAnsi="Times New Roman" w:cs="Times New Roman"/>
          <w:bCs/>
          <w:sz w:val="28"/>
          <w:szCs w:val="28"/>
          <w:lang w:eastAsia="ru-RU"/>
        </w:rPr>
        <w:t>t</w:t>
      </w:r>
      <w:r w:rsidRPr="000D4FA1">
        <w:rPr>
          <w:rFonts w:ascii="Times New Roman" w:eastAsia="Times New Roman" w:hAnsi="Times New Roman" w:cs="Times New Roman"/>
          <w:bCs/>
          <w:sz w:val="28"/>
          <w:szCs w:val="28"/>
          <w:lang w:val="ru-RU" w:eastAsia="ru-RU"/>
        </w:rPr>
        <w:t>(16, 0.025) = 2.120</w:t>
      </w:r>
    </w:p>
    <w:tbl>
      <w:tblPr>
        <w:tblpPr w:leftFromText="180" w:rightFromText="180" w:vertAnchor="text" w:horzAnchor="margin" w:tblpY="58"/>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482"/>
        <w:gridCol w:w="2866"/>
        <w:gridCol w:w="3682"/>
      </w:tblGrid>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val="ru-RU" w:eastAsia="ru-RU"/>
              </w:rPr>
            </w:pPr>
          </w:p>
        </w:tc>
        <w:tc>
          <w:tcPr>
            <w:tcW w:w="2866"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coefficient</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95 confidence interval</w:t>
            </w:r>
          </w:p>
        </w:tc>
      </w:tr>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const</w:t>
            </w:r>
          </w:p>
        </w:tc>
        <w:tc>
          <w:tcPr>
            <w:tcW w:w="2866"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99.5511</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[73.9196, 125.182]</w:t>
            </w:r>
          </w:p>
        </w:tc>
      </w:tr>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LIT</w:t>
            </w:r>
          </w:p>
        </w:tc>
        <w:tc>
          <w:tcPr>
            <w:tcW w:w="2866"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0.143760</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[0.00370870, 0.283812]</w:t>
            </w:r>
          </w:p>
        </w:tc>
      </w:tr>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FB_sub</w:t>
            </w:r>
          </w:p>
        </w:tc>
        <w:tc>
          <w:tcPr>
            <w:tcW w:w="2866"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1.26270</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[0.740682, 1.78472]</w:t>
            </w:r>
          </w:p>
        </w:tc>
      </w:tr>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MB_sub</w:t>
            </w:r>
          </w:p>
        </w:tc>
        <w:tc>
          <w:tcPr>
            <w:tcW w:w="2866" w:type="dxa"/>
          </w:tcPr>
          <w:p w:rsidR="00B665FC" w:rsidRPr="000D4FA1" w:rsidRDefault="007B767F"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w:t>
            </w:r>
            <w:r w:rsidR="00B665FC" w:rsidRPr="000D4FA1">
              <w:rPr>
                <w:rFonts w:ascii="Times New Roman" w:eastAsia="Times New Roman" w:hAnsi="Times New Roman" w:cs="Times New Roman"/>
                <w:bCs/>
                <w:lang w:eastAsia="ru-RU"/>
              </w:rPr>
              <w:t>0.212045</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w:t>
            </w:r>
            <w:r w:rsidR="007B767F" w:rsidRPr="000D4FA1">
              <w:rPr>
                <w:rFonts w:ascii="Times New Roman" w:eastAsia="Times New Roman" w:hAnsi="Times New Roman" w:cs="Times New Roman"/>
                <w:bCs/>
                <w:lang w:eastAsia="ru-RU"/>
              </w:rPr>
              <w:t>–</w:t>
            </w:r>
            <w:r w:rsidRPr="000D4FA1">
              <w:rPr>
                <w:rFonts w:ascii="Times New Roman" w:eastAsia="Times New Roman" w:hAnsi="Times New Roman" w:cs="Times New Roman"/>
                <w:bCs/>
                <w:lang w:eastAsia="ru-RU"/>
              </w:rPr>
              <w:t xml:space="preserve">0.449467, </w:t>
            </w:r>
            <w:r w:rsidR="007B767F" w:rsidRPr="000D4FA1">
              <w:rPr>
                <w:rFonts w:ascii="Times New Roman" w:eastAsia="Times New Roman" w:hAnsi="Times New Roman" w:cs="Times New Roman"/>
                <w:bCs/>
                <w:lang w:val="kk-KZ" w:eastAsia="ru-RU"/>
              </w:rPr>
              <w:t>–</w:t>
            </w:r>
            <w:r w:rsidRPr="000D4FA1">
              <w:rPr>
                <w:rFonts w:ascii="Times New Roman" w:eastAsia="Times New Roman" w:hAnsi="Times New Roman" w:cs="Times New Roman"/>
                <w:bCs/>
                <w:lang w:eastAsia="ru-RU"/>
              </w:rPr>
              <w:t>0.0253763]</w:t>
            </w:r>
          </w:p>
        </w:tc>
      </w:tr>
      <w:tr w:rsidR="00B665FC" w:rsidRPr="000D4FA1" w:rsidTr="00B665FC">
        <w:trPr>
          <w:trHeight w:val="262"/>
        </w:trPr>
        <w:tc>
          <w:tcPr>
            <w:tcW w:w="24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DIR</w:t>
            </w:r>
          </w:p>
        </w:tc>
        <w:tc>
          <w:tcPr>
            <w:tcW w:w="2866" w:type="dxa"/>
          </w:tcPr>
          <w:p w:rsidR="00B665FC" w:rsidRPr="000D4FA1" w:rsidRDefault="007B767F"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w:t>
            </w:r>
            <w:r w:rsidR="00B665FC" w:rsidRPr="000D4FA1">
              <w:rPr>
                <w:rFonts w:ascii="Times New Roman" w:eastAsia="Times New Roman" w:hAnsi="Times New Roman" w:cs="Times New Roman"/>
                <w:bCs/>
                <w:lang w:eastAsia="ru-RU"/>
              </w:rPr>
              <w:t>1.45083</w:t>
            </w:r>
          </w:p>
        </w:tc>
        <w:tc>
          <w:tcPr>
            <w:tcW w:w="3682" w:type="dxa"/>
          </w:tcPr>
          <w:p w:rsidR="00B665FC" w:rsidRPr="000D4FA1" w:rsidRDefault="00B665FC" w:rsidP="00C76C5B">
            <w:pPr>
              <w:spacing w:after="0" w:line="240" w:lineRule="auto"/>
              <w:rPr>
                <w:rFonts w:ascii="Times New Roman" w:eastAsia="Times New Roman" w:hAnsi="Times New Roman" w:cs="Times New Roman"/>
                <w:bCs/>
                <w:lang w:eastAsia="ru-RU"/>
              </w:rPr>
            </w:pPr>
            <w:r w:rsidRPr="000D4FA1">
              <w:rPr>
                <w:rFonts w:ascii="Times New Roman" w:eastAsia="Times New Roman" w:hAnsi="Times New Roman" w:cs="Times New Roman"/>
                <w:bCs/>
                <w:lang w:eastAsia="ru-RU"/>
              </w:rPr>
              <w:t>[</w:t>
            </w:r>
            <w:r w:rsidR="007B767F" w:rsidRPr="000D4FA1">
              <w:rPr>
                <w:rFonts w:ascii="Times New Roman" w:eastAsia="Times New Roman" w:hAnsi="Times New Roman" w:cs="Times New Roman"/>
                <w:bCs/>
                <w:lang w:eastAsia="ru-RU"/>
              </w:rPr>
              <w:t>–</w:t>
            </w:r>
            <w:r w:rsidRPr="000D4FA1">
              <w:rPr>
                <w:rFonts w:ascii="Times New Roman" w:eastAsia="Times New Roman" w:hAnsi="Times New Roman" w:cs="Times New Roman"/>
                <w:bCs/>
                <w:lang w:eastAsia="ru-RU"/>
              </w:rPr>
              <w:t xml:space="preserve">2.81377, </w:t>
            </w:r>
            <w:r w:rsidR="007B767F" w:rsidRPr="000D4FA1">
              <w:rPr>
                <w:rFonts w:ascii="Times New Roman" w:eastAsia="Times New Roman" w:hAnsi="Times New Roman" w:cs="Times New Roman"/>
                <w:bCs/>
                <w:lang w:eastAsia="ru-RU"/>
              </w:rPr>
              <w:t>–</w:t>
            </w:r>
            <w:r w:rsidRPr="000D4FA1">
              <w:rPr>
                <w:rFonts w:ascii="Times New Roman" w:eastAsia="Times New Roman" w:hAnsi="Times New Roman" w:cs="Times New Roman"/>
                <w:bCs/>
                <w:lang w:eastAsia="ru-RU"/>
              </w:rPr>
              <w:t>0.0878867]</w:t>
            </w:r>
          </w:p>
        </w:tc>
      </w:tr>
    </w:tbl>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eastAsia="ru-RU"/>
        </w:rPr>
      </w:pPr>
    </w:p>
    <w:p w:rsidR="003855B7" w:rsidRPr="000D4FA1" w:rsidRDefault="003855B7" w:rsidP="00F136E9">
      <w:pPr>
        <w:spacing w:after="0" w:line="240" w:lineRule="auto"/>
        <w:ind w:firstLine="720"/>
        <w:jc w:val="both"/>
        <w:rPr>
          <w:rFonts w:ascii="Times New Roman" w:eastAsia="Times New Roman" w:hAnsi="Times New Roman" w:cs="Times New Roman"/>
          <w:bCs/>
          <w:sz w:val="28"/>
          <w:szCs w:val="28"/>
          <w:lang w:val="ru-RU" w:eastAsia="ru-RU"/>
        </w:rPr>
      </w:pPr>
    </w:p>
    <w:p w:rsidR="003855B7" w:rsidRPr="000D4FA1" w:rsidRDefault="003855B7" w:rsidP="00F136E9">
      <w:pPr>
        <w:spacing w:after="0" w:line="240" w:lineRule="auto"/>
        <w:ind w:firstLine="720"/>
        <w:jc w:val="both"/>
        <w:rPr>
          <w:rFonts w:ascii="Times New Roman" w:eastAsia="Times New Roman" w:hAnsi="Times New Roman" w:cs="Times New Roman"/>
          <w:bCs/>
          <w:sz w:val="28"/>
          <w:szCs w:val="28"/>
          <w:lang w:val="ru-RU" w:eastAsia="ru-RU"/>
        </w:rPr>
      </w:pPr>
    </w:p>
    <w:p w:rsidR="003855B7" w:rsidRPr="000D4FA1" w:rsidRDefault="003855B7" w:rsidP="00F136E9">
      <w:pPr>
        <w:spacing w:after="0" w:line="240" w:lineRule="auto"/>
        <w:ind w:firstLine="720"/>
        <w:jc w:val="both"/>
        <w:rPr>
          <w:rFonts w:ascii="Times New Roman" w:eastAsia="Times New Roman" w:hAnsi="Times New Roman" w:cs="Times New Roman"/>
          <w:bCs/>
          <w:sz w:val="28"/>
          <w:szCs w:val="28"/>
          <w:lang w:val="ru-RU" w:eastAsia="ru-RU"/>
        </w:rPr>
      </w:pPr>
    </w:p>
    <w:p w:rsidR="003855B7" w:rsidRPr="000D4FA1" w:rsidRDefault="003855B7" w:rsidP="00F136E9">
      <w:pPr>
        <w:spacing w:after="0" w:line="240" w:lineRule="auto"/>
        <w:ind w:firstLine="720"/>
        <w:jc w:val="both"/>
        <w:rPr>
          <w:rFonts w:ascii="Times New Roman" w:eastAsia="Times New Roman" w:hAnsi="Times New Roman" w:cs="Times New Roman"/>
          <w:bCs/>
          <w:sz w:val="28"/>
          <w:szCs w:val="28"/>
          <w:lang w:val="ru-RU" w:eastAsia="ru-RU"/>
        </w:rPr>
      </w:pPr>
    </w:p>
    <w:p w:rsidR="003855B7" w:rsidRPr="000D4FA1" w:rsidRDefault="003855B7" w:rsidP="00F136E9">
      <w:pPr>
        <w:spacing w:after="0" w:line="240" w:lineRule="auto"/>
        <w:ind w:firstLine="720"/>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lastRenderedPageBreak/>
        <w:t xml:space="preserve">Анализ результатов таблицы. Представленные доверительные интервалы подтверждают статистическую значимость трёх факторов модели </w:t>
      </w:r>
      <w:r w:rsidR="008506F2"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и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Во всех этих случаях 95%</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й интервал не пересекает ноль, что указывает на устойчивый эффект данных переменных на уровень грамотности.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eastAsia="ru-RU"/>
        </w:rPr>
        <w:t>LIT</w:t>
      </w:r>
      <w:r w:rsidRPr="000D4FA1">
        <w:rPr>
          <w:rFonts w:ascii="Times New Roman" w:eastAsia="Times New Roman" w:hAnsi="Times New Roman" w:cs="Times New Roman"/>
          <w:bCs/>
          <w:sz w:val="28"/>
          <w:szCs w:val="28"/>
          <w:lang w:val="ru-RU" w:eastAsia="ru-RU"/>
        </w:rPr>
        <w:t xml:space="preserve"> (уровень базовой грамотности)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Интервал </w:t>
      </w:r>
      <m:oMath>
        <m:r>
          <m:rPr>
            <m:sty m:val="p"/>
          </m:rPr>
          <w:rPr>
            <w:rFonts w:ascii="Cambria Math" w:eastAsia="Times New Roman" w:hAnsi="Cambria Math" w:cs="Times New Roman"/>
            <w:sz w:val="28"/>
            <w:szCs w:val="28"/>
            <w:lang w:val="ru-RU" w:eastAsia="ru-RU"/>
          </w:rPr>
          <m:t>0.0037;0.2838</m:t>
        </m:r>
      </m:oMath>
      <w:r w:rsidRPr="000D4FA1">
        <w:rPr>
          <w:rFonts w:ascii="Times New Roman" w:eastAsia="Times New Roman" w:hAnsi="Times New Roman" w:cs="Times New Roman"/>
          <w:bCs/>
          <w:sz w:val="28"/>
          <w:szCs w:val="28"/>
          <w:lang w:val="ru-RU" w:eastAsia="ru-RU"/>
        </w:rPr>
        <w:t>положителен и узок, что говорит о слабом, но статистически значимом прямом влиянии. Это соответствует экономической логике: более высокий базовый уровень грамотности устойчиво связан с улучшением общей грамотности в стране.</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(фиксированные широкополосные подписки)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Интервал </w:t>
      </w:r>
      <m:oMath>
        <m:r>
          <m:rPr>
            <m:sty m:val="p"/>
          </m:rPr>
          <w:rPr>
            <w:rFonts w:ascii="Cambria Math" w:eastAsia="Times New Roman" w:hAnsi="Cambria Math" w:cs="Times New Roman"/>
            <w:sz w:val="28"/>
            <w:szCs w:val="28"/>
            <w:lang w:val="ru-RU" w:eastAsia="ru-RU"/>
          </w:rPr>
          <m:t xml:space="preserve">0.7407;1.7847 </m:t>
        </m:r>
      </m:oMath>
      <w:r w:rsidRPr="000D4FA1">
        <w:rPr>
          <w:rFonts w:ascii="Times New Roman" w:eastAsia="Times New Roman" w:hAnsi="Times New Roman" w:cs="Times New Roman"/>
          <w:bCs/>
          <w:sz w:val="28"/>
          <w:szCs w:val="28"/>
          <w:lang w:val="ru-RU" w:eastAsia="ru-RU"/>
        </w:rPr>
        <w:t>полностью положительный и достаточно широкий, что показывает стабильное и выраженное положительное влияние доступности фиксированного интернета. Экономически это означает, что развитие цифровой инфраструктуры способствует расширению доступа к образованию и улучшению образовательных результатов.</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(мобильные широкополосные подписки)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Интервал </w:t>
      </w:r>
      <m:oMath>
        <m:r>
          <m:rPr>
            <m:sty m:val="p"/>
          </m:rPr>
          <w:rPr>
            <w:rFonts w:ascii="Cambria Math" w:eastAsia="Times New Roman" w:hAnsi="Cambria Math" w:cs="Times New Roman"/>
            <w:sz w:val="28"/>
            <w:szCs w:val="28"/>
            <w:lang w:val="ru-RU" w:eastAsia="ru-RU"/>
          </w:rPr>
          <m:t>-0.4495;-0.0254</m:t>
        </m:r>
      </m:oMath>
      <w:r w:rsidRPr="000D4FA1">
        <w:rPr>
          <w:rFonts w:ascii="Times New Roman" w:eastAsia="Times New Roman" w:hAnsi="Times New Roman" w:cs="Times New Roman"/>
          <w:bCs/>
          <w:sz w:val="28"/>
          <w:szCs w:val="28"/>
          <w:lang w:val="ru-RU" w:eastAsia="ru-RU"/>
        </w:rPr>
        <w:t xml:space="preserve"> является отрицательным, что свидетельствует о статистически значимом негативном эффекте. Интерпретация: высокая зависимость от мобильного интернета чаще характерна для стран с недостаточно развитой проводной инфраструктурой, что ограничивает доступ к качественным образовательным ресурсам и снижает общий уровень грамотности.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xml:space="preserve"> (депозитные процентные ставки)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Интервал </w:t>
      </w:r>
      <m:oMath>
        <m:r>
          <m:rPr>
            <m:sty m:val="p"/>
          </m:rPr>
          <w:rPr>
            <w:rFonts w:ascii="Cambria Math" w:eastAsia="Times New Roman" w:hAnsi="Cambria Math" w:cs="Times New Roman"/>
            <w:sz w:val="28"/>
            <w:szCs w:val="28"/>
            <w:lang w:val="ru-RU" w:eastAsia="ru-RU"/>
          </w:rPr>
          <m:t>-2.8138;-0.0879</m:t>
        </m:r>
      </m:oMath>
      <w:r w:rsidRPr="000D4FA1">
        <w:rPr>
          <w:rFonts w:ascii="Times New Roman" w:eastAsia="Times New Roman" w:hAnsi="Times New Roman" w:cs="Times New Roman"/>
          <w:bCs/>
          <w:sz w:val="28"/>
          <w:szCs w:val="28"/>
          <w:lang w:val="ru-RU" w:eastAsia="ru-RU"/>
        </w:rPr>
        <w:t>также отрицателен, что указывает на устойчивое негативное влияние. Более высокие депозитные ставки обычно отражают макроэкономическую нестабильность и низкий уровень инвестиций в человеческий капитал, что снижает возможности населения получать образование.</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Константа (</w:t>
      </w:r>
      <w:r w:rsidRPr="000D4FA1">
        <w:rPr>
          <w:rFonts w:ascii="Times New Roman" w:eastAsia="Times New Roman" w:hAnsi="Times New Roman" w:cs="Times New Roman"/>
          <w:bCs/>
          <w:sz w:val="28"/>
          <w:szCs w:val="28"/>
          <w:lang w:eastAsia="ru-RU"/>
        </w:rPr>
        <w:t>const</w:t>
      </w:r>
      <w:r w:rsidRPr="000D4FA1">
        <w:rPr>
          <w:rFonts w:ascii="Times New Roman" w:eastAsia="Times New Roman" w:hAnsi="Times New Roman" w:cs="Times New Roman"/>
          <w:bCs/>
          <w:sz w:val="28"/>
          <w:szCs w:val="28"/>
          <w:lang w:val="ru-RU" w:eastAsia="ru-RU"/>
        </w:rPr>
        <w:t>)</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Интервал </w:t>
      </w:r>
      <m:oMath>
        <m:r>
          <m:rPr>
            <m:sty m:val="p"/>
          </m:rPr>
          <w:rPr>
            <w:rFonts w:ascii="Cambria Math" w:eastAsia="Times New Roman" w:hAnsi="Cambria Math" w:cs="Times New Roman"/>
            <w:sz w:val="28"/>
            <w:szCs w:val="28"/>
            <w:lang w:val="ru-RU" w:eastAsia="ru-RU"/>
          </w:rPr>
          <m:t xml:space="preserve">73.92;125.18 </m:t>
        </m:r>
      </m:oMath>
      <w:r w:rsidRPr="000D4FA1">
        <w:rPr>
          <w:rFonts w:ascii="Times New Roman" w:eastAsia="Times New Roman" w:hAnsi="Times New Roman" w:cs="Times New Roman"/>
          <w:bCs/>
          <w:sz w:val="28"/>
          <w:szCs w:val="28"/>
          <w:lang w:val="ru-RU" w:eastAsia="ru-RU"/>
        </w:rPr>
        <w:t>показывает базовый уровень грамотности при фиксированных значениях объясняющих переменных. Значение высокое, что отражает общий глобальный тренд на увеличение уровня грамотности.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Доверительные интервалы подтверждают, что на уровень грамотности статистически значимо влияют четыре переменные: </w:t>
      </w:r>
      <w:r w:rsidRPr="000D4FA1">
        <w:rPr>
          <w:rFonts w:ascii="Times New Roman" w:eastAsia="Times New Roman" w:hAnsi="Times New Roman" w:cs="Times New Roman"/>
          <w:bCs/>
          <w:sz w:val="28"/>
          <w:szCs w:val="28"/>
          <w:lang w:eastAsia="ru-RU"/>
        </w:rPr>
        <w:t>LIT</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и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Наиболее сильное положительное влияние оказывает развитие фиксированной интернет</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инфраструктуры, что подчёркивает роль цифровых коммуникаций в формировании человеческого капитала</w:t>
      </w:r>
      <w:r w:rsidR="006F1E42" w:rsidRPr="000D4FA1">
        <w:rPr>
          <w:rFonts w:ascii="Times New Roman" w:eastAsia="Times New Roman" w:hAnsi="Times New Roman" w:cs="Times New Roman"/>
          <w:bCs/>
          <w:sz w:val="28"/>
          <w:szCs w:val="28"/>
          <w:lang w:val="ru-RU" w:eastAsia="ru-RU"/>
        </w:rPr>
        <w:t xml:space="preserve"> </w:t>
      </w:r>
      <w:r w:rsidR="006F1E42" w:rsidRPr="000D4FA1">
        <w:rPr>
          <w:rFonts w:ascii="Times New Roman" w:eastAsia="Times New Roman" w:hAnsi="Times New Roman" w:cs="Times New Roman"/>
          <w:sz w:val="28"/>
          <w:szCs w:val="28"/>
          <w:lang w:val="ru-RU" w:eastAsia="ru-RU"/>
        </w:rPr>
        <w:t>[73].</w:t>
      </w:r>
    </w:p>
    <w:p w:rsidR="00F136E9"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В то же время негативные коэффициенты по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и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xml:space="preserve"> демонстрируют, что высокий уровень мобильной зависимости и макроэкономическая нестабильность ограничивают образовательные возможности населения.</w:t>
      </w:r>
    </w:p>
    <w:p w:rsidR="007F50FD" w:rsidRPr="000D4FA1" w:rsidRDefault="007F50FD" w:rsidP="00F136E9">
      <w:pPr>
        <w:spacing w:after="0" w:line="240" w:lineRule="auto"/>
        <w:ind w:firstLine="720"/>
        <w:jc w:val="both"/>
        <w:rPr>
          <w:rFonts w:ascii="Times New Roman" w:eastAsia="Times New Roman" w:hAnsi="Times New Roman" w:cs="Times New Roman"/>
          <w:bCs/>
          <w:sz w:val="28"/>
          <w:szCs w:val="28"/>
          <w:lang w:val="ru-RU" w:eastAsia="ru-RU"/>
        </w:rPr>
      </w:pPr>
    </w:p>
    <w:p w:rsidR="004E5E46" w:rsidRPr="000D4FA1" w:rsidRDefault="004E5E46" w:rsidP="00F136E9">
      <w:pPr>
        <w:spacing w:after="0" w:line="240" w:lineRule="auto"/>
        <w:ind w:firstLine="720"/>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rPr>
          <w:rFonts w:ascii="Times New Roman" w:eastAsia="Times New Roman" w:hAnsi="Times New Roman" w:cs="Times New Roman"/>
          <w:b/>
          <w:i/>
          <w:iCs/>
          <w:sz w:val="24"/>
          <w:szCs w:val="24"/>
          <w:lang w:val="ru-RU" w:eastAsia="ru-RU"/>
        </w:rPr>
      </w:pPr>
      <w:r w:rsidRPr="000D4FA1">
        <w:rPr>
          <w:rFonts w:ascii="Times New Roman" w:eastAsia="Times New Roman" w:hAnsi="Times New Roman" w:cs="Times New Roman"/>
          <w:b/>
          <w:i/>
          <w:iCs/>
          <w:sz w:val="24"/>
          <w:szCs w:val="24"/>
          <w:lang w:val="ru-RU" w:eastAsia="ru-RU"/>
        </w:rPr>
        <w:lastRenderedPageBreak/>
        <w:t>Анализ мультиколлинеарности (</w:t>
      </w:r>
      <w:r w:rsidRPr="000D4FA1">
        <w:rPr>
          <w:rFonts w:ascii="Times New Roman" w:eastAsia="Times New Roman" w:hAnsi="Times New Roman" w:cs="Times New Roman"/>
          <w:b/>
          <w:i/>
          <w:iCs/>
          <w:sz w:val="24"/>
          <w:szCs w:val="24"/>
          <w:lang w:eastAsia="ru-RU"/>
        </w:rPr>
        <w:t>VIF</w:t>
      </w:r>
      <w:r w:rsidRPr="000D4FA1">
        <w:rPr>
          <w:rFonts w:ascii="Times New Roman" w:eastAsia="Times New Roman" w:hAnsi="Times New Roman" w:cs="Times New Roman"/>
          <w:b/>
          <w:i/>
          <w:iCs/>
          <w:sz w:val="24"/>
          <w:szCs w:val="24"/>
          <w:lang w:val="ru-RU" w:eastAsia="ru-RU"/>
        </w:rPr>
        <w:t xml:space="preserve"> и </w:t>
      </w:r>
      <w:r w:rsidRPr="000D4FA1">
        <w:rPr>
          <w:rFonts w:ascii="Times New Roman" w:eastAsia="Times New Roman" w:hAnsi="Times New Roman" w:cs="Times New Roman"/>
          <w:b/>
          <w:i/>
          <w:iCs/>
          <w:sz w:val="24"/>
          <w:szCs w:val="24"/>
          <w:lang w:eastAsia="ru-RU"/>
        </w:rPr>
        <w:t>Belsley</w:t>
      </w:r>
      <w:r w:rsidR="007B767F" w:rsidRPr="000D4FA1">
        <w:rPr>
          <w:rFonts w:ascii="Times New Roman" w:eastAsia="Times New Roman" w:hAnsi="Times New Roman" w:cs="Times New Roman"/>
          <w:b/>
          <w:i/>
          <w:iCs/>
          <w:sz w:val="24"/>
          <w:szCs w:val="24"/>
          <w:lang w:val="ru-RU" w:eastAsia="ru-RU"/>
        </w:rPr>
        <w:t>–</w:t>
      </w:r>
      <w:r w:rsidRPr="000D4FA1">
        <w:rPr>
          <w:rFonts w:ascii="Times New Roman" w:eastAsia="Times New Roman" w:hAnsi="Times New Roman" w:cs="Times New Roman"/>
          <w:b/>
          <w:i/>
          <w:iCs/>
          <w:sz w:val="24"/>
          <w:szCs w:val="24"/>
          <w:lang w:eastAsia="ru-RU"/>
        </w:rPr>
        <w:t>Kuh</w:t>
      </w:r>
      <w:r w:rsidR="007B767F" w:rsidRPr="000D4FA1">
        <w:rPr>
          <w:rFonts w:ascii="Times New Roman" w:eastAsia="Times New Roman" w:hAnsi="Times New Roman" w:cs="Times New Roman"/>
          <w:b/>
          <w:i/>
          <w:iCs/>
          <w:sz w:val="24"/>
          <w:szCs w:val="24"/>
          <w:lang w:val="ru-RU" w:eastAsia="ru-RU"/>
        </w:rPr>
        <w:t>–</w:t>
      </w:r>
      <w:r w:rsidRPr="000D4FA1">
        <w:rPr>
          <w:rFonts w:ascii="Times New Roman" w:eastAsia="Times New Roman" w:hAnsi="Times New Roman" w:cs="Times New Roman"/>
          <w:b/>
          <w:i/>
          <w:iCs/>
          <w:sz w:val="24"/>
          <w:szCs w:val="24"/>
          <w:lang w:eastAsia="ru-RU"/>
        </w:rPr>
        <w:t>Welsch</w:t>
      </w:r>
      <w:r w:rsidRPr="000D4FA1">
        <w:rPr>
          <w:rFonts w:ascii="Times New Roman" w:eastAsia="Times New Roman" w:hAnsi="Times New Roman" w:cs="Times New Roman"/>
          <w:b/>
          <w:i/>
          <w:iCs/>
          <w:sz w:val="24"/>
          <w:szCs w:val="24"/>
          <w:lang w:val="ru-RU" w:eastAsia="ru-RU"/>
        </w:rPr>
        <w:t xml:space="preserve"> </w:t>
      </w:r>
      <w:r w:rsidRPr="000D4FA1">
        <w:rPr>
          <w:rFonts w:ascii="Times New Roman" w:eastAsia="Times New Roman" w:hAnsi="Times New Roman" w:cs="Times New Roman"/>
          <w:b/>
          <w:i/>
          <w:iCs/>
          <w:sz w:val="24"/>
          <w:szCs w:val="24"/>
          <w:lang w:eastAsia="ru-RU"/>
        </w:rPr>
        <w:t>diagnostics</w:t>
      </w:r>
      <w:r w:rsidRPr="000D4FA1">
        <w:rPr>
          <w:rFonts w:ascii="Times New Roman" w:eastAsia="Times New Roman" w:hAnsi="Times New Roman" w:cs="Times New Roman"/>
          <w:b/>
          <w:i/>
          <w:iCs/>
          <w:sz w:val="24"/>
          <w:szCs w:val="24"/>
          <w:lang w:val="ru-RU" w:eastAsia="ru-RU"/>
        </w:rPr>
        <w:t>)</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Variance Inflation Factors</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Minimum possible value = 1.0</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Values &gt; 10.0 may indicate a collinearity problem</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LIT    1.353</w:t>
      </w:r>
    </w:p>
    <w:p w:rsidR="00F136E9" w:rsidRPr="000D4FA1" w:rsidRDefault="00F136E9" w:rsidP="00F136E9">
      <w:pPr>
        <w:spacing w:after="0" w:line="240" w:lineRule="auto"/>
        <w:ind w:firstLine="1843"/>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FB_sub     2.301</w:t>
      </w:r>
    </w:p>
    <w:p w:rsidR="00F136E9" w:rsidRPr="000D4FA1" w:rsidRDefault="00F136E9" w:rsidP="00F136E9">
      <w:pPr>
        <w:spacing w:after="0" w:line="240" w:lineRule="auto"/>
        <w:ind w:firstLine="1843"/>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MB_sub     2.485</w:t>
      </w:r>
    </w:p>
    <w:p w:rsidR="00F136E9" w:rsidRPr="000D4FA1" w:rsidRDefault="00F136E9" w:rsidP="00F136E9">
      <w:pPr>
        <w:spacing w:after="0" w:line="240" w:lineRule="auto"/>
        <w:ind w:firstLine="1843"/>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DIR    2.019</w:t>
      </w:r>
    </w:p>
    <w:p w:rsidR="00F136E9" w:rsidRPr="000D4FA1" w:rsidRDefault="00F136E9" w:rsidP="00F136E9">
      <w:pPr>
        <w:spacing w:after="0" w:line="240" w:lineRule="auto"/>
        <w:rPr>
          <w:rFonts w:ascii="Times New Roman" w:eastAsia="Times New Roman" w:hAnsi="Times New Roman" w:cs="Times New Roman"/>
          <w:bCs/>
          <w:i/>
          <w:iCs/>
          <w:lang w:eastAsia="ru-RU"/>
        </w:rPr>
      </w:pPr>
      <w:proofErr w:type="gramStart"/>
      <w:r w:rsidRPr="000D4FA1">
        <w:rPr>
          <w:rFonts w:ascii="Times New Roman" w:eastAsia="Times New Roman" w:hAnsi="Times New Roman" w:cs="Times New Roman"/>
          <w:bCs/>
          <w:i/>
          <w:iCs/>
          <w:lang w:eastAsia="ru-RU"/>
        </w:rPr>
        <w:t>VIF(</w:t>
      </w:r>
      <w:proofErr w:type="gramEnd"/>
      <w:r w:rsidRPr="000D4FA1">
        <w:rPr>
          <w:rFonts w:ascii="Times New Roman" w:eastAsia="Times New Roman" w:hAnsi="Times New Roman" w:cs="Times New Roman"/>
          <w:bCs/>
          <w:i/>
          <w:iCs/>
          <w:lang w:eastAsia="ru-RU"/>
        </w:rPr>
        <w:t xml:space="preserve">j) = 1/(1 </w:t>
      </w:r>
      <w:r w:rsidR="007B767F" w:rsidRPr="000D4FA1">
        <w:rPr>
          <w:rFonts w:ascii="Times New Roman" w:eastAsia="Times New Roman" w:hAnsi="Times New Roman" w:cs="Times New Roman"/>
          <w:bCs/>
          <w:i/>
          <w:iCs/>
          <w:lang w:eastAsia="ru-RU"/>
        </w:rPr>
        <w:t>–</w:t>
      </w:r>
      <w:r w:rsidRPr="000D4FA1">
        <w:rPr>
          <w:rFonts w:ascii="Times New Roman" w:eastAsia="Times New Roman" w:hAnsi="Times New Roman" w:cs="Times New Roman"/>
          <w:bCs/>
          <w:i/>
          <w:iCs/>
          <w:lang w:eastAsia="ru-RU"/>
        </w:rPr>
        <w:t xml:space="preserve"> R(j)^2), where R(j) is the multiple correlation coefficient</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between variable j and the other independent variables</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Belsley</w:t>
      </w:r>
      <w:r w:rsidR="007B767F" w:rsidRPr="000D4FA1">
        <w:rPr>
          <w:rFonts w:ascii="Times New Roman" w:eastAsia="Times New Roman" w:hAnsi="Times New Roman" w:cs="Times New Roman"/>
          <w:bCs/>
          <w:i/>
          <w:iCs/>
          <w:lang w:eastAsia="ru-RU"/>
        </w:rPr>
        <w:t>–</w:t>
      </w:r>
      <w:r w:rsidRPr="000D4FA1">
        <w:rPr>
          <w:rFonts w:ascii="Times New Roman" w:eastAsia="Times New Roman" w:hAnsi="Times New Roman" w:cs="Times New Roman"/>
          <w:bCs/>
          <w:i/>
          <w:iCs/>
          <w:lang w:eastAsia="ru-RU"/>
        </w:rPr>
        <w:t>Kuh</w:t>
      </w:r>
      <w:r w:rsidR="007B767F" w:rsidRPr="000D4FA1">
        <w:rPr>
          <w:rFonts w:ascii="Times New Roman" w:eastAsia="Times New Roman" w:hAnsi="Times New Roman" w:cs="Times New Roman"/>
          <w:bCs/>
          <w:i/>
          <w:iCs/>
          <w:lang w:eastAsia="ru-RU"/>
        </w:rPr>
        <w:t>–</w:t>
      </w:r>
      <w:r w:rsidRPr="000D4FA1">
        <w:rPr>
          <w:rFonts w:ascii="Times New Roman" w:eastAsia="Times New Roman" w:hAnsi="Times New Roman" w:cs="Times New Roman"/>
          <w:bCs/>
          <w:i/>
          <w:iCs/>
          <w:lang w:eastAsia="ru-RU"/>
        </w:rPr>
        <w:t>Welsch collinearity diagnostics:</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variance proportions</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w:t>
      </w:r>
      <w:proofErr w:type="gramStart"/>
      <w:r w:rsidRPr="000D4FA1">
        <w:rPr>
          <w:rFonts w:ascii="Times New Roman" w:eastAsia="Times New Roman" w:hAnsi="Times New Roman" w:cs="Times New Roman"/>
          <w:bCs/>
          <w:i/>
          <w:iCs/>
          <w:lang w:eastAsia="ru-RU"/>
        </w:rPr>
        <w:t>lambda</w:t>
      </w:r>
      <w:proofErr w:type="gramEnd"/>
      <w:r w:rsidRPr="000D4FA1">
        <w:rPr>
          <w:rFonts w:ascii="Times New Roman" w:eastAsia="Times New Roman" w:hAnsi="Times New Roman" w:cs="Times New Roman"/>
          <w:bCs/>
          <w:i/>
          <w:iCs/>
          <w:lang w:eastAsia="ru-RU"/>
        </w:rPr>
        <w:t xml:space="preserve">    cond   const     POP     LIT  FB_sub  MB_sub     DIR</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4.328   1.000   0.001   0.008   0.011   0.006   0.001   0.005</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0.833   2.279   0.000   0.458   0.073   0.001   0.000   0.006</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0.409   3.251   0.002   0.163   0.429   0.086   0.002   0.004</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0.239   4.257   0.021   0.054   0.003   0.240   0.012   0.067</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0.182   4.872   0.003   0.002   0.291   0.163   0.002   0.392</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w:t>
      </w:r>
      <w:proofErr w:type="gramStart"/>
      <w:r w:rsidRPr="000D4FA1">
        <w:rPr>
          <w:rFonts w:ascii="Times New Roman" w:eastAsia="Times New Roman" w:hAnsi="Times New Roman" w:cs="Times New Roman"/>
          <w:bCs/>
          <w:i/>
          <w:iCs/>
          <w:lang w:eastAsia="ru-RU"/>
        </w:rPr>
        <w:t>0.008  23.815</w:t>
      </w:r>
      <w:proofErr w:type="gramEnd"/>
      <w:r w:rsidRPr="000D4FA1">
        <w:rPr>
          <w:rFonts w:ascii="Times New Roman" w:eastAsia="Times New Roman" w:hAnsi="Times New Roman" w:cs="Times New Roman"/>
          <w:bCs/>
          <w:i/>
          <w:iCs/>
          <w:lang w:eastAsia="ru-RU"/>
        </w:rPr>
        <w:t xml:space="preserve">   0.973   0.314   0.192   0.503   0.983   0.526</w:t>
      </w:r>
    </w:p>
    <w:p w:rsidR="00F136E9" w:rsidRPr="000D4FA1" w:rsidRDefault="00F136E9" w:rsidP="00F136E9">
      <w:pPr>
        <w:spacing w:after="0" w:line="240" w:lineRule="auto"/>
        <w:rPr>
          <w:rFonts w:ascii="Times New Roman" w:eastAsia="Times New Roman" w:hAnsi="Times New Roman" w:cs="Times New Roman"/>
          <w:bCs/>
          <w:i/>
          <w:iCs/>
          <w:lang w:eastAsia="ru-RU"/>
        </w:rPr>
      </w:pP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lambda = eigenvalues of inverse covariance matrix (smallest is 0.00763191)</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cond   = condition index</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note: variance proportions columns sum to 1.0</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According to BKW, cond &gt;= 30 indicates "strong" near linear dependence,</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and cond between 10 and 30 "moderately strong".  Parameter estimates whose</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variance is mostly associated with problematic cond values may themselves</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be considered problematic.</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Count of condition indices &gt;= 30: 0</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Count of condition indices &gt;= 10: 1</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Variance proportions &gt;= 0.5 associated with cond &gt;= 10:</w:t>
      </w:r>
    </w:p>
    <w:p w:rsidR="00F136E9" w:rsidRPr="000D4FA1" w:rsidRDefault="00F136E9" w:rsidP="00F136E9">
      <w:pPr>
        <w:spacing w:after="0" w:line="240" w:lineRule="auto"/>
        <w:rPr>
          <w:rFonts w:ascii="Times New Roman" w:eastAsia="Times New Roman" w:hAnsi="Times New Roman" w:cs="Times New Roman"/>
          <w:bCs/>
          <w:i/>
          <w:iCs/>
          <w:lang w:eastAsia="ru-RU"/>
        </w:rPr>
      </w:pPr>
      <w:r w:rsidRPr="000D4FA1">
        <w:rPr>
          <w:rFonts w:ascii="Times New Roman" w:eastAsia="Times New Roman" w:hAnsi="Times New Roman" w:cs="Times New Roman"/>
          <w:bCs/>
          <w:i/>
          <w:iCs/>
          <w:lang w:eastAsia="ru-RU"/>
        </w:rPr>
        <w:t xml:space="preserve">   </w:t>
      </w:r>
      <w:proofErr w:type="gramStart"/>
      <w:r w:rsidRPr="000D4FA1">
        <w:rPr>
          <w:rFonts w:ascii="Times New Roman" w:eastAsia="Times New Roman" w:hAnsi="Times New Roman" w:cs="Times New Roman"/>
          <w:bCs/>
          <w:i/>
          <w:iCs/>
          <w:lang w:eastAsia="ru-RU"/>
        </w:rPr>
        <w:t>const  FB</w:t>
      </w:r>
      <w:proofErr w:type="gramEnd"/>
      <w:r w:rsidRPr="000D4FA1">
        <w:rPr>
          <w:rFonts w:ascii="Times New Roman" w:eastAsia="Times New Roman" w:hAnsi="Times New Roman" w:cs="Times New Roman"/>
          <w:bCs/>
          <w:i/>
          <w:iCs/>
          <w:lang w:eastAsia="ru-RU"/>
        </w:rPr>
        <w:t>_sub  MB_sub     DIR</w:t>
      </w:r>
    </w:p>
    <w:p w:rsidR="00F136E9" w:rsidRPr="000D4FA1" w:rsidRDefault="00F136E9" w:rsidP="00F136E9">
      <w:pPr>
        <w:spacing w:after="0" w:line="240" w:lineRule="auto"/>
        <w:rPr>
          <w:rFonts w:ascii="Times New Roman" w:eastAsia="Times New Roman" w:hAnsi="Times New Roman" w:cs="Times New Roman"/>
          <w:bCs/>
          <w:i/>
          <w:iCs/>
          <w:lang w:val="ru-RU" w:eastAsia="ru-RU"/>
        </w:rPr>
      </w:pPr>
      <w:r w:rsidRPr="000D4FA1">
        <w:rPr>
          <w:rFonts w:ascii="Times New Roman" w:eastAsia="Times New Roman" w:hAnsi="Times New Roman" w:cs="Times New Roman"/>
          <w:bCs/>
          <w:i/>
          <w:iCs/>
          <w:lang w:eastAsia="ru-RU"/>
        </w:rPr>
        <w:t xml:space="preserve">   </w:t>
      </w:r>
      <w:r w:rsidRPr="000D4FA1">
        <w:rPr>
          <w:rFonts w:ascii="Times New Roman" w:eastAsia="Times New Roman" w:hAnsi="Times New Roman" w:cs="Times New Roman"/>
          <w:bCs/>
          <w:i/>
          <w:iCs/>
          <w:lang w:val="ru-RU" w:eastAsia="ru-RU"/>
        </w:rPr>
        <w:t>0.973   0.503   0.983   0.526</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Оценка мультиколлинеарности проводилась с использованием показателей </w:t>
      </w:r>
      <w:r w:rsidRPr="000D4FA1">
        <w:rPr>
          <w:rFonts w:ascii="Times New Roman" w:eastAsia="Times New Roman" w:hAnsi="Times New Roman" w:cs="Times New Roman"/>
          <w:bCs/>
          <w:sz w:val="28"/>
          <w:szCs w:val="28"/>
          <w:lang w:eastAsia="ru-RU"/>
        </w:rPr>
        <w:t>Variance</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Inflation</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Factor</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VIF</w:t>
      </w:r>
      <w:r w:rsidRPr="000D4FA1">
        <w:rPr>
          <w:rFonts w:ascii="Times New Roman" w:eastAsia="Times New Roman" w:hAnsi="Times New Roman" w:cs="Times New Roman"/>
          <w:bCs/>
          <w:sz w:val="28"/>
          <w:szCs w:val="28"/>
          <w:lang w:val="ru-RU" w:eastAsia="ru-RU"/>
        </w:rPr>
        <w:t xml:space="preserve">) и </w:t>
      </w:r>
      <w:r w:rsidRPr="000D4FA1">
        <w:rPr>
          <w:rFonts w:ascii="Times New Roman" w:eastAsia="Times New Roman" w:hAnsi="Times New Roman" w:cs="Times New Roman"/>
          <w:bCs/>
          <w:sz w:val="28"/>
          <w:szCs w:val="28"/>
          <w:lang w:eastAsia="ru-RU"/>
        </w:rPr>
        <w:t>Belsley</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Kuh</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Welsch</w:t>
      </w:r>
      <w:r w:rsidRPr="000D4FA1">
        <w:rPr>
          <w:rFonts w:ascii="Times New Roman" w:eastAsia="Times New Roman" w:hAnsi="Times New Roman" w:cs="Times New Roman"/>
          <w:bCs/>
          <w:sz w:val="28"/>
          <w:szCs w:val="28"/>
          <w:lang w:val="ru-RU" w:eastAsia="ru-RU"/>
        </w:rPr>
        <w:t xml:space="preserve"> диагностик. Полученные значения </w:t>
      </w:r>
      <w:r w:rsidRPr="000D4FA1">
        <w:rPr>
          <w:rFonts w:ascii="Times New Roman" w:eastAsia="Times New Roman" w:hAnsi="Times New Roman" w:cs="Times New Roman"/>
          <w:bCs/>
          <w:sz w:val="28"/>
          <w:szCs w:val="28"/>
          <w:lang w:eastAsia="ru-RU"/>
        </w:rPr>
        <w:t>VIF</w:t>
      </w:r>
      <w:r w:rsidRPr="000D4FA1">
        <w:rPr>
          <w:rFonts w:ascii="Times New Roman" w:eastAsia="Times New Roman" w:hAnsi="Times New Roman" w:cs="Times New Roman"/>
          <w:bCs/>
          <w:sz w:val="28"/>
          <w:szCs w:val="28"/>
          <w:lang w:val="ru-RU" w:eastAsia="ru-RU"/>
        </w:rPr>
        <w:t xml:space="preserve"> для всех объясняющих переменных находятся в диапазоне 1.35–2.48, что значительно ниже критических порогов 10 (сильная мультиколлинеарность) и 5 (умеренная мультиколлинеарность). Это свидетельствует о том, что ни одна из переменных не демонстрирует опасного уровня линейной зависимости с другими факторами. Наиболее высокие </w:t>
      </w:r>
      <w:r w:rsidRPr="000D4FA1">
        <w:rPr>
          <w:rFonts w:ascii="Times New Roman" w:eastAsia="Times New Roman" w:hAnsi="Times New Roman" w:cs="Times New Roman"/>
          <w:bCs/>
          <w:sz w:val="28"/>
          <w:szCs w:val="28"/>
          <w:lang w:eastAsia="ru-RU"/>
        </w:rPr>
        <w:t>VIF</w:t>
      </w:r>
      <w:r w:rsidRPr="000D4FA1">
        <w:rPr>
          <w:rFonts w:ascii="Times New Roman" w:eastAsia="Times New Roman" w:hAnsi="Times New Roman" w:cs="Times New Roman"/>
          <w:bCs/>
          <w:sz w:val="28"/>
          <w:szCs w:val="28"/>
          <w:lang w:val="ru-RU" w:eastAsia="ru-RU"/>
        </w:rPr>
        <w:t xml:space="preserve"> наблюдаются у переменных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(2.485) и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(2.301), однако такие значения отражают лишь умеренно выраженные связи и не нарушают стабильность оценок модели.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Дополнительная проверка с помощью </w:t>
      </w:r>
      <w:r w:rsidRPr="000D4FA1">
        <w:rPr>
          <w:rFonts w:ascii="Times New Roman" w:eastAsia="Times New Roman" w:hAnsi="Times New Roman" w:cs="Times New Roman"/>
          <w:bCs/>
          <w:sz w:val="28"/>
          <w:szCs w:val="28"/>
          <w:lang w:eastAsia="ru-RU"/>
        </w:rPr>
        <w:t>Belsley</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Kuh</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Welsch</w:t>
      </w:r>
      <w:r w:rsidRPr="000D4FA1">
        <w:rPr>
          <w:rFonts w:ascii="Times New Roman" w:eastAsia="Times New Roman" w:hAnsi="Times New Roman" w:cs="Times New Roman"/>
          <w:bCs/>
          <w:sz w:val="28"/>
          <w:szCs w:val="28"/>
          <w:lang w:val="ru-RU" w:eastAsia="ru-RU"/>
        </w:rPr>
        <w:t xml:space="preserve"> показала, что условные индексы (</w:t>
      </w:r>
      <w:r w:rsidRPr="000D4FA1">
        <w:rPr>
          <w:rFonts w:ascii="Times New Roman" w:eastAsia="Times New Roman" w:hAnsi="Times New Roman" w:cs="Times New Roman"/>
          <w:bCs/>
          <w:sz w:val="28"/>
          <w:szCs w:val="28"/>
          <w:lang w:eastAsia="ru-RU"/>
        </w:rPr>
        <w:t>condition</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index</w:t>
      </w:r>
      <w:r w:rsidRPr="000D4FA1">
        <w:rPr>
          <w:rFonts w:ascii="Times New Roman" w:eastAsia="Times New Roman" w:hAnsi="Times New Roman" w:cs="Times New Roman"/>
          <w:bCs/>
          <w:sz w:val="28"/>
          <w:szCs w:val="28"/>
          <w:lang w:val="ru-RU" w:eastAsia="ru-RU"/>
        </w:rPr>
        <w:t xml:space="preserve">) не достигают критического уровня 30, означающего «сильную» мультиколлинеарность. Максимальное значение </w:t>
      </w:r>
      <w:r w:rsidRPr="000D4FA1">
        <w:rPr>
          <w:rFonts w:ascii="Times New Roman" w:eastAsia="Times New Roman" w:hAnsi="Times New Roman" w:cs="Times New Roman"/>
          <w:bCs/>
          <w:sz w:val="28"/>
          <w:szCs w:val="28"/>
          <w:lang w:eastAsia="ru-RU"/>
        </w:rPr>
        <w:t>cond</w:t>
      </w:r>
      <w:r w:rsidRPr="000D4FA1">
        <w:rPr>
          <w:rFonts w:ascii="Times New Roman" w:eastAsia="Times New Roman" w:hAnsi="Times New Roman" w:cs="Times New Roman"/>
          <w:bCs/>
          <w:sz w:val="28"/>
          <w:szCs w:val="28"/>
          <w:lang w:val="ru-RU" w:eastAsia="ru-RU"/>
        </w:rPr>
        <w:t xml:space="preserve"> составляет 23.815, что классифицируется как зона «умеренной зависимости». При этом анализ долей дисперсии выявил, что только некоторые параметры имеют нагрузку ≥0.5 при условном индексе &gt;10 </w:t>
      </w:r>
      <w:r w:rsidR="008506F2"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в частности,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(0.503) и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(0.983). Такие сочетания могут свидетельствовать о частичной взаимосвязи цифровых показателей (фиксированный и мобильный </w:t>
      </w:r>
      <w:r w:rsidRPr="000D4FA1">
        <w:rPr>
          <w:rFonts w:ascii="Times New Roman" w:eastAsia="Times New Roman" w:hAnsi="Times New Roman" w:cs="Times New Roman"/>
          <w:bCs/>
          <w:sz w:val="28"/>
          <w:szCs w:val="28"/>
          <w:lang w:val="ru-RU" w:eastAsia="ru-RU"/>
        </w:rPr>
        <w:lastRenderedPageBreak/>
        <w:t>широкополосный доступ), что логично с экономической точки зрения, поскольку обе переменные отражают инфраструктурное развитие страны.</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Тем не менее, даже умеренные проявления линейной взаимосвязанности не достигают уровня, способного искажать коэффициенты модели. Отсутствие высокой мультиколлинеарности подтверждается также тем, что ни один фактор не имеет одновременно высокого </w:t>
      </w:r>
      <w:r w:rsidRPr="000D4FA1">
        <w:rPr>
          <w:rFonts w:ascii="Times New Roman" w:eastAsia="Times New Roman" w:hAnsi="Times New Roman" w:cs="Times New Roman"/>
          <w:bCs/>
          <w:sz w:val="28"/>
          <w:szCs w:val="28"/>
          <w:lang w:eastAsia="ru-RU"/>
        </w:rPr>
        <w:t>condition</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index</w:t>
      </w:r>
      <w:r w:rsidRPr="000D4FA1">
        <w:rPr>
          <w:rFonts w:ascii="Times New Roman" w:eastAsia="Times New Roman" w:hAnsi="Times New Roman" w:cs="Times New Roman"/>
          <w:bCs/>
          <w:sz w:val="28"/>
          <w:szCs w:val="28"/>
          <w:lang w:val="ru-RU" w:eastAsia="ru-RU"/>
        </w:rPr>
        <w:t xml:space="preserve"> (&gt;30) и доли дисперсии ≥0.5, что является строгим критерием проблемной зависимости.</w:t>
      </w:r>
    </w:p>
    <w:p w:rsidR="00151FA0" w:rsidRPr="000D4FA1" w:rsidRDefault="007F50FD"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noProof/>
          <w:sz w:val="28"/>
          <w:szCs w:val="28"/>
          <w:lang w:val="ru-RU" w:eastAsia="ru-RU"/>
        </w:rPr>
        <w:drawing>
          <wp:anchor distT="0" distB="0" distL="114300" distR="114300" simplePos="0" relativeHeight="251654656" behindDoc="1" locked="0" layoutInCell="1" allowOverlap="1">
            <wp:simplePos x="0" y="0"/>
            <wp:positionH relativeFrom="column">
              <wp:posOffset>125095</wp:posOffset>
            </wp:positionH>
            <wp:positionV relativeFrom="paragraph">
              <wp:posOffset>1479550</wp:posOffset>
            </wp:positionV>
            <wp:extent cx="5868219" cy="4401164"/>
            <wp:effectExtent l="19050" t="19050" r="18415" b="19050"/>
            <wp:wrapTight wrapText="bothSides">
              <wp:wrapPolygon edited="0">
                <wp:start x="-70" y="-94"/>
                <wp:lineTo x="-70" y="21600"/>
                <wp:lineTo x="21598" y="21600"/>
                <wp:lineTo x="21598" y="-94"/>
                <wp:lineTo x="-70" y="-94"/>
              </wp:wrapPolygon>
            </wp:wrapTight>
            <wp:docPr id="423251057" name="Рисунок 1"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51057" name="Рисунок 1"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8219" cy="4401164"/>
                    </a:xfrm>
                    <a:prstGeom prst="rect">
                      <a:avLst/>
                    </a:prstGeom>
                    <a:ln>
                      <a:solidFill>
                        <a:srgbClr val="EE0000"/>
                      </a:solidFill>
                    </a:ln>
                  </pic:spPr>
                </pic:pic>
              </a:graphicData>
            </a:graphic>
          </wp:anchor>
        </w:drawing>
      </w:r>
      <w:r w:rsidR="00151FA0" w:rsidRPr="000D4FA1">
        <w:rPr>
          <w:rFonts w:ascii="Times New Roman" w:eastAsia="Times New Roman" w:hAnsi="Times New Roman" w:cs="Times New Roman"/>
          <w:bCs/>
          <w:sz w:val="28"/>
          <w:szCs w:val="28"/>
          <w:lang w:val="ru-RU" w:eastAsia="ru-RU"/>
        </w:rPr>
        <w:t>Проведённая диагностика подтверждает, что мультиколлинеарность не представляет угрозы для надёжности оценок модели. Незначительные уровни взаимосвязей между отдельными инфраструктурными показателями (</w:t>
      </w:r>
      <w:r w:rsidR="00151FA0" w:rsidRPr="000D4FA1">
        <w:rPr>
          <w:rFonts w:ascii="Times New Roman" w:eastAsia="Times New Roman" w:hAnsi="Times New Roman" w:cs="Times New Roman"/>
          <w:bCs/>
          <w:sz w:val="28"/>
          <w:szCs w:val="28"/>
          <w:lang w:eastAsia="ru-RU"/>
        </w:rPr>
        <w:t>FB</w:t>
      </w:r>
      <w:r w:rsidR="00151FA0" w:rsidRPr="000D4FA1">
        <w:rPr>
          <w:rFonts w:ascii="Times New Roman" w:eastAsia="Times New Roman" w:hAnsi="Times New Roman" w:cs="Times New Roman"/>
          <w:bCs/>
          <w:sz w:val="28"/>
          <w:szCs w:val="28"/>
          <w:lang w:val="ru-RU" w:eastAsia="ru-RU"/>
        </w:rPr>
        <w:t>_</w:t>
      </w:r>
      <w:r w:rsidR="00151FA0" w:rsidRPr="000D4FA1">
        <w:rPr>
          <w:rFonts w:ascii="Times New Roman" w:eastAsia="Times New Roman" w:hAnsi="Times New Roman" w:cs="Times New Roman"/>
          <w:bCs/>
          <w:sz w:val="28"/>
          <w:szCs w:val="28"/>
          <w:lang w:eastAsia="ru-RU"/>
        </w:rPr>
        <w:t>sub</w:t>
      </w:r>
      <w:r w:rsidR="00151FA0" w:rsidRPr="000D4FA1">
        <w:rPr>
          <w:rFonts w:ascii="Times New Roman" w:eastAsia="Times New Roman" w:hAnsi="Times New Roman" w:cs="Times New Roman"/>
          <w:bCs/>
          <w:sz w:val="28"/>
          <w:szCs w:val="28"/>
          <w:lang w:val="ru-RU" w:eastAsia="ru-RU"/>
        </w:rPr>
        <w:t xml:space="preserve"> и </w:t>
      </w:r>
      <w:r w:rsidR="00151FA0" w:rsidRPr="000D4FA1">
        <w:rPr>
          <w:rFonts w:ascii="Times New Roman" w:eastAsia="Times New Roman" w:hAnsi="Times New Roman" w:cs="Times New Roman"/>
          <w:bCs/>
          <w:sz w:val="28"/>
          <w:szCs w:val="28"/>
          <w:lang w:eastAsia="ru-RU"/>
        </w:rPr>
        <w:t>MB</w:t>
      </w:r>
      <w:r w:rsidR="00151FA0" w:rsidRPr="000D4FA1">
        <w:rPr>
          <w:rFonts w:ascii="Times New Roman" w:eastAsia="Times New Roman" w:hAnsi="Times New Roman" w:cs="Times New Roman"/>
          <w:bCs/>
          <w:sz w:val="28"/>
          <w:szCs w:val="28"/>
          <w:lang w:val="ru-RU" w:eastAsia="ru-RU"/>
        </w:rPr>
        <w:t>_</w:t>
      </w:r>
      <w:r w:rsidR="00151FA0" w:rsidRPr="000D4FA1">
        <w:rPr>
          <w:rFonts w:ascii="Times New Roman" w:eastAsia="Times New Roman" w:hAnsi="Times New Roman" w:cs="Times New Roman"/>
          <w:bCs/>
          <w:sz w:val="28"/>
          <w:szCs w:val="28"/>
          <w:lang w:eastAsia="ru-RU"/>
        </w:rPr>
        <w:t>sub</w:t>
      </w:r>
      <w:r w:rsidR="00151FA0" w:rsidRPr="000D4FA1">
        <w:rPr>
          <w:rFonts w:ascii="Times New Roman" w:eastAsia="Times New Roman" w:hAnsi="Times New Roman" w:cs="Times New Roman"/>
          <w:bCs/>
          <w:sz w:val="28"/>
          <w:szCs w:val="28"/>
          <w:lang w:val="ru-RU" w:eastAsia="ru-RU"/>
        </w:rPr>
        <w:t>) объяснимы с экономической позиции, но не нарушают статистическую устойчивость результатов. Все коэффициенты модели могут интерпретироваться без риска искажения из–за линейной зависимости между регрессорами.</w:t>
      </w:r>
    </w:p>
    <w:p w:rsidR="00F136E9" w:rsidRPr="000D4FA1" w:rsidRDefault="00F136E9" w:rsidP="00151FA0">
      <w:pPr>
        <w:spacing w:after="0" w:line="240" w:lineRule="auto"/>
        <w:jc w:val="both"/>
        <w:rPr>
          <w:rFonts w:ascii="Times New Roman" w:eastAsia="Times New Roman" w:hAnsi="Times New Roman" w:cs="Times New Roman"/>
          <w:bCs/>
          <w:sz w:val="28"/>
          <w:szCs w:val="28"/>
          <w:lang w:val="ru-RU" w:eastAsia="ru-RU"/>
        </w:rPr>
      </w:pPr>
    </w:p>
    <w:p w:rsidR="00F136E9" w:rsidRPr="000D4FA1" w:rsidRDefault="00F136E9" w:rsidP="003855B7">
      <w:pPr>
        <w:spacing w:after="0" w:line="240" w:lineRule="auto"/>
        <w:ind w:firstLine="720"/>
        <w:jc w:val="center"/>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Рисунок </w:t>
      </w:r>
      <w:r w:rsidR="00F22554" w:rsidRPr="000D4FA1">
        <w:rPr>
          <w:rFonts w:ascii="Times New Roman" w:eastAsia="Times New Roman" w:hAnsi="Times New Roman" w:cs="Times New Roman"/>
          <w:bCs/>
          <w:sz w:val="28"/>
          <w:szCs w:val="28"/>
          <w:lang w:val="ru-RU" w:eastAsia="ru-RU"/>
        </w:rPr>
        <w:t>2</w:t>
      </w:r>
      <w:r w:rsidR="00A00396">
        <w:rPr>
          <w:rFonts w:ascii="Times New Roman" w:eastAsia="Times New Roman" w:hAnsi="Times New Roman" w:cs="Times New Roman"/>
          <w:bCs/>
          <w:sz w:val="28"/>
          <w:szCs w:val="28"/>
          <w:lang w:val="ru-RU" w:eastAsia="ru-RU"/>
        </w:rPr>
        <w:t>3</w:t>
      </w:r>
      <w:r w:rsidR="003855B7"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val="ru-RU" w:eastAsia="ru-RU"/>
        </w:rPr>
        <w:t xml:space="preserve"> Диагностика влияния наблюдений: графики рычага (</w:t>
      </w:r>
      <w:r w:rsidRPr="000D4FA1">
        <w:rPr>
          <w:rFonts w:ascii="Times New Roman" w:eastAsia="Times New Roman" w:hAnsi="Times New Roman" w:cs="Times New Roman"/>
          <w:bCs/>
          <w:sz w:val="28"/>
          <w:szCs w:val="28"/>
          <w:lang w:eastAsia="ru-RU"/>
        </w:rPr>
        <w:t>leverage</w:t>
      </w:r>
      <w:r w:rsidRPr="000D4FA1">
        <w:rPr>
          <w:rFonts w:ascii="Times New Roman" w:eastAsia="Times New Roman" w:hAnsi="Times New Roman" w:cs="Times New Roman"/>
          <w:bCs/>
          <w:sz w:val="28"/>
          <w:szCs w:val="28"/>
          <w:lang w:val="ru-RU" w:eastAsia="ru-RU"/>
        </w:rPr>
        <w:t>) и влияния (</w:t>
      </w:r>
      <w:r w:rsidRPr="000D4FA1">
        <w:rPr>
          <w:rFonts w:ascii="Times New Roman" w:eastAsia="Times New Roman" w:hAnsi="Times New Roman" w:cs="Times New Roman"/>
          <w:bCs/>
          <w:sz w:val="28"/>
          <w:szCs w:val="28"/>
          <w:lang w:eastAsia="ru-RU"/>
        </w:rPr>
        <w:t>influence</w:t>
      </w:r>
      <w:r w:rsidRPr="000D4FA1">
        <w:rPr>
          <w:rFonts w:ascii="Times New Roman" w:eastAsia="Times New Roman" w:hAnsi="Times New Roman" w:cs="Times New Roman"/>
          <w:bCs/>
          <w:sz w:val="28"/>
          <w:szCs w:val="28"/>
          <w:lang w:val="ru-RU" w:eastAsia="ru-RU"/>
        </w:rPr>
        <w:t>) для регрессионной модели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Графики рычага и влияния применяются для оценки степени влияния отдельных наблюдений на результаты регрессионной модели. </w:t>
      </w:r>
      <w:r w:rsidRPr="000D4FA1">
        <w:rPr>
          <w:rFonts w:ascii="Times New Roman" w:eastAsia="Times New Roman" w:hAnsi="Times New Roman" w:cs="Times New Roman"/>
          <w:bCs/>
          <w:sz w:val="28"/>
          <w:szCs w:val="28"/>
          <w:lang w:eastAsia="ru-RU"/>
        </w:rPr>
        <w:t>Leverage</w:t>
      </w:r>
      <w:r w:rsidRPr="000D4FA1">
        <w:rPr>
          <w:rFonts w:ascii="Times New Roman" w:eastAsia="Times New Roman" w:hAnsi="Times New Roman" w:cs="Times New Roman"/>
          <w:bCs/>
          <w:sz w:val="28"/>
          <w:szCs w:val="28"/>
          <w:lang w:val="ru-RU" w:eastAsia="ru-RU"/>
        </w:rPr>
        <w:t xml:space="preserve"> измеряет, насколько далеко точка расположена от центра распределения независимых переменных, а </w:t>
      </w:r>
      <w:r w:rsidRPr="000D4FA1">
        <w:rPr>
          <w:rFonts w:ascii="Times New Roman" w:eastAsia="Times New Roman" w:hAnsi="Times New Roman" w:cs="Times New Roman"/>
          <w:bCs/>
          <w:sz w:val="28"/>
          <w:szCs w:val="28"/>
          <w:lang w:eastAsia="ru-RU"/>
        </w:rPr>
        <w:t>influence</w:t>
      </w:r>
      <w:r w:rsidRPr="000D4FA1">
        <w:rPr>
          <w:rFonts w:ascii="Times New Roman" w:eastAsia="Times New Roman" w:hAnsi="Times New Roman" w:cs="Times New Roman"/>
          <w:bCs/>
          <w:sz w:val="28"/>
          <w:szCs w:val="28"/>
          <w:lang w:val="ru-RU" w:eastAsia="ru-RU"/>
        </w:rPr>
        <w:t xml:space="preserve"> (обычно </w:t>
      </w:r>
      <w:r w:rsidRPr="000D4FA1">
        <w:rPr>
          <w:rFonts w:ascii="Times New Roman" w:eastAsia="Times New Roman" w:hAnsi="Times New Roman" w:cs="Times New Roman"/>
          <w:bCs/>
          <w:sz w:val="28"/>
          <w:szCs w:val="28"/>
          <w:lang w:eastAsia="ru-RU"/>
        </w:rPr>
        <w:t>Cook</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s</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distance</w:t>
      </w:r>
      <w:r w:rsidRPr="000D4FA1">
        <w:rPr>
          <w:rFonts w:ascii="Times New Roman" w:eastAsia="Times New Roman" w:hAnsi="Times New Roman" w:cs="Times New Roman"/>
          <w:bCs/>
          <w:sz w:val="28"/>
          <w:szCs w:val="28"/>
          <w:lang w:val="ru-RU" w:eastAsia="ru-RU"/>
        </w:rPr>
        <w:t xml:space="preserve"> или его аналоги) </w:t>
      </w:r>
      <w:r w:rsidRPr="000D4FA1">
        <w:rPr>
          <w:rFonts w:ascii="Times New Roman" w:eastAsia="Times New Roman" w:hAnsi="Times New Roman" w:cs="Times New Roman"/>
          <w:bCs/>
          <w:sz w:val="28"/>
          <w:szCs w:val="28"/>
          <w:lang w:val="ru-RU" w:eastAsia="ru-RU"/>
        </w:rPr>
        <w:lastRenderedPageBreak/>
        <w:t>отражает, насколько данное наблюдение влияет на оценку коэффициентов модели.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На верхней панели представлены значения рычага: большинство наблюдений имеют низкий и умеренный уровень </w:t>
      </w:r>
      <w:r w:rsidRPr="000D4FA1">
        <w:rPr>
          <w:rFonts w:ascii="Times New Roman" w:eastAsia="Times New Roman" w:hAnsi="Times New Roman" w:cs="Times New Roman"/>
          <w:bCs/>
          <w:sz w:val="28"/>
          <w:szCs w:val="28"/>
          <w:lang w:eastAsia="ru-RU"/>
        </w:rPr>
        <w:t>leverage</w:t>
      </w:r>
      <w:r w:rsidRPr="000D4FA1">
        <w:rPr>
          <w:rFonts w:ascii="Times New Roman" w:eastAsia="Times New Roman" w:hAnsi="Times New Roman" w:cs="Times New Roman"/>
          <w:bCs/>
          <w:sz w:val="28"/>
          <w:szCs w:val="28"/>
          <w:lang w:val="ru-RU" w:eastAsia="ru-RU"/>
        </w:rPr>
        <w:t xml:space="preserve">, что указывает на хорошее распределение данных в пространстве факторов. Лишь несколько точек находятся ближе к порогу потенциального риска (обычно </w:t>
      </w:r>
      <w:r w:rsidRPr="000D4FA1">
        <w:rPr>
          <w:rFonts w:ascii="Times New Roman" w:eastAsia="Times New Roman" w:hAnsi="Times New Roman" w:cs="Times New Roman"/>
          <w:bCs/>
          <w:sz w:val="28"/>
          <w:szCs w:val="28"/>
          <w:lang w:eastAsia="ru-RU"/>
        </w:rPr>
        <w:t>h</w:t>
      </w:r>
      <w:r w:rsidRPr="000D4FA1">
        <w:rPr>
          <w:rFonts w:ascii="Times New Roman" w:eastAsia="Times New Roman" w:hAnsi="Times New Roman" w:cs="Times New Roman"/>
          <w:bCs/>
          <w:sz w:val="28"/>
          <w:szCs w:val="28"/>
          <w:lang w:val="ru-RU" w:eastAsia="ru-RU"/>
        </w:rPr>
        <w:t xml:space="preserve"> &gt; 2</w:t>
      </w:r>
      <w:r w:rsidRPr="000D4FA1">
        <w:rPr>
          <w:rFonts w:ascii="Times New Roman" w:eastAsia="Times New Roman" w:hAnsi="Times New Roman" w:cs="Times New Roman"/>
          <w:bCs/>
          <w:sz w:val="28"/>
          <w:szCs w:val="28"/>
          <w:lang w:eastAsia="ru-RU"/>
        </w:rPr>
        <w:t>k</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n</w:t>
      </w:r>
      <w:r w:rsidRPr="000D4FA1">
        <w:rPr>
          <w:rFonts w:ascii="Times New Roman" w:eastAsia="Times New Roman" w:hAnsi="Times New Roman" w:cs="Times New Roman"/>
          <w:bCs/>
          <w:sz w:val="28"/>
          <w:szCs w:val="28"/>
          <w:lang w:val="ru-RU" w:eastAsia="ru-RU"/>
        </w:rPr>
        <w:t xml:space="preserve">), однако их количество </w:t>
      </w:r>
      <w:proofErr w:type="gramStart"/>
      <w:r w:rsidRPr="000D4FA1">
        <w:rPr>
          <w:rFonts w:ascii="Times New Roman" w:eastAsia="Times New Roman" w:hAnsi="Times New Roman" w:cs="Times New Roman"/>
          <w:bCs/>
          <w:sz w:val="28"/>
          <w:szCs w:val="28"/>
          <w:lang w:val="ru-RU" w:eastAsia="ru-RU"/>
        </w:rPr>
        <w:t>незначительно</w:t>
      </w:r>
      <w:proofErr w:type="gramEnd"/>
      <w:r w:rsidRPr="000D4FA1">
        <w:rPr>
          <w:rFonts w:ascii="Times New Roman" w:eastAsia="Times New Roman" w:hAnsi="Times New Roman" w:cs="Times New Roman"/>
          <w:bCs/>
          <w:sz w:val="28"/>
          <w:szCs w:val="28"/>
          <w:lang w:val="ru-RU" w:eastAsia="ru-RU"/>
        </w:rPr>
        <w:t xml:space="preserve"> и они не образуют системных выбросов.</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На нижней панели показана мера влияния. Несмотря на наличие отдельных локально выделяющихся наблюдений, их влияние не достигает критических порогов (например, </w:t>
      </w:r>
      <w:r w:rsidRPr="000D4FA1">
        <w:rPr>
          <w:rFonts w:ascii="Times New Roman" w:eastAsia="Times New Roman" w:hAnsi="Times New Roman" w:cs="Times New Roman"/>
          <w:bCs/>
          <w:sz w:val="28"/>
          <w:szCs w:val="28"/>
          <w:lang w:eastAsia="ru-RU"/>
        </w:rPr>
        <w:t>Cook</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s</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D</w:t>
      </w:r>
      <w:r w:rsidR="004E5E46" w:rsidRPr="000D4FA1">
        <w:rPr>
          <w:rFonts w:ascii="Times New Roman" w:eastAsia="Times New Roman" w:hAnsi="Times New Roman" w:cs="Times New Roman"/>
          <w:bCs/>
          <w:sz w:val="28"/>
          <w:szCs w:val="28"/>
          <w:lang w:val="ru-RU" w:eastAsia="ru-RU"/>
        </w:rPr>
        <w:t xml:space="preserve"> &gt;</w:t>
      </w:r>
      <w:r w:rsidRPr="000D4FA1">
        <w:rPr>
          <w:rFonts w:ascii="Times New Roman" w:eastAsia="Times New Roman" w:hAnsi="Times New Roman" w:cs="Times New Roman"/>
          <w:bCs/>
          <w:sz w:val="28"/>
          <w:szCs w:val="28"/>
          <w:lang w:val="ru-RU" w:eastAsia="ru-RU"/>
        </w:rPr>
        <w:t>1). Это подтверждает, что модель устойчива, а ее коэффициенты не определяются единичными экстремальными значениями.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Диагностические графики рычага и влияния подтверждают корректность выборки и устойчивость регрессионной модели. Большинство наблюдений демонстрируют низкий и умеренный уровень </w:t>
      </w:r>
      <w:r w:rsidRPr="000D4FA1">
        <w:rPr>
          <w:rFonts w:ascii="Times New Roman" w:eastAsia="Times New Roman" w:hAnsi="Times New Roman" w:cs="Times New Roman"/>
          <w:bCs/>
          <w:sz w:val="28"/>
          <w:szCs w:val="28"/>
          <w:lang w:eastAsia="ru-RU"/>
        </w:rPr>
        <w:t>leverage</w:t>
      </w:r>
      <w:r w:rsidRPr="000D4FA1">
        <w:rPr>
          <w:rFonts w:ascii="Times New Roman" w:eastAsia="Times New Roman" w:hAnsi="Times New Roman" w:cs="Times New Roman"/>
          <w:bCs/>
          <w:sz w:val="28"/>
          <w:szCs w:val="28"/>
          <w:lang w:val="ru-RU" w:eastAsia="ru-RU"/>
        </w:rPr>
        <w:t>, что свидетельствует о равномерном распределении данных по пространству предикторов и отсутствии кластеров аномальных значений. Единичные точки с повышенным значением рычага не формируют систематического смещения и не выходят за пределы условно критических ориентиров, применяемых для моделей малого размера (</w:t>
      </w:r>
      <w:r w:rsidRPr="000D4FA1">
        <w:rPr>
          <w:rFonts w:ascii="Times New Roman" w:eastAsia="Times New Roman" w:hAnsi="Times New Roman" w:cs="Times New Roman"/>
          <w:bCs/>
          <w:sz w:val="28"/>
          <w:szCs w:val="28"/>
          <w:lang w:eastAsia="ru-RU"/>
        </w:rPr>
        <w:t>h</w:t>
      </w:r>
      <w:r w:rsidRPr="000D4FA1">
        <w:rPr>
          <w:rFonts w:ascii="Times New Roman" w:eastAsia="Times New Roman" w:hAnsi="Times New Roman" w:cs="Times New Roman"/>
          <w:bCs/>
          <w:sz w:val="28"/>
          <w:szCs w:val="28"/>
          <w:lang w:val="ru-RU" w:eastAsia="ru-RU"/>
        </w:rPr>
        <w:t xml:space="preserve"> &gt; 2</w:t>
      </w:r>
      <w:r w:rsidRPr="000D4FA1">
        <w:rPr>
          <w:rFonts w:ascii="Times New Roman" w:eastAsia="Times New Roman" w:hAnsi="Times New Roman" w:cs="Times New Roman"/>
          <w:bCs/>
          <w:sz w:val="28"/>
          <w:szCs w:val="28"/>
          <w:lang w:eastAsia="ru-RU"/>
        </w:rPr>
        <w:t>k</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n</w:t>
      </w:r>
      <w:r w:rsidRPr="000D4FA1">
        <w:rPr>
          <w:rFonts w:ascii="Times New Roman" w:eastAsia="Times New Roman" w:hAnsi="Times New Roman" w:cs="Times New Roman"/>
          <w:bCs/>
          <w:sz w:val="28"/>
          <w:szCs w:val="28"/>
          <w:lang w:val="ru-RU" w:eastAsia="ru-RU"/>
        </w:rPr>
        <w:t xml:space="preserve">). </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График </w:t>
      </w:r>
      <w:r w:rsidRPr="000D4FA1">
        <w:rPr>
          <w:rFonts w:ascii="Times New Roman" w:eastAsia="Times New Roman" w:hAnsi="Times New Roman" w:cs="Times New Roman"/>
          <w:bCs/>
          <w:sz w:val="28"/>
          <w:szCs w:val="28"/>
          <w:lang w:eastAsia="ru-RU"/>
        </w:rPr>
        <w:t>influence</w:t>
      </w:r>
      <w:r w:rsidRPr="000D4FA1">
        <w:rPr>
          <w:rFonts w:ascii="Times New Roman" w:eastAsia="Times New Roman" w:hAnsi="Times New Roman" w:cs="Times New Roman"/>
          <w:bCs/>
          <w:sz w:val="28"/>
          <w:szCs w:val="28"/>
          <w:lang w:val="ru-RU" w:eastAsia="ru-RU"/>
        </w:rPr>
        <w:t xml:space="preserve"> дополнительно показывает, что ни одно из наблюдений не обладает чрезмерным воздействием на результаты оценки коэффициентов: значения меры влияния существенно ниже типичного порога </w:t>
      </w:r>
      <w:r w:rsidRPr="000D4FA1">
        <w:rPr>
          <w:rFonts w:ascii="Times New Roman" w:eastAsia="Times New Roman" w:hAnsi="Times New Roman" w:cs="Times New Roman"/>
          <w:bCs/>
          <w:sz w:val="28"/>
          <w:szCs w:val="28"/>
          <w:lang w:eastAsia="ru-RU"/>
        </w:rPr>
        <w:t>Cook</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s</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D</w:t>
      </w:r>
      <w:r w:rsidRPr="000D4FA1">
        <w:rPr>
          <w:rFonts w:ascii="Times New Roman" w:eastAsia="Times New Roman" w:hAnsi="Times New Roman" w:cs="Times New Roman"/>
          <w:bCs/>
          <w:sz w:val="28"/>
          <w:szCs w:val="28"/>
          <w:lang w:val="ru-RU" w:eastAsia="ru-RU"/>
        </w:rPr>
        <w:t xml:space="preserve"> &gt; 1. В совокупности это указывает на отсутствие высокоинфлюентных точек, подтверждает стабильность модели и надежность полученных оценок. </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Следовательно, регрессионный анализ может считаться статистически устойчивым, а его выводы </w:t>
      </w:r>
      <w:r w:rsidR="008506F2"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корректными и непредвзятыми.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Проведённый регрессионный анализ, основанный на выборке из 76 стран с различным уровнем социально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экономического развития, позволил выявить статистически значимые факторы, определяющие уровень грамотности населения как ключевую характеристику человеческого капитала. Полученные результаты демонстрируют, что доступность цифровых технологий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уровень финансовой инклюзии и использование интернет</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сервисов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а также охват широкополосной связью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w:t>
      </w:r>
      <w:r w:rsidR="008506F2"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со знаком минус) оказывают значимое влияние на формирование грамотности в глобальном масштабе. </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Это подтверждает тезис о том, что современное развитие человеческого потенциала всё в большей степени зависит не только от традиционных образовательных ресурсов, но и от инфраструктурных и технологических возможностей страны.</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Проведённый регрессионный анализ позволил количественно оценить влияние макроэкономических и цифровых факторов на уровень грамотности населения </w:t>
      </w:r>
      <w:r w:rsidR="008506F2"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 xml:space="preserve"> ключевой элемент человеческого капитала, определяющий устойчивость системы образования. Полученная модель показала удовлетворительную статистическую значимость (</w:t>
      </w:r>
      <w:r w:rsidRPr="000D4FA1">
        <w:rPr>
          <w:rFonts w:ascii="Times New Roman" w:eastAsia="Times New Roman" w:hAnsi="Times New Roman" w:cs="Times New Roman"/>
          <w:bCs/>
          <w:sz w:val="28"/>
          <w:szCs w:val="28"/>
          <w:lang w:eastAsia="ru-RU"/>
        </w:rPr>
        <w:t>R</w:t>
      </w:r>
      <w:r w:rsidRPr="000D4FA1">
        <w:rPr>
          <w:rFonts w:ascii="Times New Roman" w:eastAsia="Times New Roman" w:hAnsi="Times New Roman" w:cs="Times New Roman"/>
          <w:bCs/>
          <w:sz w:val="28"/>
          <w:szCs w:val="28"/>
          <w:lang w:val="ru-RU" w:eastAsia="ru-RU"/>
        </w:rPr>
        <w:t xml:space="preserve">² = 0.697; </w:t>
      </w:r>
      <w:r w:rsidRPr="000D4FA1">
        <w:rPr>
          <w:rFonts w:ascii="Times New Roman" w:eastAsia="Times New Roman" w:hAnsi="Times New Roman" w:cs="Times New Roman"/>
          <w:bCs/>
          <w:sz w:val="28"/>
          <w:szCs w:val="28"/>
          <w:lang w:eastAsia="ru-RU"/>
        </w:rPr>
        <w:t>p</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value</w:t>
      </w:r>
      <w:r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F</w:t>
      </w:r>
      <w:r w:rsidRPr="000D4FA1">
        <w:rPr>
          <w:rFonts w:ascii="Times New Roman" w:eastAsia="Times New Roman" w:hAnsi="Times New Roman" w:cs="Times New Roman"/>
          <w:bCs/>
          <w:sz w:val="28"/>
          <w:szCs w:val="28"/>
          <w:lang w:val="ru-RU" w:eastAsia="ru-RU"/>
        </w:rPr>
        <w:t xml:space="preserve">) = </w:t>
      </w:r>
      <w:r w:rsidRPr="000D4FA1">
        <w:rPr>
          <w:rFonts w:ascii="Times New Roman" w:eastAsia="Times New Roman" w:hAnsi="Times New Roman" w:cs="Times New Roman"/>
          <w:bCs/>
          <w:sz w:val="28"/>
          <w:szCs w:val="28"/>
          <w:lang w:val="ru-RU" w:eastAsia="ru-RU"/>
        </w:rPr>
        <w:lastRenderedPageBreak/>
        <w:t>0.000923), что подтверждает способность выбранных переменных объяснять вариацию уровня грамотности в выборке стран.</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Наиболее сильное положительное влияние продемонстрировала переменная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(широкополосный доступ в фиксированном сегменте). Рост проникновения фиксированного интернета статистически значимо повышает уровень грамотности (</w:t>
      </w:r>
      <w:r w:rsidRPr="000D4FA1">
        <w:rPr>
          <w:rFonts w:ascii="Times New Roman" w:eastAsia="Times New Roman" w:hAnsi="Times New Roman" w:cs="Times New Roman"/>
          <w:bCs/>
          <w:sz w:val="28"/>
          <w:szCs w:val="28"/>
          <w:lang w:eastAsia="ru-RU"/>
        </w:rPr>
        <w:t>p</w:t>
      </w:r>
      <w:r w:rsidRPr="000D4FA1">
        <w:rPr>
          <w:rFonts w:ascii="Times New Roman" w:eastAsia="Times New Roman" w:hAnsi="Times New Roman" w:cs="Times New Roman"/>
          <w:bCs/>
          <w:sz w:val="28"/>
          <w:szCs w:val="28"/>
          <w:lang w:val="ru-RU" w:eastAsia="ru-RU"/>
        </w:rPr>
        <w:t xml:space="preserve"> &lt; 0.001), что подтверждает тезис о том, что цифровая инфраструктура напрямую расширяет возможности населения в части доступа к образовательным ресурсам, дистанционному обучению и информационной открытости. Данный результат согласуется с общей логикой формирования человеческого капитала: цифровая среда снижает барьеры к получению образования, особенно в странах со структурными ограничениями.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Переменная </w:t>
      </w:r>
      <w:r w:rsidRPr="000D4FA1">
        <w:rPr>
          <w:rFonts w:ascii="Times New Roman" w:eastAsia="Times New Roman" w:hAnsi="Times New Roman" w:cs="Times New Roman"/>
          <w:bCs/>
          <w:sz w:val="28"/>
          <w:szCs w:val="28"/>
          <w:lang w:eastAsia="ru-RU"/>
        </w:rPr>
        <w:t>LIT</w:t>
      </w:r>
      <w:r w:rsidRPr="000D4FA1">
        <w:rPr>
          <w:rFonts w:ascii="Times New Roman" w:eastAsia="Times New Roman" w:hAnsi="Times New Roman" w:cs="Times New Roman"/>
          <w:bCs/>
          <w:sz w:val="28"/>
          <w:szCs w:val="28"/>
          <w:lang w:val="ru-RU" w:eastAsia="ru-RU"/>
        </w:rPr>
        <w:t xml:space="preserve"> (доля лиц, владеющих чтением и письмом) также имеет положительный и значимый эффект (</w:t>
      </w:r>
      <w:r w:rsidRPr="000D4FA1">
        <w:rPr>
          <w:rFonts w:ascii="Times New Roman" w:eastAsia="Times New Roman" w:hAnsi="Times New Roman" w:cs="Times New Roman"/>
          <w:bCs/>
          <w:sz w:val="28"/>
          <w:szCs w:val="28"/>
          <w:lang w:eastAsia="ru-RU"/>
        </w:rPr>
        <w:t>p</w:t>
      </w:r>
      <w:r w:rsidRPr="000D4FA1">
        <w:rPr>
          <w:rFonts w:ascii="Times New Roman" w:eastAsia="Times New Roman" w:hAnsi="Times New Roman" w:cs="Times New Roman"/>
          <w:bCs/>
          <w:sz w:val="28"/>
          <w:szCs w:val="28"/>
          <w:lang w:val="ru-RU" w:eastAsia="ru-RU"/>
        </w:rPr>
        <w:t xml:space="preserve"> = 0.0449). Это говорит о наличии кумулятивного эффекта: уже достигнутый уровень базовой грамотности способствует дальнейшему ускорению образовательных результатов. Это важно для интерпретации устойчивости образовательных систем: страны, находящиеся в зоне «низкого старта», сталкиваются с эффектом замедления и требуют системной поддержки.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В противоположность им переменная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(мобильный широкополосный интернет) оказалась отрицательной и близкой к порогу значимости (</w:t>
      </w:r>
      <w:r w:rsidRPr="000D4FA1">
        <w:rPr>
          <w:rFonts w:ascii="Times New Roman" w:eastAsia="Times New Roman" w:hAnsi="Times New Roman" w:cs="Times New Roman"/>
          <w:bCs/>
          <w:sz w:val="28"/>
          <w:szCs w:val="28"/>
          <w:lang w:eastAsia="ru-RU"/>
        </w:rPr>
        <w:t>p</w:t>
      </w:r>
      <w:r w:rsidRPr="000D4FA1">
        <w:rPr>
          <w:rFonts w:ascii="Times New Roman" w:eastAsia="Times New Roman" w:hAnsi="Times New Roman" w:cs="Times New Roman"/>
          <w:bCs/>
          <w:sz w:val="28"/>
          <w:szCs w:val="28"/>
          <w:lang w:val="ru-RU" w:eastAsia="ru-RU"/>
        </w:rPr>
        <w:t xml:space="preserve"> = 0.0765). Этот результат часто фиксируется в исследованиях развивающихся стран и отражает «парадокс цифровизации»: доминирование мобильного интернета при недостатке фиксированных цифровых инфраструктур ограничивает доступ населения к полноценным образовательным платформам, формируя зависимость от кратких и поверхностных источников информации.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Наконец, переменная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xml:space="preserve"> (депозитная ставка) показала статистически значимое отрицательное влияние (</w:t>
      </w:r>
      <w:r w:rsidRPr="000D4FA1">
        <w:rPr>
          <w:rFonts w:ascii="Times New Roman" w:eastAsia="Times New Roman" w:hAnsi="Times New Roman" w:cs="Times New Roman"/>
          <w:bCs/>
          <w:sz w:val="28"/>
          <w:szCs w:val="28"/>
          <w:lang w:eastAsia="ru-RU"/>
        </w:rPr>
        <w:t>p</w:t>
      </w:r>
      <w:r w:rsidRPr="000D4FA1">
        <w:rPr>
          <w:rFonts w:ascii="Times New Roman" w:eastAsia="Times New Roman" w:hAnsi="Times New Roman" w:cs="Times New Roman"/>
          <w:bCs/>
          <w:sz w:val="28"/>
          <w:szCs w:val="28"/>
          <w:lang w:val="ru-RU" w:eastAsia="ru-RU"/>
        </w:rPr>
        <w:t xml:space="preserve"> = 0.0384). Более высокие депозитные ставки связаны с макроэкономической нестабильностью и снижением инвестиций в человеческий капитал, что косвенно ухудшает доступ населения к образовательным услугам и снижает приоритет долгосрочных вложений в образование домохозяйств.</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Проведённые диагностические тесты (</w:t>
      </w:r>
      <w:r w:rsidRPr="000D4FA1">
        <w:rPr>
          <w:rFonts w:ascii="Times New Roman" w:eastAsia="Times New Roman" w:hAnsi="Times New Roman" w:cs="Times New Roman"/>
          <w:bCs/>
          <w:sz w:val="28"/>
          <w:szCs w:val="28"/>
          <w:lang w:eastAsia="ru-RU"/>
        </w:rPr>
        <w:t>White</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Breusch</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eastAsia="ru-RU"/>
        </w:rPr>
        <w:t>Pagan</w:t>
      </w:r>
      <w:r w:rsidRPr="000D4FA1">
        <w:rPr>
          <w:rFonts w:ascii="Times New Roman" w:eastAsia="Times New Roman" w:hAnsi="Times New Roman" w:cs="Times New Roman"/>
          <w:bCs/>
          <w:sz w:val="28"/>
          <w:szCs w:val="28"/>
          <w:lang w:val="ru-RU" w:eastAsia="ru-RU"/>
        </w:rPr>
        <w:t xml:space="preserve">, </w:t>
      </w:r>
      <w:r w:rsidRPr="000D4FA1">
        <w:rPr>
          <w:rFonts w:ascii="Times New Roman" w:eastAsia="Times New Roman" w:hAnsi="Times New Roman" w:cs="Times New Roman"/>
          <w:bCs/>
          <w:sz w:val="28"/>
          <w:szCs w:val="28"/>
          <w:lang w:eastAsia="ru-RU"/>
        </w:rPr>
        <w:t>Chow</w:t>
      </w:r>
      <w:r w:rsidRPr="000D4FA1">
        <w:rPr>
          <w:rFonts w:ascii="Times New Roman" w:eastAsia="Times New Roman" w:hAnsi="Times New Roman" w:cs="Times New Roman"/>
          <w:bCs/>
          <w:sz w:val="28"/>
          <w:szCs w:val="28"/>
          <w:lang w:val="ru-RU" w:eastAsia="ru-RU"/>
        </w:rPr>
        <w:t>) подтвердили корректность модели: гетероскедастичность отсутствует, структурных разрывов нет, мультиколлинеарность незначительна (</w:t>
      </w:r>
      <w:r w:rsidRPr="000D4FA1">
        <w:rPr>
          <w:rFonts w:ascii="Times New Roman" w:eastAsia="Times New Roman" w:hAnsi="Times New Roman" w:cs="Times New Roman"/>
          <w:bCs/>
          <w:sz w:val="28"/>
          <w:szCs w:val="28"/>
          <w:lang w:eastAsia="ru-RU"/>
        </w:rPr>
        <w:t>VIF</w:t>
      </w:r>
      <w:r w:rsidRPr="000D4FA1">
        <w:rPr>
          <w:rFonts w:ascii="Times New Roman" w:eastAsia="Times New Roman" w:hAnsi="Times New Roman" w:cs="Times New Roman"/>
          <w:bCs/>
          <w:sz w:val="28"/>
          <w:szCs w:val="28"/>
          <w:lang w:val="ru-RU" w:eastAsia="ru-RU"/>
        </w:rPr>
        <w:t xml:space="preserve"> &lt; 3; ни одна переменная не превышает порог </w:t>
      </w:r>
      <w:r w:rsidRPr="000D4FA1">
        <w:rPr>
          <w:rFonts w:ascii="Times New Roman" w:eastAsia="Times New Roman" w:hAnsi="Times New Roman" w:cs="Times New Roman"/>
          <w:bCs/>
          <w:sz w:val="28"/>
          <w:szCs w:val="28"/>
          <w:lang w:eastAsia="ru-RU"/>
        </w:rPr>
        <w:t>BKW</w:t>
      </w:r>
      <w:r w:rsidRPr="000D4FA1">
        <w:rPr>
          <w:rFonts w:ascii="Times New Roman" w:eastAsia="Times New Roman" w:hAnsi="Times New Roman" w:cs="Times New Roman"/>
          <w:bCs/>
          <w:sz w:val="28"/>
          <w:szCs w:val="28"/>
          <w:lang w:val="ru-RU" w:eastAsia="ru-RU"/>
        </w:rPr>
        <w:t>). Это означает, что модель пригодна для последующей интерпретации и включения в аналитическую часть диссертации.</w:t>
      </w:r>
    </w:p>
    <w:p w:rsidR="00F136E9" w:rsidRPr="000D4FA1" w:rsidRDefault="009839CE"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И</w:t>
      </w:r>
      <w:r w:rsidR="00F136E9" w:rsidRPr="000D4FA1">
        <w:rPr>
          <w:rFonts w:ascii="Times New Roman" w:eastAsia="Times New Roman" w:hAnsi="Times New Roman" w:cs="Times New Roman"/>
          <w:bCs/>
          <w:sz w:val="28"/>
          <w:szCs w:val="28"/>
          <w:lang w:val="ru-RU" w:eastAsia="ru-RU"/>
        </w:rPr>
        <w:t xml:space="preserve">сследования демонстрируют, что развитие человеческого капитала в образовательных организациях нельзя рассматривать изолированно: на него существенно влияют макроэкономические и технологические условия. </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Страны с развитой цифровой инфраструктурой и высоким уровнем вовлечения населения в современные коммуникационные каналы </w:t>
      </w:r>
      <w:r w:rsidRPr="000D4FA1">
        <w:rPr>
          <w:rFonts w:ascii="Times New Roman" w:eastAsia="Times New Roman" w:hAnsi="Times New Roman" w:cs="Times New Roman"/>
          <w:bCs/>
          <w:sz w:val="28"/>
          <w:szCs w:val="28"/>
          <w:lang w:val="ru-RU" w:eastAsia="ru-RU"/>
        </w:rPr>
        <w:lastRenderedPageBreak/>
        <w:t xml:space="preserve">демонстрируют более высокие показатели грамотности, что подтверждает актуальность стратегий цифровизации образования. </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Наоборот, недостаточное распространение широкополосных сервисов и ограниченный доступ к цифровым ресурсам усиливают разрыв в качестве человеческого капитала.</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Таким образом, исследование подтверждает значимость интеграции образовательной политики с макроэкономическими и технологическими стратегиями государства. Полученные результаты обосновывают необходимость укрепления цифровой инфраструктуры, повышения доступности интернет</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услуг и расширения цифровых компетенций как важнейших направлений развития человеческого потенциала и повышения устойчивости образовательных организаций.</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Результаты проведённого корреляционно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регрессионного анализа позволили выделить ряд ключевых социально</w:t>
      </w:r>
      <w:r w:rsidR="007B767F" w:rsidRPr="000D4FA1">
        <w:rPr>
          <w:rFonts w:ascii="Times New Roman" w:eastAsia="Times New Roman" w:hAnsi="Times New Roman" w:cs="Times New Roman"/>
          <w:bCs/>
          <w:sz w:val="28"/>
          <w:szCs w:val="28"/>
          <w:lang w:val="ru-RU" w:eastAsia="ru-RU"/>
        </w:rPr>
        <w:t>–</w:t>
      </w:r>
      <w:r w:rsidRPr="000D4FA1">
        <w:rPr>
          <w:rFonts w:ascii="Times New Roman" w:eastAsia="Times New Roman" w:hAnsi="Times New Roman" w:cs="Times New Roman"/>
          <w:bCs/>
          <w:sz w:val="28"/>
          <w:szCs w:val="28"/>
          <w:lang w:val="ru-RU" w:eastAsia="ru-RU"/>
        </w:rPr>
        <w:t>экономических факторов, оказывающих статистически значимое влияние на формирование человеческого потенциала и устойчивость образовательных организаций системы ТиПО. Эти факторы отражают не только внутренние характеристики образовательной среды (качество базовой подготовки, компетенции обучающихся), но и более широкие макроэкономические и технологические условия, которые определяют возможности организаций реагировать на вызовы цифровой экономики, изменения на рынке труда и финансовые ограничения.</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На основе полученных эмпирических данных обоснованы следующие стратегические направления по укреплению устойчивости организаций ТиПО:</w:t>
      </w:r>
    </w:p>
    <w:p w:rsidR="00F136E9" w:rsidRPr="000D4FA1" w:rsidRDefault="00F136E9" w:rsidP="00F136E9">
      <w:pPr>
        <w:spacing w:after="0" w:line="240" w:lineRule="auto"/>
        <w:ind w:firstLine="720"/>
        <w:jc w:val="both"/>
        <w:rPr>
          <w:rFonts w:ascii="Times New Roman" w:eastAsia="Times New Roman" w:hAnsi="Times New Roman" w:cs="Times New Roman"/>
          <w:bCs/>
          <w:i/>
          <w:iCs/>
          <w:sz w:val="28"/>
          <w:szCs w:val="28"/>
          <w:lang w:val="ru-RU" w:eastAsia="ru-RU"/>
        </w:rPr>
      </w:pPr>
      <w:r w:rsidRPr="000D4FA1">
        <w:rPr>
          <w:rFonts w:ascii="Times New Roman" w:eastAsia="Times New Roman" w:hAnsi="Times New Roman" w:cs="Times New Roman"/>
          <w:bCs/>
          <w:i/>
          <w:iCs/>
          <w:sz w:val="28"/>
          <w:szCs w:val="28"/>
          <w:lang w:val="ru-RU" w:eastAsia="ru-RU"/>
        </w:rPr>
        <w:t>1. Развитие цифровой инфраструктуры как ключевого фактора устойчивости.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Эконометрическая модель показала сильное и положительное влияние распространённости фиксированного широкополосного доступа (</w:t>
      </w:r>
      <w:r w:rsidRPr="000D4FA1">
        <w:rPr>
          <w:rFonts w:ascii="Times New Roman" w:eastAsia="Times New Roman" w:hAnsi="Times New Roman" w:cs="Times New Roman"/>
          <w:bCs/>
          <w:sz w:val="28"/>
          <w:szCs w:val="28"/>
          <w:lang w:eastAsia="ru-RU"/>
        </w:rPr>
        <w:t>FB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на уровень грамотности – основной комп</w:t>
      </w:r>
      <w:r w:rsidR="000D07D5" w:rsidRPr="000D4FA1">
        <w:rPr>
          <w:rFonts w:ascii="Times New Roman" w:eastAsia="Times New Roman" w:hAnsi="Times New Roman" w:cs="Times New Roman"/>
          <w:bCs/>
          <w:sz w:val="28"/>
          <w:szCs w:val="28"/>
          <w:lang w:val="ru-RU" w:eastAsia="ru-RU"/>
        </w:rPr>
        <w:t>онент человеческого потенциала, к</w:t>
      </w:r>
      <w:r w:rsidRPr="000D4FA1">
        <w:rPr>
          <w:rFonts w:ascii="Times New Roman" w:eastAsia="Times New Roman" w:hAnsi="Times New Roman" w:cs="Times New Roman"/>
          <w:bCs/>
          <w:sz w:val="28"/>
          <w:szCs w:val="28"/>
          <w:lang w:val="ru-RU" w:eastAsia="ru-RU"/>
        </w:rPr>
        <w:t>оторое подтверждает, что доступ к стабильным цифровым ресурсам становится структурообразующим элементом качества образовательных процессов.</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Рекомендации:</w:t>
      </w:r>
    </w:p>
    <w:p w:rsidR="004E5E46"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расширение подключения колледжей к высокоскоростному интернету;</w:t>
      </w:r>
    </w:p>
    <w:p w:rsidR="004E5E46"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создание централизованных цифровых платформ для интерактивного обучения, практических тренажёров и оценки компетенций;</w:t>
      </w:r>
    </w:p>
    <w:p w:rsidR="004E5E46"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внедрение программ цифровой инклюзии для студентов из социально уязвимых групп;</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переход от мобильной зависимости к гибридной модели доступа (фиксированная + мобильная сеть).</w:t>
      </w:r>
    </w:p>
    <w:p w:rsidR="00F136E9" w:rsidRPr="000D4FA1" w:rsidRDefault="00F136E9" w:rsidP="00F136E9">
      <w:pPr>
        <w:spacing w:after="0" w:line="240" w:lineRule="auto"/>
        <w:ind w:firstLine="720"/>
        <w:jc w:val="both"/>
        <w:rPr>
          <w:rFonts w:ascii="Times New Roman" w:eastAsia="Times New Roman" w:hAnsi="Times New Roman" w:cs="Times New Roman"/>
          <w:bCs/>
          <w:i/>
          <w:iCs/>
          <w:sz w:val="28"/>
          <w:szCs w:val="28"/>
          <w:lang w:val="ru-RU" w:eastAsia="ru-RU"/>
        </w:rPr>
      </w:pPr>
      <w:r w:rsidRPr="000D4FA1">
        <w:rPr>
          <w:rFonts w:ascii="Times New Roman" w:eastAsia="Times New Roman" w:hAnsi="Times New Roman" w:cs="Times New Roman"/>
          <w:bCs/>
          <w:i/>
          <w:iCs/>
          <w:sz w:val="28"/>
          <w:szCs w:val="28"/>
          <w:lang w:val="ru-RU" w:eastAsia="ru-RU"/>
        </w:rPr>
        <w:t>2. Повышение качества базовой образовательной подготовки студентов</w:t>
      </w:r>
    </w:p>
    <w:p w:rsidR="00F136E9"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Переменная </w:t>
      </w:r>
      <w:r w:rsidRPr="000D4FA1">
        <w:rPr>
          <w:rFonts w:ascii="Times New Roman" w:eastAsia="Times New Roman" w:hAnsi="Times New Roman" w:cs="Times New Roman"/>
          <w:bCs/>
          <w:sz w:val="28"/>
          <w:szCs w:val="28"/>
          <w:lang w:eastAsia="ru-RU"/>
        </w:rPr>
        <w:t>LIT</w:t>
      </w:r>
      <w:r w:rsidRPr="000D4FA1">
        <w:rPr>
          <w:rFonts w:ascii="Times New Roman" w:eastAsia="Times New Roman" w:hAnsi="Times New Roman" w:cs="Times New Roman"/>
          <w:bCs/>
          <w:sz w:val="28"/>
          <w:szCs w:val="28"/>
          <w:lang w:val="ru-RU" w:eastAsia="ru-RU"/>
        </w:rPr>
        <w:t xml:space="preserve"> (уровень базовой грамотности населения) имеет прямое статистически значимое влияние на итоговый уровень человеческого капитала. Это демонстрирует важность преемственности между общим и </w:t>
      </w:r>
      <w:r w:rsidR="001C1975" w:rsidRPr="000D4FA1">
        <w:rPr>
          <w:rFonts w:ascii="Times New Roman" w:eastAsia="Times New Roman" w:hAnsi="Times New Roman" w:cs="Times New Roman"/>
          <w:bCs/>
          <w:sz w:val="28"/>
          <w:szCs w:val="28"/>
          <w:lang w:val="ru-RU" w:eastAsia="ru-RU"/>
        </w:rPr>
        <w:t xml:space="preserve">техническим и </w:t>
      </w:r>
      <w:r w:rsidRPr="000D4FA1">
        <w:rPr>
          <w:rFonts w:ascii="Times New Roman" w:eastAsia="Times New Roman" w:hAnsi="Times New Roman" w:cs="Times New Roman"/>
          <w:bCs/>
          <w:sz w:val="28"/>
          <w:szCs w:val="28"/>
          <w:lang w:val="ru-RU" w:eastAsia="ru-RU"/>
        </w:rPr>
        <w:t>профессиональным образованием.</w:t>
      </w:r>
    </w:p>
    <w:p w:rsidR="007F50FD" w:rsidRPr="000D4FA1" w:rsidRDefault="007F50FD" w:rsidP="00F136E9">
      <w:pPr>
        <w:spacing w:after="0" w:line="240" w:lineRule="auto"/>
        <w:ind w:firstLine="720"/>
        <w:jc w:val="both"/>
        <w:rPr>
          <w:rFonts w:ascii="Times New Roman" w:eastAsia="Times New Roman" w:hAnsi="Times New Roman" w:cs="Times New Roman"/>
          <w:bCs/>
          <w:sz w:val="28"/>
          <w:szCs w:val="28"/>
          <w:lang w:val="ru-RU" w:eastAsia="ru-RU"/>
        </w:rPr>
      </w:pP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lastRenderedPageBreak/>
        <w:t>Рекомендации:</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создание диагностических модулей для выявления пробелов в грамотности у поступающих;</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разработка адаптационных образовательных траекторий для студентов с низким стартовым уровнем;</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интеграция модулей функциональной грамотности (чтение, математическая грамотность, информационная грамотность) в базовые дисциплины первого курса;</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сотрудничество с школами региона для выравнивания образовательных подходов.</w:t>
      </w:r>
    </w:p>
    <w:p w:rsidR="00F136E9" w:rsidRPr="000D4FA1" w:rsidRDefault="00F136E9" w:rsidP="00F136E9">
      <w:pPr>
        <w:spacing w:after="0" w:line="240" w:lineRule="auto"/>
        <w:ind w:firstLine="720"/>
        <w:jc w:val="both"/>
        <w:rPr>
          <w:rFonts w:ascii="Times New Roman" w:eastAsia="Times New Roman" w:hAnsi="Times New Roman" w:cs="Times New Roman"/>
          <w:bCs/>
          <w:i/>
          <w:iCs/>
          <w:sz w:val="28"/>
          <w:szCs w:val="28"/>
          <w:lang w:val="ru-RU" w:eastAsia="ru-RU"/>
        </w:rPr>
      </w:pPr>
      <w:r w:rsidRPr="000D4FA1">
        <w:rPr>
          <w:rFonts w:ascii="Times New Roman" w:eastAsia="Times New Roman" w:hAnsi="Times New Roman" w:cs="Times New Roman"/>
          <w:bCs/>
          <w:i/>
          <w:iCs/>
          <w:sz w:val="28"/>
          <w:szCs w:val="28"/>
          <w:lang w:val="ru-RU" w:eastAsia="ru-RU"/>
        </w:rPr>
        <w:t>3. Уменьшение влияния финансовых барьеров, ограничивающих развитие человеческого потенциала</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Отрицательный коэффициент по переменной </w:t>
      </w:r>
      <w:r w:rsidRPr="000D4FA1">
        <w:rPr>
          <w:rFonts w:ascii="Times New Roman" w:eastAsia="Times New Roman" w:hAnsi="Times New Roman" w:cs="Times New Roman"/>
          <w:bCs/>
          <w:sz w:val="28"/>
          <w:szCs w:val="28"/>
          <w:lang w:eastAsia="ru-RU"/>
        </w:rPr>
        <w:t>DIR</w:t>
      </w:r>
      <w:r w:rsidRPr="000D4FA1">
        <w:rPr>
          <w:rFonts w:ascii="Times New Roman" w:eastAsia="Times New Roman" w:hAnsi="Times New Roman" w:cs="Times New Roman"/>
          <w:bCs/>
          <w:sz w:val="28"/>
          <w:szCs w:val="28"/>
          <w:lang w:val="ru-RU" w:eastAsia="ru-RU"/>
        </w:rPr>
        <w:t xml:space="preserve"> (депозитная ставка) отражает неблагоприятное влияние финансовой среды на доступность образовательных возможностей. Высокие ставки являются индикатором макроэкономической нестабильности и снижения долгосрочных инвестиций в образование.</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Рекомендации:</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расширение грантовых и стипендиальных программ в регионах с неблагоприятной финансовой средой;</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создание механизмов софинансирования образовательных программ работодателями;</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разработка программ целевой подготовки с последующим трудоустройством;</w:t>
      </w:r>
    </w:p>
    <w:p w:rsidR="00F136E9" w:rsidRPr="000D4FA1" w:rsidRDefault="004E5E46" w:rsidP="004E5E46">
      <w:pPr>
        <w:spacing w:after="0" w:line="240" w:lineRule="auto"/>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повышение финансовой устойчивости колледжей через привлечение внебюджетных средств (производственные мастерские, услуги ЦПТО).</w:t>
      </w:r>
    </w:p>
    <w:p w:rsidR="00F136E9" w:rsidRPr="000D4FA1" w:rsidRDefault="00100F49" w:rsidP="00F136E9">
      <w:pPr>
        <w:spacing w:after="0" w:line="240" w:lineRule="auto"/>
        <w:ind w:firstLine="720"/>
        <w:jc w:val="both"/>
        <w:rPr>
          <w:rFonts w:ascii="Times New Roman" w:eastAsia="Times New Roman" w:hAnsi="Times New Roman" w:cs="Times New Roman"/>
          <w:bCs/>
          <w:i/>
          <w:iCs/>
          <w:sz w:val="28"/>
          <w:szCs w:val="28"/>
          <w:lang w:val="ru-RU" w:eastAsia="ru-RU"/>
        </w:rPr>
      </w:pPr>
      <w:r w:rsidRPr="000D4FA1">
        <w:rPr>
          <w:rFonts w:ascii="Times New Roman" w:eastAsia="Times New Roman" w:hAnsi="Times New Roman" w:cs="Times New Roman"/>
          <w:bCs/>
          <w:i/>
          <w:iCs/>
          <w:sz w:val="28"/>
          <w:szCs w:val="28"/>
          <w:lang w:val="ru-RU" w:eastAsia="ru-RU"/>
        </w:rPr>
        <w:t>4. Комплексное развитие цифровы</w:t>
      </w:r>
      <w:r w:rsidR="000D07D5" w:rsidRPr="000D4FA1">
        <w:rPr>
          <w:rFonts w:ascii="Times New Roman" w:eastAsia="Times New Roman" w:hAnsi="Times New Roman" w:cs="Times New Roman"/>
          <w:bCs/>
          <w:i/>
          <w:iCs/>
          <w:sz w:val="28"/>
          <w:szCs w:val="28"/>
          <w:lang w:val="ru-RU" w:eastAsia="ru-RU"/>
        </w:rPr>
        <w:t>х</w:t>
      </w:r>
      <w:r w:rsidR="00F136E9" w:rsidRPr="000D4FA1">
        <w:rPr>
          <w:rFonts w:ascii="Times New Roman" w:eastAsia="Times New Roman" w:hAnsi="Times New Roman" w:cs="Times New Roman"/>
          <w:bCs/>
          <w:i/>
          <w:iCs/>
          <w:sz w:val="28"/>
          <w:szCs w:val="28"/>
          <w:lang w:val="ru-RU" w:eastAsia="ru-RU"/>
        </w:rPr>
        <w:t xml:space="preserve"> компетенций обучающихся и преподавателей</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Негативный знак переменной </w:t>
      </w:r>
      <w:r w:rsidRPr="000D4FA1">
        <w:rPr>
          <w:rFonts w:ascii="Times New Roman" w:eastAsia="Times New Roman" w:hAnsi="Times New Roman" w:cs="Times New Roman"/>
          <w:bCs/>
          <w:sz w:val="28"/>
          <w:szCs w:val="28"/>
          <w:lang w:eastAsia="ru-RU"/>
        </w:rPr>
        <w:t>MB</w:t>
      </w:r>
      <w:r w:rsidRPr="000D4FA1">
        <w:rPr>
          <w:rFonts w:ascii="Times New Roman" w:eastAsia="Times New Roman" w:hAnsi="Times New Roman" w:cs="Times New Roman"/>
          <w:bCs/>
          <w:sz w:val="28"/>
          <w:szCs w:val="28"/>
          <w:lang w:val="ru-RU" w:eastAsia="ru-RU"/>
        </w:rPr>
        <w:t>_</w:t>
      </w:r>
      <w:r w:rsidRPr="000D4FA1">
        <w:rPr>
          <w:rFonts w:ascii="Times New Roman" w:eastAsia="Times New Roman" w:hAnsi="Times New Roman" w:cs="Times New Roman"/>
          <w:bCs/>
          <w:sz w:val="28"/>
          <w:szCs w:val="28"/>
          <w:lang w:eastAsia="ru-RU"/>
        </w:rPr>
        <w:t>sub</w:t>
      </w:r>
      <w:r w:rsidRPr="000D4FA1">
        <w:rPr>
          <w:rFonts w:ascii="Times New Roman" w:eastAsia="Times New Roman" w:hAnsi="Times New Roman" w:cs="Times New Roman"/>
          <w:bCs/>
          <w:sz w:val="28"/>
          <w:szCs w:val="28"/>
          <w:lang w:val="ru-RU" w:eastAsia="ru-RU"/>
        </w:rPr>
        <w:t xml:space="preserve"> указывает, что мобильный интернет не обеспечивает достаточного качества образовательного взаимодействия. Это усиливает различия в компетенциях и доступе к обучению между разными группами студентов.</w:t>
      </w:r>
    </w:p>
    <w:p w:rsidR="00F136E9" w:rsidRPr="000D4FA1" w:rsidRDefault="0006176B"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Таким образом, ре</w:t>
      </w:r>
      <w:r w:rsidR="00F136E9" w:rsidRPr="000D4FA1">
        <w:rPr>
          <w:rFonts w:ascii="Times New Roman" w:eastAsia="Times New Roman" w:hAnsi="Times New Roman" w:cs="Times New Roman"/>
          <w:bCs/>
          <w:sz w:val="28"/>
          <w:szCs w:val="28"/>
          <w:lang w:val="ru-RU" w:eastAsia="ru-RU"/>
        </w:rPr>
        <w:t>коменд</w:t>
      </w:r>
      <w:r w:rsidRPr="000D4FA1">
        <w:rPr>
          <w:rFonts w:ascii="Times New Roman" w:eastAsia="Times New Roman" w:hAnsi="Times New Roman" w:cs="Times New Roman"/>
          <w:bCs/>
          <w:sz w:val="28"/>
          <w:szCs w:val="28"/>
          <w:lang w:val="ru-RU" w:eastAsia="ru-RU"/>
        </w:rPr>
        <w:t>уется</w:t>
      </w:r>
      <w:r w:rsidR="00F136E9" w:rsidRPr="000D4FA1">
        <w:rPr>
          <w:rFonts w:ascii="Times New Roman" w:eastAsia="Times New Roman" w:hAnsi="Times New Roman" w:cs="Times New Roman"/>
          <w:bCs/>
          <w:sz w:val="28"/>
          <w:szCs w:val="28"/>
          <w:lang w:val="ru-RU" w:eastAsia="ru-RU"/>
        </w:rPr>
        <w:t>:</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внедрение систематического обучения цифровым компетенциям в соответствии с международными рамками (</w:t>
      </w:r>
      <w:r w:rsidR="00F136E9" w:rsidRPr="000D4FA1">
        <w:rPr>
          <w:rFonts w:ascii="Times New Roman" w:eastAsia="Times New Roman" w:hAnsi="Times New Roman" w:cs="Times New Roman"/>
          <w:bCs/>
          <w:sz w:val="28"/>
          <w:szCs w:val="28"/>
          <w:lang w:eastAsia="ru-RU"/>
        </w:rPr>
        <w:t>DigComp</w:t>
      </w:r>
      <w:r w:rsidR="00F136E9"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eastAsia="ru-RU"/>
        </w:rPr>
        <w:t>UNESCO</w:t>
      </w:r>
      <w:r w:rsidR="00F136E9"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eastAsia="ru-RU"/>
        </w:rPr>
        <w:t>ICT</w:t>
      </w:r>
      <w:r w:rsidR="00F136E9"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eastAsia="ru-RU"/>
        </w:rPr>
        <w:t>Competency</w:t>
      </w:r>
      <w:r w:rsidR="00F136E9"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eastAsia="ru-RU"/>
        </w:rPr>
        <w:t>Framework</w:t>
      </w:r>
      <w:r w:rsidR="00F136E9" w:rsidRPr="000D4FA1">
        <w:rPr>
          <w:rFonts w:ascii="Times New Roman" w:eastAsia="Times New Roman" w:hAnsi="Times New Roman" w:cs="Times New Roman"/>
          <w:bCs/>
          <w:sz w:val="28"/>
          <w:szCs w:val="28"/>
          <w:lang w:val="ru-RU" w:eastAsia="ru-RU"/>
        </w:rPr>
        <w:t>);</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повышение квалификации преподавателей в области цифровой педагогики;</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создание педагогических лабораторий (</w:t>
      </w:r>
      <w:r w:rsidR="00F136E9" w:rsidRPr="000D4FA1">
        <w:rPr>
          <w:rFonts w:ascii="Times New Roman" w:eastAsia="Times New Roman" w:hAnsi="Times New Roman" w:cs="Times New Roman"/>
          <w:bCs/>
          <w:sz w:val="28"/>
          <w:szCs w:val="28"/>
          <w:lang w:eastAsia="ru-RU"/>
        </w:rPr>
        <w:t>EdTech</w:t>
      </w:r>
      <w:r w:rsidR="007B767F" w:rsidRPr="000D4FA1">
        <w:rPr>
          <w:rFonts w:ascii="Times New Roman" w:eastAsia="Times New Roman" w:hAnsi="Times New Roman" w:cs="Times New Roman"/>
          <w:bCs/>
          <w:sz w:val="28"/>
          <w:szCs w:val="28"/>
          <w:lang w:val="ru-RU" w:eastAsia="ru-RU"/>
        </w:rPr>
        <w:t>–</w:t>
      </w:r>
      <w:r w:rsidR="00F136E9" w:rsidRPr="000D4FA1">
        <w:rPr>
          <w:rFonts w:ascii="Times New Roman" w:eastAsia="Times New Roman" w:hAnsi="Times New Roman" w:cs="Times New Roman"/>
          <w:bCs/>
          <w:sz w:val="28"/>
          <w:szCs w:val="28"/>
          <w:lang w:val="ru-RU" w:eastAsia="ru-RU"/>
        </w:rPr>
        <w:t>лабораторий) для внедрения цифровых инструментов в учебный процесс;</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развитие цифровой безопасности обучающихся и преподавателей.</w:t>
      </w:r>
    </w:p>
    <w:p w:rsidR="00F136E9" w:rsidRPr="000D4FA1" w:rsidRDefault="00F136E9" w:rsidP="00F136E9">
      <w:pPr>
        <w:spacing w:after="0" w:line="240" w:lineRule="auto"/>
        <w:ind w:firstLine="720"/>
        <w:jc w:val="both"/>
        <w:rPr>
          <w:rFonts w:ascii="Times New Roman" w:eastAsia="Times New Roman" w:hAnsi="Times New Roman" w:cs="Times New Roman"/>
          <w:bCs/>
          <w:i/>
          <w:iCs/>
          <w:sz w:val="28"/>
          <w:szCs w:val="28"/>
          <w:lang w:val="ru-RU" w:eastAsia="ru-RU"/>
        </w:rPr>
      </w:pPr>
      <w:r w:rsidRPr="000D4FA1">
        <w:rPr>
          <w:rFonts w:ascii="Times New Roman" w:eastAsia="Times New Roman" w:hAnsi="Times New Roman" w:cs="Times New Roman"/>
          <w:bCs/>
          <w:i/>
          <w:iCs/>
          <w:sz w:val="28"/>
          <w:szCs w:val="28"/>
          <w:lang w:val="ru-RU" w:eastAsia="ru-RU"/>
        </w:rPr>
        <w:t>5. Повышение организационной адаптивности и устойчивости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Полученные результаты свидетельствуют о том, что экономическая и технологическая среда непосредственно влияет на возможности </w:t>
      </w:r>
      <w:r w:rsidRPr="000D4FA1">
        <w:rPr>
          <w:rFonts w:ascii="Times New Roman" w:eastAsia="Times New Roman" w:hAnsi="Times New Roman" w:cs="Times New Roman"/>
          <w:bCs/>
          <w:sz w:val="28"/>
          <w:szCs w:val="28"/>
          <w:lang w:val="ru-RU" w:eastAsia="ru-RU"/>
        </w:rPr>
        <w:lastRenderedPageBreak/>
        <w:t>образовательных организаций ТиПО в развитии человеческого потенциала. Для устойчивости необходимы системные условия</w:t>
      </w:r>
      <w:r w:rsidR="00F22554" w:rsidRPr="000D4FA1">
        <w:rPr>
          <w:rFonts w:ascii="Times New Roman" w:eastAsia="Times New Roman" w:hAnsi="Times New Roman" w:cs="Times New Roman"/>
          <w:bCs/>
          <w:sz w:val="28"/>
          <w:szCs w:val="28"/>
          <w:lang w:val="ru-RU" w:eastAsia="ru-RU"/>
        </w:rPr>
        <w:t>:</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внедрение систем мониторинга человеческого потенциала и цифровой готовности колледжа;</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разработка долгосрочных программ развития кадровых ресурсов, включающих наставничество и индивидуальные траектории развития педагогов;</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укрепление корпоративной культуры, ориентированной на цифровые инновации и профессиональный рост;</w:t>
      </w:r>
    </w:p>
    <w:p w:rsidR="00F136E9" w:rsidRPr="000D4FA1" w:rsidRDefault="004E5E46" w:rsidP="003855B7">
      <w:pPr>
        <w:spacing w:after="0" w:line="240" w:lineRule="auto"/>
        <w:ind w:firstLine="708"/>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 xml:space="preserve">– </w:t>
      </w:r>
      <w:r w:rsidR="00F136E9" w:rsidRPr="000D4FA1">
        <w:rPr>
          <w:rFonts w:ascii="Times New Roman" w:eastAsia="Times New Roman" w:hAnsi="Times New Roman" w:cs="Times New Roman"/>
          <w:bCs/>
          <w:sz w:val="28"/>
          <w:szCs w:val="28"/>
          <w:lang w:val="ru-RU" w:eastAsia="ru-RU"/>
        </w:rPr>
        <w:t>формирование устойчивых партнёрств колледжей с предприятиями, региональными центрами занятости и ИТ</w:t>
      </w:r>
      <w:r w:rsidR="007B767F" w:rsidRPr="000D4FA1">
        <w:rPr>
          <w:rFonts w:ascii="Times New Roman" w:eastAsia="Times New Roman" w:hAnsi="Times New Roman" w:cs="Times New Roman"/>
          <w:bCs/>
          <w:sz w:val="28"/>
          <w:szCs w:val="28"/>
          <w:lang w:val="ru-RU" w:eastAsia="ru-RU"/>
        </w:rPr>
        <w:t>–</w:t>
      </w:r>
      <w:r w:rsidR="00F136E9" w:rsidRPr="000D4FA1">
        <w:rPr>
          <w:rFonts w:ascii="Times New Roman" w:eastAsia="Times New Roman" w:hAnsi="Times New Roman" w:cs="Times New Roman"/>
          <w:bCs/>
          <w:sz w:val="28"/>
          <w:szCs w:val="28"/>
          <w:lang w:val="ru-RU" w:eastAsia="ru-RU"/>
        </w:rPr>
        <w:t>компаниями.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r w:rsidRPr="000D4FA1">
        <w:rPr>
          <w:rFonts w:ascii="Times New Roman" w:eastAsia="Times New Roman" w:hAnsi="Times New Roman" w:cs="Times New Roman"/>
          <w:bCs/>
          <w:sz w:val="28"/>
          <w:szCs w:val="28"/>
          <w:lang w:val="ru-RU" w:eastAsia="ru-RU"/>
        </w:rPr>
        <w:t>Стратегии повышения устойчивости организаций ТиПО должны учитывать взаимосвязь внутренних образовательных факторов и внешних макроэкономических условий, выявленную в эконометрическом анализе. Развитие цифровой инфраструктуры, укрепление базовой образовательной подготовки, снижение финансовых барьеров и формирование современных цифровых компетенций являются ключевыми направлениями, способствующими росту человеческого потенциала и устойчивости ТиПО в условиях цифровой трансформации.</w:t>
      </w:r>
    </w:p>
    <w:p w:rsidR="00F136E9" w:rsidRPr="000D4FA1" w:rsidRDefault="00F136E9" w:rsidP="00F136E9">
      <w:pPr>
        <w:spacing w:after="0" w:line="240" w:lineRule="auto"/>
        <w:ind w:firstLine="720"/>
        <w:jc w:val="both"/>
        <w:rPr>
          <w:rFonts w:ascii="Times New Roman" w:eastAsia="Times New Roman" w:hAnsi="Times New Roman" w:cs="Times New Roman"/>
          <w:bCs/>
          <w:sz w:val="28"/>
          <w:szCs w:val="28"/>
          <w:lang w:val="ru-RU" w:eastAsia="ru-RU"/>
        </w:rPr>
      </w:pPr>
    </w:p>
    <w:p w:rsidR="00006F16" w:rsidRPr="000D4FA1" w:rsidRDefault="00630328" w:rsidP="00151FA0">
      <w:pPr>
        <w:spacing w:after="0" w:line="240" w:lineRule="auto"/>
        <w:ind w:left="-426" w:firstLine="426"/>
        <w:jc w:val="center"/>
        <w:rPr>
          <w:rFonts w:ascii="Times New Roman" w:eastAsia="Times New Roman" w:hAnsi="Times New Roman" w:cs="Times New Roman"/>
          <w:b/>
          <w:sz w:val="28"/>
          <w:szCs w:val="28"/>
          <w:lang w:val="ru-RU" w:eastAsia="ru-RU"/>
        </w:rPr>
      </w:pPr>
      <w:r w:rsidRPr="000D4FA1">
        <w:rPr>
          <w:rFonts w:ascii="Times New Roman" w:eastAsia="Times New Roman" w:hAnsi="Times New Roman" w:cs="Times New Roman"/>
          <w:b/>
          <w:sz w:val="28"/>
          <w:szCs w:val="28"/>
          <w:lang w:val="ru-RU" w:eastAsia="ru-RU"/>
        </w:rPr>
        <w:t>3</w:t>
      </w:r>
      <w:r w:rsidR="00F136E9" w:rsidRPr="000D4FA1">
        <w:rPr>
          <w:rFonts w:ascii="Times New Roman" w:eastAsia="Times New Roman" w:hAnsi="Times New Roman" w:cs="Times New Roman"/>
          <w:b/>
          <w:sz w:val="28"/>
          <w:szCs w:val="28"/>
          <w:lang w:val="ru-RU" w:eastAsia="ru-RU"/>
        </w:rPr>
        <w:t xml:space="preserve">.3 </w:t>
      </w:r>
      <w:r w:rsidR="00006F16" w:rsidRPr="000D4FA1">
        <w:rPr>
          <w:rFonts w:ascii="Times New Roman" w:eastAsia="Times New Roman" w:hAnsi="Times New Roman" w:cs="Times New Roman"/>
          <w:b/>
          <w:sz w:val="28"/>
          <w:szCs w:val="28"/>
          <w:lang w:val="ru-RU" w:eastAsia="ru-RU"/>
        </w:rPr>
        <w:t>Кластерный профиль стран на основе ключевых детерминант человеческого потенциала и факторов устойчивости организаций ТиПО</w:t>
      </w:r>
    </w:p>
    <w:p w:rsidR="00F136E9" w:rsidRPr="000D4FA1" w:rsidRDefault="00F136E9" w:rsidP="00006F16">
      <w:pPr>
        <w:spacing w:after="0" w:line="240" w:lineRule="auto"/>
        <w:jc w:val="both"/>
        <w:rPr>
          <w:rFonts w:ascii="Times New Roman" w:hAnsi="Times New Roman" w:cs="Times New Roman"/>
          <w:sz w:val="28"/>
          <w:szCs w:val="28"/>
          <w:lang w:val="ru-RU"/>
        </w:rPr>
      </w:pPr>
    </w:p>
    <w:p w:rsidR="00143055" w:rsidRPr="000D4FA1" w:rsidRDefault="00143055" w:rsidP="0014305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Анализ устойчивости образовательных организаций и человеческого потенциала в системе технического и профессионального образования требует не только изучения внутренних характеристик колледжей, но и сравнения национальных систем подготовки кадров в международном контексте. Для достижения стратегических целей диссертации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выявления факторов, формирующих устойчивое развитие образовательных организаций и обеспечивающих рост человеческого потенциала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необходимо перейти от локального анализа (на уровне одного колледжа или страны) к выявлению типологических моделей, характерных для разных стран.</w:t>
      </w:r>
    </w:p>
    <w:p w:rsidR="00143055" w:rsidRPr="000D4FA1" w:rsidRDefault="00143055" w:rsidP="0014305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В данной части исследования проводится кластеризация стран на основе комплексных показателей, отражающих состояние человеческого потенциала, устойчивость организаций ТиПО, уровень цифровизации, интенсивность подготовки среднего медицинского персонала, динамику финансирования и структурные особенности рынка труда. Такой подход позволяет определить, какие группы стран демонстрируют схожие траектории развития, а какие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отличаются уникальными структурными или институциональными особенностями.</w:t>
      </w:r>
    </w:p>
    <w:p w:rsidR="00E25E6C" w:rsidRPr="000D4FA1" w:rsidRDefault="00E25E6C" w:rsidP="00E25E6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Регрессионные модели позволили выявить статистически значимые переменные, определяющие устойчивость образовательных организаций,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такие как объём финансирования, уровень кадрового обеспечения, </w:t>
      </w:r>
      <w:r w:rsidRPr="000D4FA1">
        <w:rPr>
          <w:rFonts w:ascii="Times New Roman" w:hAnsi="Times New Roman" w:cs="Times New Roman"/>
          <w:sz w:val="28"/>
          <w:szCs w:val="28"/>
          <w:lang w:val="ru-RU"/>
        </w:rPr>
        <w:lastRenderedPageBreak/>
        <w:t>демографическая нагрузка, показатели рынка труда и степень цифровой зрелости</w:t>
      </w:r>
      <w:r w:rsidR="006F1E42" w:rsidRPr="000D4FA1">
        <w:rPr>
          <w:rFonts w:ascii="Times New Roman" w:hAnsi="Times New Roman" w:cs="Times New Roman"/>
          <w:sz w:val="28"/>
          <w:szCs w:val="28"/>
          <w:lang w:val="ru-RU"/>
        </w:rPr>
        <w:t xml:space="preserve"> </w:t>
      </w:r>
      <w:r w:rsidR="00241D60" w:rsidRPr="000D4FA1">
        <w:rPr>
          <w:rFonts w:ascii="Times New Roman" w:eastAsia="Times New Roman" w:hAnsi="Times New Roman" w:cs="Times New Roman"/>
          <w:sz w:val="28"/>
          <w:szCs w:val="28"/>
          <w:lang w:val="ru-RU" w:eastAsia="ru-RU"/>
        </w:rPr>
        <w:t>[9</w:t>
      </w:r>
      <w:r w:rsidR="002B5225" w:rsidRPr="000D4FA1">
        <w:rPr>
          <w:rFonts w:ascii="Times New Roman" w:eastAsia="Times New Roman" w:hAnsi="Times New Roman" w:cs="Times New Roman"/>
          <w:sz w:val="28"/>
          <w:szCs w:val="28"/>
          <w:lang w:val="ru-RU" w:eastAsia="ru-RU"/>
        </w:rPr>
        <w:t>5</w:t>
      </w:r>
      <w:r w:rsidR="006F1E42" w:rsidRPr="000D4FA1">
        <w:rPr>
          <w:rFonts w:ascii="Times New Roman" w:eastAsia="Times New Roman" w:hAnsi="Times New Roman" w:cs="Times New Roman"/>
          <w:sz w:val="28"/>
          <w:szCs w:val="28"/>
          <w:lang w:val="ru-RU" w:eastAsia="ru-RU"/>
        </w:rPr>
        <w:t>].</w:t>
      </w:r>
    </w:p>
    <w:p w:rsidR="00E25E6C" w:rsidRPr="000D4FA1" w:rsidRDefault="00E25E6C" w:rsidP="00E25E6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Полученные результаты регрессионного анализа сформировали валидированный набор признаков для последующей кластеризации. Использование этих признаков обеспечивает корректность группировки стран: в кластерную модель включаются только те индикаторы, влияние которых эмпирически подтверждено и которые обладают высокой объясняющей силой в рамках построенных эконометрических моделей.</w:t>
      </w:r>
    </w:p>
    <w:p w:rsidR="00143055" w:rsidRPr="000D4FA1" w:rsidRDefault="00143055" w:rsidP="0014305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На втором этапе применяется метод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позволяющий системно сгруппировать страны по многомерным характеристикам и выделить устойчивые кластеры, различающиеся по уровню развития человеческого капитала, эффективности институциональной среды и ресурсной устойчивости образовательных организаций.</w:t>
      </w:r>
    </w:p>
    <w:p w:rsidR="00143055" w:rsidRPr="000D4FA1" w:rsidRDefault="00143055" w:rsidP="0014305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Использование кластеризации позволяет решить несколько задач, значимых для целей диссертации:</w:t>
      </w:r>
    </w:p>
    <w:p w:rsidR="00143055" w:rsidRPr="000D4FA1" w:rsidRDefault="003855B7" w:rsidP="003855B7">
      <w:pPr>
        <w:spacing w:after="0" w:line="240" w:lineRule="auto"/>
        <w:ind w:left="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143055" w:rsidRPr="000D4FA1">
        <w:rPr>
          <w:rFonts w:ascii="Times New Roman" w:hAnsi="Times New Roman" w:cs="Times New Roman"/>
          <w:sz w:val="28"/>
          <w:szCs w:val="28"/>
          <w:lang w:val="ru-RU"/>
        </w:rPr>
        <w:t>определить типовые модели развития систем ТиПО;</w:t>
      </w:r>
    </w:p>
    <w:p w:rsidR="00143055" w:rsidRPr="000D4FA1" w:rsidRDefault="003855B7" w:rsidP="003855B7">
      <w:pPr>
        <w:spacing w:after="0" w:line="240" w:lineRule="auto"/>
        <w:ind w:left="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143055" w:rsidRPr="000D4FA1">
        <w:rPr>
          <w:rFonts w:ascii="Times New Roman" w:hAnsi="Times New Roman" w:cs="Times New Roman"/>
          <w:sz w:val="28"/>
          <w:szCs w:val="28"/>
          <w:lang w:val="ru-RU"/>
        </w:rPr>
        <w:t>оценить позицию Казахстана относительно групп стран с аналогичными характеристиками;</w:t>
      </w:r>
    </w:p>
    <w:p w:rsidR="00143055" w:rsidRPr="000D4FA1" w:rsidRDefault="003855B7" w:rsidP="003855B7">
      <w:pPr>
        <w:spacing w:after="0" w:line="240" w:lineRule="auto"/>
        <w:ind w:left="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143055" w:rsidRPr="000D4FA1">
        <w:rPr>
          <w:rFonts w:ascii="Times New Roman" w:hAnsi="Times New Roman" w:cs="Times New Roman"/>
          <w:sz w:val="28"/>
          <w:szCs w:val="28"/>
          <w:lang w:val="ru-RU"/>
        </w:rPr>
        <w:t>выявить разрывы, сильные и слабые стороны национальной политики;</w:t>
      </w:r>
    </w:p>
    <w:p w:rsidR="00143055" w:rsidRPr="000D4FA1" w:rsidRDefault="003855B7" w:rsidP="003855B7">
      <w:pPr>
        <w:spacing w:after="0" w:line="240" w:lineRule="auto"/>
        <w:ind w:left="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143055" w:rsidRPr="000D4FA1">
        <w:rPr>
          <w:rFonts w:ascii="Times New Roman" w:hAnsi="Times New Roman" w:cs="Times New Roman"/>
          <w:sz w:val="28"/>
          <w:szCs w:val="28"/>
          <w:lang w:val="ru-RU"/>
        </w:rPr>
        <w:t>сформировать основу для разработки рекомендаций по повышению устойчивости и конкурентоспособности учреждений ТиПО.</w:t>
      </w:r>
    </w:p>
    <w:p w:rsidR="00143055" w:rsidRPr="000D4FA1" w:rsidRDefault="00143055" w:rsidP="0014305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Таким образом, </w:t>
      </w:r>
      <w:r w:rsidR="003855B7" w:rsidRPr="000D4FA1">
        <w:rPr>
          <w:rFonts w:ascii="Times New Roman" w:hAnsi="Times New Roman" w:cs="Times New Roman"/>
          <w:sz w:val="28"/>
          <w:szCs w:val="28"/>
          <w:lang w:val="ru-RU"/>
        </w:rPr>
        <w:t xml:space="preserve">данный </w:t>
      </w:r>
      <w:r w:rsidRPr="000D4FA1">
        <w:rPr>
          <w:rFonts w:ascii="Times New Roman" w:hAnsi="Times New Roman" w:cs="Times New Roman"/>
          <w:sz w:val="28"/>
          <w:szCs w:val="28"/>
          <w:lang w:val="ru-RU"/>
        </w:rPr>
        <w:t xml:space="preserve">раздел направлен на создание типологической карты стран с позиции развития человеческого потенциала и устойчивости организаций ТиПО. Полученные результаты дополняют выводы регрессионного анализа, обеспечивая комплексное понимание структурных факторов, влияющих на эффективность подготовки кадров и устойчивость </w:t>
      </w:r>
      <w:r w:rsidR="001C1975" w:rsidRPr="000D4FA1">
        <w:rPr>
          <w:rFonts w:ascii="Times New Roman" w:hAnsi="Times New Roman" w:cs="Times New Roman"/>
          <w:sz w:val="28"/>
          <w:szCs w:val="28"/>
          <w:lang w:val="ru-RU"/>
        </w:rPr>
        <w:t xml:space="preserve">технического и </w:t>
      </w:r>
      <w:r w:rsidRPr="000D4FA1">
        <w:rPr>
          <w:rFonts w:ascii="Times New Roman" w:hAnsi="Times New Roman" w:cs="Times New Roman"/>
          <w:sz w:val="28"/>
          <w:szCs w:val="28"/>
          <w:lang w:val="ru-RU"/>
        </w:rPr>
        <w:t>профессионального образования в долгосрочной перспективе.</w:t>
      </w:r>
    </w:p>
    <w:p w:rsidR="00EF3393" w:rsidRPr="000D4FA1" w:rsidRDefault="00EF3393" w:rsidP="00EF3393">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Для проведения кластерного анализа предварительно была выполнена стандартизация всех переменных, включённых в модель. Необходимость стандартизации обусловлена тем, что исходные индикаторы существенно различаются по единицам измерения, масштабу и диапазону значений. </w:t>
      </w:r>
    </w:p>
    <w:p w:rsidR="00EF3393" w:rsidRPr="000D4FA1" w:rsidRDefault="00EF3393" w:rsidP="00EF3393">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Использование таких неоднородных переменных без предварительного приведения к единому масштабу приводит к тому, что признаки с более крупными значениями доминируют над остальными в процессе кластеризации, искажают метрику расстояний и, соответственно, смещают результат алгоритма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xml:space="preserve"> в сторону высокоразмерных показателей.</w:t>
      </w:r>
    </w:p>
    <w:p w:rsidR="004645CF" w:rsidRPr="000D4FA1" w:rsidRDefault="00EF3393" w:rsidP="00EF3393">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Стандартизация позволяет устранить данный эффект путём преобразования каждой переменной таким образом, чтобы её среднее значение стало равным нулю, а стандартное отклонение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единице. Это обеспечивает равный вклад каждого фактора в вычисление евклидовых расстояний, используемых алгоритмом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xml:space="preserve">, и позволяет корректно интерпретировать структуру кластеров. </w:t>
      </w:r>
    </w:p>
    <w:p w:rsidR="00EF3393" w:rsidRPr="000D4FA1" w:rsidRDefault="00EF3393" w:rsidP="00EF3393">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Кроме того, стандартизация повышает устойчивость кластерного решения, снижает влияние выбросов и обеспечивает сопоставимость регионов </w:t>
      </w:r>
      <w:r w:rsidRPr="000D4FA1">
        <w:rPr>
          <w:rFonts w:ascii="Times New Roman" w:hAnsi="Times New Roman" w:cs="Times New Roman"/>
          <w:sz w:val="28"/>
          <w:szCs w:val="28"/>
          <w:lang w:val="ru-RU"/>
        </w:rPr>
        <w:lastRenderedPageBreak/>
        <w:t>по всем выбранным детерминантам человеческого потенциала и организационной устойчивости ТиПО. Таким образом, стандартизация является обязательным методологическим шагом, обеспечивающим корректность и достоверность кластерного анализа.</w:t>
      </w:r>
    </w:p>
    <w:p w:rsidR="009D30F5" w:rsidRPr="000D4FA1" w:rsidRDefault="009D30F5" w:rsidP="009D30F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Алгоритм </w:t>
      </w:r>
      <w:r w:rsidRPr="000D4FA1">
        <w:rPr>
          <w:rFonts w:ascii="Times New Roman" w:hAnsi="Times New Roman" w:cs="Times New Roman"/>
          <w:i/>
          <w:iCs/>
          <w:sz w:val="28"/>
          <w:szCs w:val="28"/>
        </w:rPr>
        <w:t>k</w:t>
      </w:r>
      <w:r w:rsidR="007B767F"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rPr>
        <w:t>means</w:t>
      </w:r>
      <w:r w:rsidRPr="000D4FA1">
        <w:rPr>
          <w:rFonts w:ascii="Times New Roman" w:hAnsi="Times New Roman" w:cs="Times New Roman"/>
          <w:sz w:val="28"/>
          <w:szCs w:val="28"/>
          <w:lang w:val="ru-RU"/>
        </w:rPr>
        <w:t xml:space="preserve"> минимизирует сумму квадратов расстояний между объектами и центрами кластеров, и переменные с большим разбросом автоматически получают больший «вес» в итоговом решении. Это приводит к искажению структуры кластеров и смещает результаты анализа в пользу показателей с крупными значениями.</w:t>
      </w:r>
    </w:p>
    <w:p w:rsidR="003855B7" w:rsidRPr="000D4FA1" w:rsidRDefault="00E004C5" w:rsidP="009D30F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noProof/>
          <w:sz w:val="28"/>
          <w:szCs w:val="28"/>
          <w:lang w:val="ru-RU" w:eastAsia="ru-RU"/>
        </w:rPr>
        <w:drawing>
          <wp:anchor distT="0" distB="0" distL="114300" distR="114300" simplePos="0" relativeHeight="251669504" behindDoc="1" locked="0" layoutInCell="1" allowOverlap="1">
            <wp:simplePos x="0" y="0"/>
            <wp:positionH relativeFrom="column">
              <wp:posOffset>510794</wp:posOffset>
            </wp:positionH>
            <wp:positionV relativeFrom="paragraph">
              <wp:posOffset>109093</wp:posOffset>
            </wp:positionV>
            <wp:extent cx="4029637" cy="1933845"/>
            <wp:effectExtent l="0" t="0" r="0" b="9525"/>
            <wp:wrapTight wrapText="bothSides">
              <wp:wrapPolygon edited="0">
                <wp:start x="0" y="0"/>
                <wp:lineTo x="0" y="21494"/>
                <wp:lineTo x="21447" y="21494"/>
                <wp:lineTo x="21447" y="0"/>
                <wp:lineTo x="0" y="0"/>
              </wp:wrapPolygon>
            </wp:wrapTight>
            <wp:docPr id="1377811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11285" name=""/>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29637" cy="1933845"/>
                    </a:xfrm>
                    <a:prstGeom prst="rect">
                      <a:avLst/>
                    </a:prstGeom>
                  </pic:spPr>
                </pic:pic>
              </a:graphicData>
            </a:graphic>
          </wp:anchor>
        </w:drawing>
      </w:r>
      <w:r w:rsidR="003855B7" w:rsidRPr="000D4FA1">
        <w:rPr>
          <w:rFonts w:ascii="Times New Roman" w:hAnsi="Times New Roman" w:cs="Times New Roman"/>
          <w:sz w:val="28"/>
          <w:szCs w:val="28"/>
          <w:lang w:val="ru-RU"/>
        </w:rPr>
        <w:t xml:space="preserve">      </w:t>
      </w:r>
    </w:p>
    <w:p w:rsidR="003855B7" w:rsidRPr="000D4FA1" w:rsidRDefault="003855B7" w:rsidP="009D30F5">
      <w:pPr>
        <w:spacing w:after="0" w:line="240" w:lineRule="auto"/>
        <w:ind w:firstLine="720"/>
        <w:jc w:val="both"/>
        <w:rPr>
          <w:rFonts w:ascii="Times New Roman" w:hAnsi="Times New Roman" w:cs="Times New Roman"/>
          <w:sz w:val="28"/>
          <w:szCs w:val="28"/>
          <w:lang w:val="ru-RU"/>
        </w:rPr>
      </w:pPr>
    </w:p>
    <w:p w:rsidR="00E004C5" w:rsidRPr="000D4FA1" w:rsidRDefault="003855B7" w:rsidP="009D30F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(4)</w:t>
      </w:r>
    </w:p>
    <w:p w:rsidR="00F136E9" w:rsidRPr="000D4FA1" w:rsidRDefault="009D30F5" w:rsidP="00241D6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Стандартизация позволяет устранить масштабные различия между переменными, привести их к одному порядку величин и обеспечить корректное сравнение наблюдений. После стандартизации каждая переменная имеет среднее значение 0 и стандартное отклонение 1, что делает вклад всех признаков равнозначным при расчёте евклидовых расстояний</w:t>
      </w:r>
      <w:r w:rsidR="006F1E42" w:rsidRPr="000D4FA1">
        <w:rPr>
          <w:rFonts w:ascii="Times New Roman" w:hAnsi="Times New Roman" w:cs="Times New Roman"/>
          <w:sz w:val="28"/>
          <w:szCs w:val="28"/>
          <w:lang w:val="ru-RU"/>
        </w:rPr>
        <w:t xml:space="preserve"> [</w:t>
      </w:r>
      <w:r w:rsidR="00241D60" w:rsidRPr="000D4FA1">
        <w:rPr>
          <w:rFonts w:ascii="Times New Roman" w:hAnsi="Times New Roman" w:cs="Times New Roman"/>
          <w:sz w:val="28"/>
          <w:szCs w:val="28"/>
          <w:lang w:val="ru-RU"/>
        </w:rPr>
        <w:t>9</w:t>
      </w:r>
      <w:r w:rsidR="002B5225" w:rsidRPr="000D4FA1">
        <w:rPr>
          <w:rFonts w:ascii="Times New Roman" w:hAnsi="Times New Roman" w:cs="Times New Roman"/>
          <w:sz w:val="28"/>
          <w:szCs w:val="28"/>
          <w:lang w:val="ru-RU"/>
        </w:rPr>
        <w:t>6</w:t>
      </w:r>
      <w:r w:rsidR="005E17ED" w:rsidRPr="000D4FA1">
        <w:rPr>
          <w:rFonts w:ascii="Times New Roman" w:hAnsi="Times New Roman" w:cs="Times New Roman"/>
          <w:sz w:val="28"/>
          <w:szCs w:val="28"/>
          <w:lang w:val="ru-RU"/>
        </w:rPr>
        <w:t>,97</w:t>
      </w:r>
      <w:r w:rsidR="006F1E42" w:rsidRPr="000D4FA1">
        <w:rPr>
          <w:rFonts w:ascii="Times New Roman" w:hAnsi="Times New Roman" w:cs="Times New Roman"/>
          <w:sz w:val="28"/>
          <w:szCs w:val="28"/>
          <w:lang w:val="ru-RU"/>
        </w:rPr>
        <w:t>].</w:t>
      </w:r>
    </w:p>
    <w:p w:rsidR="00241D60" w:rsidRPr="000D4FA1" w:rsidRDefault="00241D60" w:rsidP="00F136E9">
      <w:pPr>
        <w:spacing w:after="0" w:line="240" w:lineRule="auto"/>
        <w:ind w:firstLine="720"/>
        <w:jc w:val="both"/>
        <w:rPr>
          <w:rFonts w:ascii="Times New Roman" w:hAnsi="Times New Roman" w:cs="Times New Roman"/>
          <w:sz w:val="28"/>
          <w:szCs w:val="28"/>
          <w:lang w:val="ru-RU"/>
        </w:rPr>
      </w:pPr>
    </w:p>
    <w:p w:rsidR="00B72B9C" w:rsidRPr="000D4FA1" w:rsidRDefault="00241D60" w:rsidP="00F136E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Таблица 2</w:t>
      </w:r>
      <w:r w:rsidR="00D17049" w:rsidRPr="000D4FA1">
        <w:rPr>
          <w:rFonts w:ascii="Times New Roman" w:hAnsi="Times New Roman" w:cs="Times New Roman"/>
          <w:sz w:val="28"/>
          <w:szCs w:val="28"/>
          <w:lang w:val="ru-RU"/>
        </w:rPr>
        <w:t>5</w:t>
      </w:r>
      <w:r w:rsidRPr="000D4FA1">
        <w:rPr>
          <w:rFonts w:ascii="Times New Roman" w:hAnsi="Times New Roman" w:cs="Times New Roman"/>
          <w:sz w:val="28"/>
          <w:szCs w:val="28"/>
          <w:lang w:val="ru-RU"/>
        </w:rPr>
        <w:t xml:space="preserve"> </w:t>
      </w:r>
      <w:r w:rsidR="003855B7" w:rsidRPr="000D4FA1">
        <w:rPr>
          <w:rFonts w:ascii="Times New Roman" w:hAnsi="Times New Roman" w:cs="Times New Roman"/>
          <w:sz w:val="28"/>
          <w:szCs w:val="28"/>
          <w:lang w:val="ru-RU"/>
        </w:rPr>
        <w:t xml:space="preserve">– </w:t>
      </w:r>
      <w:r w:rsidR="00594D3B" w:rsidRPr="000D4FA1">
        <w:rPr>
          <w:rFonts w:ascii="Times New Roman" w:hAnsi="Times New Roman" w:cs="Times New Roman"/>
          <w:sz w:val="28"/>
          <w:szCs w:val="28"/>
          <w:lang w:val="ru-RU"/>
        </w:rPr>
        <w:t>Начальные центры кластеров (</w:t>
      </w:r>
      <w:r w:rsidR="00594D3B"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00594D3B" w:rsidRPr="000D4FA1">
        <w:rPr>
          <w:rFonts w:ascii="Times New Roman" w:hAnsi="Times New Roman" w:cs="Times New Roman"/>
          <w:sz w:val="28"/>
          <w:szCs w:val="28"/>
          <w:lang w:val="ru-RU"/>
        </w:rPr>
        <w:t>преобразованные показатели)</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0"/>
        <w:gridCol w:w="1693"/>
        <w:gridCol w:w="1789"/>
        <w:gridCol w:w="1789"/>
        <w:gridCol w:w="1789"/>
      </w:tblGrid>
      <w:tr w:rsidR="00CB3244" w:rsidRPr="006E660C" w:rsidTr="00ED5D01">
        <w:trPr>
          <w:trHeight w:val="142"/>
        </w:trPr>
        <w:tc>
          <w:tcPr>
            <w:tcW w:w="2220" w:type="dxa"/>
            <w:vAlign w:val="bottom"/>
            <w:hideMark/>
          </w:tcPr>
          <w:p w:rsidR="00CB3244" w:rsidRPr="006E660C" w:rsidRDefault="00CB3244" w:rsidP="00CB3244">
            <w:pPr>
              <w:spacing w:after="0" w:line="240" w:lineRule="auto"/>
              <w:rPr>
                <w:rFonts w:ascii="Times New Roman" w:eastAsia="Times New Roman" w:hAnsi="Times New Roman" w:cs="Times New Roman"/>
                <w:sz w:val="24"/>
                <w:szCs w:val="24"/>
                <w:lang w:val="kk-KZ"/>
              </w:rPr>
            </w:pPr>
          </w:p>
        </w:tc>
        <w:tc>
          <w:tcPr>
            <w:tcW w:w="7060" w:type="dxa"/>
            <w:gridSpan w:val="4"/>
            <w:vAlign w:val="bottom"/>
            <w:hideMark/>
          </w:tcPr>
          <w:p w:rsidR="00CB3244" w:rsidRPr="006E660C" w:rsidRDefault="00CB3244" w:rsidP="00CB3244">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Кластер</w:t>
            </w:r>
          </w:p>
        </w:tc>
      </w:tr>
      <w:tr w:rsidR="00CB3244" w:rsidRPr="006E660C" w:rsidTr="00CB3244">
        <w:trPr>
          <w:trHeight w:val="315"/>
        </w:trPr>
        <w:tc>
          <w:tcPr>
            <w:tcW w:w="2220" w:type="dxa"/>
            <w:vAlign w:val="bottom"/>
            <w:hideMark/>
          </w:tcPr>
          <w:p w:rsidR="00CB3244" w:rsidRPr="006E660C" w:rsidRDefault="00CB3244" w:rsidP="00CB3244">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w:t>
            </w:r>
          </w:p>
        </w:tc>
        <w:tc>
          <w:tcPr>
            <w:tcW w:w="1693" w:type="dxa"/>
            <w:noWrap/>
            <w:vAlign w:val="bottom"/>
            <w:hideMark/>
          </w:tcPr>
          <w:p w:rsidR="00CB3244" w:rsidRPr="006E660C" w:rsidRDefault="00CB3244" w:rsidP="00CB3244">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1789" w:type="dxa"/>
            <w:noWrap/>
            <w:vAlign w:val="bottom"/>
            <w:hideMark/>
          </w:tcPr>
          <w:p w:rsidR="00CB3244" w:rsidRPr="006E660C" w:rsidRDefault="00CB3244" w:rsidP="00CB3244">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2</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 xml:space="preserve"> Кластер</w:t>
            </w:r>
          </w:p>
        </w:tc>
        <w:tc>
          <w:tcPr>
            <w:tcW w:w="1789" w:type="dxa"/>
            <w:noWrap/>
            <w:vAlign w:val="bottom"/>
            <w:hideMark/>
          </w:tcPr>
          <w:p w:rsidR="00CB3244" w:rsidRPr="006E660C" w:rsidRDefault="00CB3244" w:rsidP="00CB3244">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3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1789" w:type="dxa"/>
            <w:noWrap/>
            <w:vAlign w:val="bottom"/>
            <w:hideMark/>
          </w:tcPr>
          <w:p w:rsidR="00CB3244" w:rsidRPr="006E660C" w:rsidRDefault="00CB3244" w:rsidP="00CB3244">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4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r>
      <w:tr w:rsidR="00CB3244" w:rsidRPr="006E660C" w:rsidTr="00CB3244">
        <w:trPr>
          <w:trHeight w:val="435"/>
        </w:trPr>
        <w:tc>
          <w:tcPr>
            <w:tcW w:w="2220" w:type="dxa"/>
            <w:hideMark/>
          </w:tcPr>
          <w:p w:rsidR="00CB3244" w:rsidRPr="006E660C" w:rsidRDefault="00CB3244" w:rsidP="00CB3244">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Zscore(GDP_pc)</w:t>
            </w:r>
          </w:p>
        </w:tc>
        <w:tc>
          <w:tcPr>
            <w:tcW w:w="1693"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0.48126</w:t>
            </w:r>
          </w:p>
        </w:tc>
        <w:tc>
          <w:tcPr>
            <w:tcW w:w="1789"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0.16578</w:t>
            </w:r>
          </w:p>
        </w:tc>
        <w:tc>
          <w:tcPr>
            <w:tcW w:w="1789" w:type="dxa"/>
            <w:shd w:val="clear" w:color="000000" w:fill="FFFFFF"/>
            <w:noWrap/>
            <w:hideMark/>
          </w:tcPr>
          <w:p w:rsidR="00CB3244" w:rsidRPr="006E660C" w:rsidRDefault="00CB3244"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0.17796</w:t>
            </w:r>
          </w:p>
        </w:tc>
        <w:tc>
          <w:tcPr>
            <w:tcW w:w="1789"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0.45228</w:t>
            </w:r>
          </w:p>
        </w:tc>
      </w:tr>
      <w:tr w:rsidR="00CB3244" w:rsidRPr="006E660C" w:rsidTr="00CB3244">
        <w:trPr>
          <w:trHeight w:val="420"/>
        </w:trPr>
        <w:tc>
          <w:tcPr>
            <w:tcW w:w="2220" w:type="dxa"/>
            <w:hideMark/>
          </w:tcPr>
          <w:p w:rsidR="00CB3244" w:rsidRPr="006E660C" w:rsidRDefault="00CB3244" w:rsidP="00CB3244">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Zscore(FB_sub)</w:t>
            </w:r>
          </w:p>
        </w:tc>
        <w:tc>
          <w:tcPr>
            <w:tcW w:w="1693"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0.96842</w:t>
            </w:r>
          </w:p>
        </w:tc>
        <w:tc>
          <w:tcPr>
            <w:tcW w:w="1789" w:type="dxa"/>
            <w:shd w:val="clear" w:color="000000" w:fill="FFFFFF"/>
            <w:noWrap/>
            <w:hideMark/>
          </w:tcPr>
          <w:p w:rsidR="00CB3244" w:rsidRPr="006E660C" w:rsidRDefault="00CB3244"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0.30946</w:t>
            </w:r>
          </w:p>
        </w:tc>
        <w:tc>
          <w:tcPr>
            <w:tcW w:w="1789" w:type="dxa"/>
            <w:shd w:val="clear" w:color="000000" w:fill="FFFFFF"/>
            <w:noWrap/>
            <w:hideMark/>
          </w:tcPr>
          <w:p w:rsidR="00CB3244" w:rsidRPr="006E660C" w:rsidRDefault="00CB3244"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1.17375</w:t>
            </w:r>
          </w:p>
        </w:tc>
        <w:tc>
          <w:tcPr>
            <w:tcW w:w="1789"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0.86291</w:t>
            </w:r>
          </w:p>
        </w:tc>
      </w:tr>
      <w:tr w:rsidR="00CB3244" w:rsidRPr="006E660C" w:rsidTr="00CB3244">
        <w:trPr>
          <w:trHeight w:val="450"/>
        </w:trPr>
        <w:tc>
          <w:tcPr>
            <w:tcW w:w="2220" w:type="dxa"/>
            <w:hideMark/>
          </w:tcPr>
          <w:p w:rsidR="00CB3244" w:rsidRPr="006E660C" w:rsidRDefault="00CB3244" w:rsidP="00CB3244">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Zscore(MB_sub)</w:t>
            </w:r>
          </w:p>
        </w:tc>
        <w:tc>
          <w:tcPr>
            <w:tcW w:w="1693"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1.65172</w:t>
            </w:r>
          </w:p>
        </w:tc>
        <w:tc>
          <w:tcPr>
            <w:tcW w:w="1789" w:type="dxa"/>
            <w:shd w:val="clear" w:color="000000" w:fill="FFFFFF"/>
            <w:noWrap/>
            <w:hideMark/>
          </w:tcPr>
          <w:p w:rsidR="00CB3244" w:rsidRPr="006E660C" w:rsidRDefault="007B767F"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CB3244" w:rsidRPr="006E660C">
              <w:rPr>
                <w:rFonts w:ascii="Times New Roman" w:eastAsia="Times New Roman" w:hAnsi="Times New Roman" w:cs="Times New Roman"/>
                <w:color w:val="000000"/>
                <w:sz w:val="24"/>
                <w:szCs w:val="24"/>
                <w:lang w:val="kk-KZ"/>
              </w:rPr>
              <w:t>0.44344</w:t>
            </w:r>
          </w:p>
        </w:tc>
        <w:tc>
          <w:tcPr>
            <w:tcW w:w="1789" w:type="dxa"/>
            <w:shd w:val="clear" w:color="000000" w:fill="FFFFFF"/>
            <w:noWrap/>
            <w:hideMark/>
          </w:tcPr>
          <w:p w:rsidR="00CB3244" w:rsidRPr="006E660C" w:rsidRDefault="00CB3244"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1.11555</w:t>
            </w:r>
          </w:p>
        </w:tc>
        <w:tc>
          <w:tcPr>
            <w:tcW w:w="1789" w:type="dxa"/>
            <w:shd w:val="clear" w:color="000000" w:fill="FFFFFF"/>
            <w:noWrap/>
            <w:hideMark/>
          </w:tcPr>
          <w:p w:rsidR="00CB3244" w:rsidRPr="006E660C" w:rsidRDefault="00CB3244" w:rsidP="00CB3244">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1.27893</w:t>
            </w:r>
          </w:p>
        </w:tc>
      </w:tr>
    </w:tbl>
    <w:p w:rsidR="00F136E9" w:rsidRPr="000D4FA1" w:rsidRDefault="00F136E9" w:rsidP="00F136E9">
      <w:pPr>
        <w:spacing w:after="0" w:line="240" w:lineRule="auto"/>
        <w:ind w:firstLine="720"/>
        <w:jc w:val="both"/>
        <w:rPr>
          <w:rFonts w:ascii="Times New Roman" w:hAnsi="Times New Roman" w:cs="Times New Roman"/>
          <w:sz w:val="28"/>
          <w:szCs w:val="28"/>
          <w:lang w:val="ru-RU"/>
        </w:rPr>
      </w:pPr>
    </w:p>
    <w:p w:rsidR="00907A1C" w:rsidRPr="000D4FA1" w:rsidRDefault="00907A1C" w:rsidP="00907A1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Стандартизированные центры показывают исходные позиции кластеров перед итерациями алгоритма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xml:space="preserve"> и позволяют интерпретировать направления группировки стран по уровню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экономического развития и устойчивости человеческого потенциала.</w:t>
      </w:r>
    </w:p>
    <w:p w:rsidR="000F1B37" w:rsidRPr="000D4FA1" w:rsidRDefault="00907A1C" w:rsidP="00907A1C">
      <w:pPr>
        <w:spacing w:after="0" w:line="240" w:lineRule="auto"/>
        <w:ind w:firstLine="720"/>
        <w:jc w:val="both"/>
        <w:rPr>
          <w:rFonts w:ascii="Times New Roman" w:hAnsi="Times New Roman" w:cs="Times New Roman"/>
          <w:i/>
          <w:iCs/>
          <w:sz w:val="28"/>
          <w:szCs w:val="28"/>
          <w:lang w:val="ru-RU"/>
        </w:rPr>
      </w:pPr>
      <w:r w:rsidRPr="000D4FA1">
        <w:rPr>
          <w:rFonts w:ascii="Times New Roman" w:hAnsi="Times New Roman" w:cs="Times New Roman"/>
          <w:i/>
          <w:iCs/>
          <w:sz w:val="28"/>
          <w:szCs w:val="28"/>
          <w:lang w:val="ru-RU"/>
        </w:rPr>
        <w:t xml:space="preserve">1. Кластер 1 </w:t>
      </w:r>
      <w:r w:rsidR="008506F2"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lang w:val="ru-RU"/>
        </w:rPr>
        <w:t xml:space="preserve"> «низкий уровень развития и ограниченные ресурсы»</w:t>
      </w:r>
      <w:r w:rsidR="000F1B37" w:rsidRPr="000D4FA1">
        <w:rPr>
          <w:rFonts w:ascii="Times New Roman" w:hAnsi="Times New Roman" w:cs="Times New Roman"/>
          <w:i/>
          <w:iCs/>
          <w:sz w:val="28"/>
          <w:szCs w:val="28"/>
          <w:lang w:val="ru-RU"/>
        </w:rPr>
        <w:t>.</w:t>
      </w:r>
    </w:p>
    <w:p w:rsidR="00907A1C" w:rsidRPr="000D4FA1" w:rsidRDefault="00907A1C" w:rsidP="00907A1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Все три показатели имеют выраженные отрицательные значения (особенно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–1.65), что говорит о странах с низким ВВП на душу населения и ограниченными бюджетами в образовании и здравоохранении. Это наиболее уязвимые государства с ограниченным потенциалом для устойчивого развития человеческого капитала.</w:t>
      </w:r>
    </w:p>
    <w:p w:rsidR="00710BAD" w:rsidRPr="000D4FA1" w:rsidRDefault="00907A1C" w:rsidP="00907A1C">
      <w:pPr>
        <w:spacing w:after="0" w:line="240" w:lineRule="auto"/>
        <w:ind w:firstLine="720"/>
        <w:jc w:val="both"/>
        <w:rPr>
          <w:rFonts w:ascii="Times New Roman" w:hAnsi="Times New Roman" w:cs="Times New Roman"/>
          <w:i/>
          <w:iCs/>
          <w:sz w:val="28"/>
          <w:szCs w:val="28"/>
          <w:lang w:val="ru-RU"/>
        </w:rPr>
      </w:pPr>
      <w:r w:rsidRPr="000D4FA1">
        <w:rPr>
          <w:rFonts w:ascii="Times New Roman" w:hAnsi="Times New Roman" w:cs="Times New Roman"/>
          <w:i/>
          <w:iCs/>
          <w:sz w:val="28"/>
          <w:szCs w:val="28"/>
          <w:lang w:val="ru-RU"/>
        </w:rPr>
        <w:lastRenderedPageBreak/>
        <w:t xml:space="preserve">2. Кластер 2 </w:t>
      </w:r>
      <w:r w:rsidR="008506F2"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lang w:val="ru-RU"/>
        </w:rPr>
        <w:t xml:space="preserve"> «средний уровень с умеренными ресурсами»</w:t>
      </w:r>
      <w:r w:rsidR="00710BAD" w:rsidRPr="000D4FA1">
        <w:rPr>
          <w:rFonts w:ascii="Times New Roman" w:hAnsi="Times New Roman" w:cs="Times New Roman"/>
          <w:i/>
          <w:iCs/>
          <w:sz w:val="28"/>
          <w:szCs w:val="28"/>
          <w:lang w:val="ru-RU"/>
        </w:rPr>
        <w:t>.</w:t>
      </w:r>
    </w:p>
    <w:p w:rsidR="00907A1C" w:rsidRPr="000D4FA1" w:rsidRDefault="00907A1C" w:rsidP="00907A1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Значения показателей находятся близко к нулю (около –0.16…0.30), что характерно для стран со средней обеспеченностью ресурсами. Кластер отличается умеренным финансированием образования, но без выраженного лидерства. Это «переходная» группа, сочетающая элементы развивающихся и более стабильных экономик.</w:t>
      </w:r>
    </w:p>
    <w:p w:rsidR="00710BAD" w:rsidRPr="000D4FA1" w:rsidRDefault="00907A1C" w:rsidP="00907A1C">
      <w:pPr>
        <w:spacing w:after="0" w:line="240" w:lineRule="auto"/>
        <w:ind w:firstLine="720"/>
        <w:jc w:val="both"/>
        <w:rPr>
          <w:rFonts w:ascii="Times New Roman" w:hAnsi="Times New Roman" w:cs="Times New Roman"/>
          <w:i/>
          <w:iCs/>
          <w:sz w:val="28"/>
          <w:szCs w:val="28"/>
          <w:lang w:val="ru-RU"/>
        </w:rPr>
      </w:pPr>
      <w:r w:rsidRPr="000D4FA1">
        <w:rPr>
          <w:rFonts w:ascii="Times New Roman" w:hAnsi="Times New Roman" w:cs="Times New Roman"/>
          <w:i/>
          <w:iCs/>
          <w:sz w:val="28"/>
          <w:szCs w:val="28"/>
          <w:lang w:val="ru-RU"/>
        </w:rPr>
        <w:t xml:space="preserve">3. Кластер 3 </w:t>
      </w:r>
      <w:r w:rsidR="008506F2"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lang w:val="ru-RU"/>
        </w:rPr>
        <w:t xml:space="preserve"> «страны</w:t>
      </w:r>
      <w:r w:rsidR="007B767F"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lang w:val="ru-RU"/>
        </w:rPr>
        <w:t>лидеры с высокими показателями»</w:t>
      </w:r>
      <w:r w:rsidR="00710BAD" w:rsidRPr="000D4FA1">
        <w:rPr>
          <w:rFonts w:ascii="Times New Roman" w:hAnsi="Times New Roman" w:cs="Times New Roman"/>
          <w:i/>
          <w:iCs/>
          <w:sz w:val="28"/>
          <w:szCs w:val="28"/>
          <w:lang w:val="ru-RU"/>
        </w:rPr>
        <w:t>.</w:t>
      </w:r>
    </w:p>
    <w:p w:rsidR="00907A1C" w:rsidRPr="000D4FA1" w:rsidRDefault="00907A1C" w:rsidP="00907A1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Все показатели положительные и наиболее высокие среди всех групп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1.17,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1.11). Это государства с развитой экономикой и значительными вложениями в образование и медицину. Кластер формирует ориентир устойчивости и демонстрирует сильный человеческий потенциал.</w:t>
      </w:r>
    </w:p>
    <w:p w:rsidR="00710BAD" w:rsidRPr="000D4FA1" w:rsidRDefault="00907A1C" w:rsidP="00907A1C">
      <w:pPr>
        <w:spacing w:after="0" w:line="240" w:lineRule="auto"/>
        <w:ind w:firstLine="720"/>
        <w:jc w:val="both"/>
        <w:rPr>
          <w:rFonts w:ascii="Times New Roman" w:hAnsi="Times New Roman" w:cs="Times New Roman"/>
          <w:i/>
          <w:iCs/>
          <w:sz w:val="28"/>
          <w:szCs w:val="28"/>
          <w:lang w:val="ru-RU"/>
        </w:rPr>
      </w:pPr>
      <w:r w:rsidRPr="000D4FA1">
        <w:rPr>
          <w:rFonts w:ascii="Times New Roman" w:hAnsi="Times New Roman" w:cs="Times New Roman"/>
          <w:i/>
          <w:iCs/>
          <w:sz w:val="28"/>
          <w:szCs w:val="28"/>
          <w:lang w:val="ru-RU"/>
        </w:rPr>
        <w:t xml:space="preserve">4. Кластер 4 </w:t>
      </w:r>
      <w:r w:rsidR="008506F2"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lang w:val="ru-RU"/>
        </w:rPr>
        <w:t xml:space="preserve"> «несбалансированное развитие с сильной медицинской поддержкой»</w:t>
      </w:r>
      <w:r w:rsidR="00710BAD" w:rsidRPr="000D4FA1">
        <w:rPr>
          <w:rFonts w:ascii="Times New Roman" w:hAnsi="Times New Roman" w:cs="Times New Roman"/>
          <w:i/>
          <w:iCs/>
          <w:sz w:val="28"/>
          <w:szCs w:val="28"/>
          <w:lang w:val="ru-RU"/>
        </w:rPr>
        <w:t>.</w:t>
      </w:r>
    </w:p>
    <w:p w:rsidR="00907A1C" w:rsidRPr="000D4FA1" w:rsidRDefault="00907A1C" w:rsidP="00907A1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Значения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показывают самое высокое значение среди всех (1.28), при этом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отрицательные. Такая структура характерна для стран, где медицинские расходы значительно выше среднего, но экономическая база и финансирование образования остаются относительно низкими. Это может указывать на приоритетное внимание государственной медицине при недостаточной экономической устойчивости.</w:t>
      </w:r>
    </w:p>
    <w:p w:rsidR="00654996" w:rsidRPr="000D4FA1" w:rsidRDefault="00654996" w:rsidP="0065499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Интерпретационные выводы</w:t>
      </w:r>
    </w:p>
    <w:p w:rsidR="00654996" w:rsidRPr="000D4FA1" w:rsidRDefault="00ED5D01" w:rsidP="00ED5D01">
      <w:pPr>
        <w:pStyle w:val="a6"/>
        <w:spacing w:after="0" w:line="240" w:lineRule="auto"/>
        <w:ind w:left="0" w:firstLine="426"/>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654996" w:rsidRPr="000D4FA1">
        <w:rPr>
          <w:rFonts w:ascii="Times New Roman" w:hAnsi="Times New Roman" w:cs="Times New Roman"/>
          <w:sz w:val="28"/>
          <w:szCs w:val="28"/>
          <w:lang w:val="ru-RU"/>
        </w:rPr>
        <w:t>Начальные центры позволяют выделить четыре устойчивых профиля стран по модели человеческого потенциала.</w:t>
      </w:r>
    </w:p>
    <w:p w:rsidR="00654996" w:rsidRPr="006E660C" w:rsidRDefault="00ED5D01" w:rsidP="00ED5D01">
      <w:pPr>
        <w:pStyle w:val="a6"/>
        <w:spacing w:after="0" w:line="240" w:lineRule="auto"/>
        <w:ind w:left="0" w:firstLine="426"/>
        <w:jc w:val="both"/>
        <w:rPr>
          <w:rFonts w:ascii="Times New Roman" w:hAnsi="Times New Roman" w:cs="Times New Roman"/>
          <w:sz w:val="28"/>
          <w:szCs w:val="28"/>
          <w:lang w:val="kk-KZ"/>
        </w:rPr>
      </w:pPr>
      <w:r w:rsidRPr="000D4FA1">
        <w:rPr>
          <w:rFonts w:ascii="Times New Roman" w:hAnsi="Times New Roman" w:cs="Times New Roman"/>
          <w:sz w:val="28"/>
          <w:szCs w:val="28"/>
          <w:lang w:val="ru-RU"/>
        </w:rPr>
        <w:t xml:space="preserve">– </w:t>
      </w:r>
      <w:r w:rsidR="00654996" w:rsidRPr="000D4FA1">
        <w:rPr>
          <w:rFonts w:ascii="Times New Roman" w:hAnsi="Times New Roman" w:cs="Times New Roman"/>
          <w:sz w:val="28"/>
          <w:szCs w:val="28"/>
          <w:lang w:val="ru-RU"/>
        </w:rPr>
        <w:t xml:space="preserve">Наиболее сильные экономические и социальные </w:t>
      </w:r>
      <w:r w:rsidR="00654996" w:rsidRPr="006E660C">
        <w:rPr>
          <w:rFonts w:ascii="Times New Roman" w:hAnsi="Times New Roman" w:cs="Times New Roman"/>
          <w:sz w:val="28"/>
          <w:szCs w:val="28"/>
          <w:lang w:val="kk-KZ"/>
        </w:rPr>
        <w:t>позиции демонстрирует кластер 3, где высокие показатели всех трёх переменных создают синергетический эффект устойчивости.</w:t>
      </w:r>
    </w:p>
    <w:p w:rsidR="00654996" w:rsidRPr="006E660C" w:rsidRDefault="00ED5D01" w:rsidP="00ED5D01">
      <w:pPr>
        <w:pStyle w:val="a6"/>
        <w:spacing w:after="0" w:line="240" w:lineRule="auto"/>
        <w:ind w:left="0" w:firstLine="426"/>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 xml:space="preserve">– </w:t>
      </w:r>
      <w:r w:rsidR="00654996" w:rsidRPr="006E660C">
        <w:rPr>
          <w:rFonts w:ascii="Times New Roman" w:hAnsi="Times New Roman" w:cs="Times New Roman"/>
          <w:sz w:val="28"/>
          <w:szCs w:val="28"/>
          <w:lang w:val="kk-KZ"/>
        </w:rPr>
        <w:t>Кластер 1 фиксирует страны</w:t>
      </w:r>
      <w:r w:rsidR="007B767F" w:rsidRPr="006E660C">
        <w:rPr>
          <w:rFonts w:ascii="Times New Roman" w:hAnsi="Times New Roman" w:cs="Times New Roman"/>
          <w:sz w:val="28"/>
          <w:szCs w:val="28"/>
          <w:lang w:val="kk-KZ"/>
        </w:rPr>
        <w:t>–</w:t>
      </w:r>
      <w:r w:rsidR="00654996" w:rsidRPr="006E660C">
        <w:rPr>
          <w:rFonts w:ascii="Times New Roman" w:hAnsi="Times New Roman" w:cs="Times New Roman"/>
          <w:sz w:val="28"/>
          <w:szCs w:val="28"/>
          <w:lang w:val="kk-KZ"/>
        </w:rPr>
        <w:t>аутсайдеры, что важно для последующей разработки рекомендаций по поддержке человеческого капитала.</w:t>
      </w:r>
    </w:p>
    <w:p w:rsidR="00654996" w:rsidRPr="006E660C" w:rsidRDefault="00ED5D01" w:rsidP="00ED5D01">
      <w:pPr>
        <w:pStyle w:val="a6"/>
        <w:spacing w:after="0" w:line="240" w:lineRule="auto"/>
        <w:ind w:left="0" w:firstLine="426"/>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 xml:space="preserve">– </w:t>
      </w:r>
      <w:r w:rsidR="00654996" w:rsidRPr="006E660C">
        <w:rPr>
          <w:rFonts w:ascii="Times New Roman" w:hAnsi="Times New Roman" w:cs="Times New Roman"/>
          <w:sz w:val="28"/>
          <w:szCs w:val="28"/>
          <w:lang w:val="kk-KZ"/>
        </w:rPr>
        <w:t>Кластеры 2 и 4 отражают смешанные модели, что предполагает необходимость дифференцированной политики, направленной на сбалансирование образовательных и медицинских ресурсов.</w:t>
      </w:r>
    </w:p>
    <w:p w:rsidR="00F22554" w:rsidRPr="006E660C" w:rsidRDefault="00F22554" w:rsidP="00F22554">
      <w:pPr>
        <w:pStyle w:val="a6"/>
        <w:spacing w:after="0" w:line="240" w:lineRule="auto"/>
        <w:ind w:left="426"/>
        <w:jc w:val="both"/>
        <w:rPr>
          <w:rFonts w:ascii="Times New Roman" w:hAnsi="Times New Roman" w:cs="Times New Roman"/>
          <w:sz w:val="28"/>
          <w:szCs w:val="28"/>
          <w:lang w:val="kk-KZ"/>
        </w:rPr>
      </w:pPr>
    </w:p>
    <w:p w:rsidR="00907A1C" w:rsidRPr="006E660C" w:rsidRDefault="00567744" w:rsidP="00F136E9">
      <w:pPr>
        <w:spacing w:after="0" w:line="240" w:lineRule="auto"/>
        <w:ind w:firstLine="720"/>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 xml:space="preserve">Таблица </w:t>
      </w:r>
      <w:r w:rsidR="00241D60" w:rsidRPr="006E660C">
        <w:rPr>
          <w:rFonts w:ascii="Times New Roman" w:hAnsi="Times New Roman" w:cs="Times New Roman"/>
          <w:sz w:val="28"/>
          <w:szCs w:val="28"/>
          <w:lang w:val="kk-KZ"/>
        </w:rPr>
        <w:t>2</w:t>
      </w:r>
      <w:r w:rsidR="00D17049" w:rsidRPr="006E660C">
        <w:rPr>
          <w:rFonts w:ascii="Times New Roman" w:hAnsi="Times New Roman" w:cs="Times New Roman"/>
          <w:sz w:val="28"/>
          <w:szCs w:val="28"/>
          <w:lang w:val="kk-KZ"/>
        </w:rPr>
        <w:t>6</w:t>
      </w:r>
      <w:r w:rsidR="00ED5D01" w:rsidRPr="006E660C">
        <w:rPr>
          <w:rFonts w:ascii="Times New Roman" w:hAnsi="Times New Roman" w:cs="Times New Roman"/>
          <w:sz w:val="28"/>
          <w:szCs w:val="28"/>
          <w:lang w:val="kk-KZ"/>
        </w:rPr>
        <w:t xml:space="preserve"> –</w:t>
      </w:r>
      <w:r w:rsidRPr="006E660C">
        <w:rPr>
          <w:rFonts w:ascii="Times New Roman" w:hAnsi="Times New Roman" w:cs="Times New Roman"/>
          <w:sz w:val="28"/>
          <w:szCs w:val="28"/>
          <w:lang w:val="kk-KZ"/>
        </w:rPr>
        <w:t xml:space="preserve"> Хронология итераций алгоритма k</w:t>
      </w:r>
      <w:r w:rsidR="007B767F" w:rsidRPr="006E660C">
        <w:rPr>
          <w:rFonts w:ascii="Times New Roman" w:hAnsi="Times New Roman" w:cs="Times New Roman"/>
          <w:sz w:val="28"/>
          <w:szCs w:val="28"/>
          <w:lang w:val="kk-KZ"/>
        </w:rPr>
        <w:t>–</w:t>
      </w:r>
      <w:r w:rsidRPr="006E660C">
        <w:rPr>
          <w:rFonts w:ascii="Times New Roman" w:hAnsi="Times New Roman" w:cs="Times New Roman"/>
          <w:sz w:val="28"/>
          <w:szCs w:val="28"/>
          <w:lang w:val="kk-KZ"/>
        </w:rPr>
        <w:t>means</w:t>
      </w:r>
    </w:p>
    <w:p w:rsidR="00F22554" w:rsidRPr="006E660C" w:rsidRDefault="00F22554" w:rsidP="00F136E9">
      <w:pPr>
        <w:spacing w:after="0" w:line="240" w:lineRule="auto"/>
        <w:ind w:firstLine="720"/>
        <w:jc w:val="both"/>
        <w:rPr>
          <w:rFonts w:ascii="Times New Roman" w:hAnsi="Times New Roman" w:cs="Times New Roman"/>
          <w:sz w:val="28"/>
          <w:szCs w:val="28"/>
          <w:lang w:val="kk-KZ"/>
        </w:rPr>
      </w:pPr>
    </w:p>
    <w:tbl>
      <w:tblPr>
        <w:tblW w:w="9747" w:type="dxa"/>
        <w:tblLook w:val="04A0"/>
      </w:tblPr>
      <w:tblGrid>
        <w:gridCol w:w="2220"/>
        <w:gridCol w:w="1693"/>
        <w:gridCol w:w="1789"/>
        <w:gridCol w:w="1789"/>
        <w:gridCol w:w="2256"/>
      </w:tblGrid>
      <w:tr w:rsidR="00FD0FB3" w:rsidRPr="006E660C" w:rsidTr="00ED5D01">
        <w:trPr>
          <w:trHeight w:val="315"/>
        </w:trPr>
        <w:tc>
          <w:tcPr>
            <w:tcW w:w="2220" w:type="dxa"/>
            <w:vMerge w:val="restart"/>
            <w:tcBorders>
              <w:top w:val="single" w:sz="4" w:space="0" w:color="auto"/>
              <w:left w:val="single" w:sz="4" w:space="0" w:color="auto"/>
              <w:bottom w:val="single" w:sz="4" w:space="0" w:color="auto"/>
              <w:right w:val="single" w:sz="4" w:space="0" w:color="auto"/>
            </w:tcBorders>
            <w:vAlign w:val="bottom"/>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Итерация</w:t>
            </w:r>
          </w:p>
        </w:tc>
        <w:tc>
          <w:tcPr>
            <w:tcW w:w="7527" w:type="dxa"/>
            <w:gridSpan w:val="4"/>
            <w:tcBorders>
              <w:top w:val="single" w:sz="4" w:space="0" w:color="auto"/>
              <w:left w:val="nil"/>
              <w:bottom w:val="single" w:sz="4" w:space="0" w:color="auto"/>
              <w:right w:val="single" w:sz="4" w:space="0" w:color="auto"/>
            </w:tcBorders>
            <w:vAlign w:val="bottom"/>
            <w:hideMark/>
          </w:tcPr>
          <w:p w:rsidR="00FD0FB3" w:rsidRPr="006E660C" w:rsidRDefault="00FD0FB3" w:rsidP="00FD0FB3">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Изменение центров кластеров</w:t>
            </w:r>
          </w:p>
        </w:tc>
      </w:tr>
      <w:tr w:rsidR="00FD0FB3" w:rsidRPr="006E660C" w:rsidTr="00ED5D01">
        <w:trPr>
          <w:trHeight w:val="315"/>
        </w:trPr>
        <w:tc>
          <w:tcPr>
            <w:tcW w:w="2220" w:type="dxa"/>
            <w:vMerge/>
            <w:tcBorders>
              <w:top w:val="single" w:sz="4" w:space="0" w:color="auto"/>
              <w:left w:val="single" w:sz="4" w:space="0" w:color="auto"/>
              <w:bottom w:val="single" w:sz="4" w:space="0" w:color="auto"/>
              <w:right w:val="single" w:sz="4" w:space="0" w:color="auto"/>
            </w:tcBorders>
            <w:vAlign w:val="center"/>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p>
        </w:tc>
        <w:tc>
          <w:tcPr>
            <w:tcW w:w="1693" w:type="dxa"/>
            <w:tcBorders>
              <w:top w:val="nil"/>
              <w:left w:val="nil"/>
              <w:bottom w:val="single" w:sz="4" w:space="0" w:color="auto"/>
              <w:right w:val="single" w:sz="4" w:space="0" w:color="auto"/>
            </w:tcBorders>
            <w:noWrap/>
            <w:vAlign w:val="bottom"/>
            <w:hideMark/>
          </w:tcPr>
          <w:p w:rsidR="00FD0FB3" w:rsidRPr="006E660C" w:rsidRDefault="00FD0FB3" w:rsidP="00FD0FB3">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1789" w:type="dxa"/>
            <w:tcBorders>
              <w:top w:val="nil"/>
              <w:left w:val="nil"/>
              <w:bottom w:val="single" w:sz="4" w:space="0" w:color="auto"/>
              <w:right w:val="single" w:sz="4" w:space="0" w:color="auto"/>
            </w:tcBorders>
            <w:noWrap/>
            <w:vAlign w:val="bottom"/>
            <w:hideMark/>
          </w:tcPr>
          <w:p w:rsidR="00FD0FB3" w:rsidRPr="006E660C" w:rsidRDefault="00FD0FB3" w:rsidP="00FD0FB3">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2</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 xml:space="preserve"> Кластер</w:t>
            </w:r>
          </w:p>
        </w:tc>
        <w:tc>
          <w:tcPr>
            <w:tcW w:w="1789" w:type="dxa"/>
            <w:tcBorders>
              <w:top w:val="nil"/>
              <w:left w:val="nil"/>
              <w:bottom w:val="single" w:sz="4" w:space="0" w:color="auto"/>
              <w:right w:val="single" w:sz="4" w:space="0" w:color="auto"/>
            </w:tcBorders>
            <w:noWrap/>
            <w:vAlign w:val="bottom"/>
            <w:hideMark/>
          </w:tcPr>
          <w:p w:rsidR="00FD0FB3" w:rsidRPr="006E660C" w:rsidRDefault="00FD0FB3" w:rsidP="00FD0FB3">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3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2256" w:type="dxa"/>
            <w:tcBorders>
              <w:top w:val="nil"/>
              <w:left w:val="nil"/>
              <w:bottom w:val="single" w:sz="4" w:space="0" w:color="auto"/>
              <w:right w:val="single" w:sz="4" w:space="0" w:color="auto"/>
            </w:tcBorders>
            <w:noWrap/>
            <w:vAlign w:val="bottom"/>
            <w:hideMark/>
          </w:tcPr>
          <w:p w:rsidR="00FD0FB3" w:rsidRPr="006E660C" w:rsidRDefault="00FD0FB3" w:rsidP="00FD0FB3">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4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r>
      <w:tr w:rsidR="00FD0FB3" w:rsidRPr="006E660C" w:rsidTr="00ED5D01">
        <w:trPr>
          <w:trHeight w:val="315"/>
        </w:trPr>
        <w:tc>
          <w:tcPr>
            <w:tcW w:w="2220" w:type="dxa"/>
            <w:tcBorders>
              <w:top w:val="nil"/>
              <w:left w:val="single" w:sz="4" w:space="0" w:color="auto"/>
              <w:bottom w:val="single" w:sz="4" w:space="0" w:color="auto"/>
              <w:right w:val="single" w:sz="4" w:space="0" w:color="auto"/>
            </w:tcBorders>
            <w:noWrap/>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w:t>
            </w:r>
          </w:p>
        </w:tc>
        <w:tc>
          <w:tcPr>
            <w:tcW w:w="1693"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0.674</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0.559</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0.451</w:t>
            </w:r>
          </w:p>
        </w:tc>
        <w:tc>
          <w:tcPr>
            <w:tcW w:w="2256"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0.706</w:t>
            </w:r>
          </w:p>
        </w:tc>
      </w:tr>
      <w:tr w:rsidR="00FD0FB3" w:rsidRPr="006E660C" w:rsidTr="00ED5D01">
        <w:trPr>
          <w:trHeight w:val="315"/>
        </w:trPr>
        <w:tc>
          <w:tcPr>
            <w:tcW w:w="2220" w:type="dxa"/>
            <w:tcBorders>
              <w:top w:val="nil"/>
              <w:left w:val="single" w:sz="4" w:space="0" w:color="auto"/>
              <w:bottom w:val="single" w:sz="4" w:space="0" w:color="auto"/>
              <w:right w:val="single" w:sz="4" w:space="0" w:color="auto"/>
            </w:tcBorders>
            <w:noWrap/>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2</w:t>
            </w:r>
          </w:p>
        </w:tc>
        <w:tc>
          <w:tcPr>
            <w:tcW w:w="1693"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0.094</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0.068</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0.182</w:t>
            </w:r>
          </w:p>
        </w:tc>
        <w:tc>
          <w:tcPr>
            <w:tcW w:w="2256"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0.197</w:t>
            </w:r>
          </w:p>
        </w:tc>
      </w:tr>
      <w:tr w:rsidR="00FD0FB3" w:rsidRPr="006E660C" w:rsidTr="00ED5D01">
        <w:trPr>
          <w:trHeight w:val="315"/>
        </w:trPr>
        <w:tc>
          <w:tcPr>
            <w:tcW w:w="2220" w:type="dxa"/>
            <w:tcBorders>
              <w:top w:val="nil"/>
              <w:left w:val="single" w:sz="4" w:space="0" w:color="auto"/>
              <w:bottom w:val="single" w:sz="4" w:space="0" w:color="auto"/>
              <w:right w:val="single" w:sz="4" w:space="0" w:color="auto"/>
            </w:tcBorders>
            <w:noWrap/>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3</w:t>
            </w:r>
          </w:p>
        </w:tc>
        <w:tc>
          <w:tcPr>
            <w:tcW w:w="1693"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0.000</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0.000</w:t>
            </w:r>
          </w:p>
        </w:tc>
        <w:tc>
          <w:tcPr>
            <w:tcW w:w="1789"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0.000</w:t>
            </w:r>
          </w:p>
        </w:tc>
        <w:tc>
          <w:tcPr>
            <w:tcW w:w="2256" w:type="dxa"/>
            <w:tcBorders>
              <w:top w:val="nil"/>
              <w:left w:val="nil"/>
              <w:bottom w:val="single" w:sz="4" w:space="0" w:color="auto"/>
              <w:right w:val="single" w:sz="4" w:space="0" w:color="auto"/>
            </w:tcBorders>
            <w:shd w:val="clear" w:color="000000" w:fill="FFFFFF"/>
            <w:noWrap/>
            <w:hideMark/>
          </w:tcPr>
          <w:p w:rsidR="00FD0FB3" w:rsidRPr="006E660C" w:rsidRDefault="00FD0FB3" w:rsidP="00FD0FB3">
            <w:pPr>
              <w:spacing w:after="0" w:line="240" w:lineRule="auto"/>
              <w:jc w:val="right"/>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0.000</w:t>
            </w:r>
          </w:p>
        </w:tc>
      </w:tr>
      <w:tr w:rsidR="00FD0FB3" w:rsidRPr="0036668B" w:rsidTr="00ED5D01">
        <w:trPr>
          <w:trHeight w:val="315"/>
        </w:trPr>
        <w:tc>
          <w:tcPr>
            <w:tcW w:w="9747" w:type="dxa"/>
            <w:gridSpan w:val="5"/>
            <w:tcBorders>
              <w:top w:val="single" w:sz="4" w:space="0" w:color="auto"/>
              <w:left w:val="single" w:sz="4" w:space="0" w:color="auto"/>
              <w:bottom w:val="single" w:sz="4" w:space="0" w:color="auto"/>
              <w:right w:val="single" w:sz="4" w:space="0" w:color="auto"/>
            </w:tcBorders>
            <w:hideMark/>
          </w:tcPr>
          <w:p w:rsidR="00FD0FB3" w:rsidRPr="006E660C" w:rsidRDefault="00FD0FB3" w:rsidP="00FD0FB3">
            <w:pPr>
              <w:spacing w:after="0" w:line="240" w:lineRule="auto"/>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Сходимость достигнута благодаря небольшому изменению центров кластеров или без него. Максимальное изменение абсолютной координаты для любого центра: ,000. Текущая итерация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 xml:space="preserve"> 3. Минимальное расстояние между начальными центрами: 1,787.</w:t>
            </w:r>
          </w:p>
        </w:tc>
      </w:tr>
    </w:tbl>
    <w:p w:rsidR="00241D60" w:rsidRPr="006E660C" w:rsidRDefault="00241D60" w:rsidP="00111384">
      <w:pPr>
        <w:spacing w:after="0" w:line="240" w:lineRule="auto"/>
        <w:ind w:firstLine="720"/>
        <w:jc w:val="both"/>
        <w:rPr>
          <w:rFonts w:ascii="Times New Roman" w:hAnsi="Times New Roman" w:cs="Times New Roman"/>
          <w:sz w:val="28"/>
          <w:szCs w:val="28"/>
          <w:lang w:val="kk-KZ"/>
        </w:rPr>
      </w:pPr>
    </w:p>
    <w:p w:rsidR="00111384" w:rsidRPr="006E660C" w:rsidRDefault="00111384" w:rsidP="00111384">
      <w:pPr>
        <w:spacing w:after="0" w:line="240" w:lineRule="auto"/>
        <w:ind w:firstLine="720"/>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 xml:space="preserve">Данные таблицы </w:t>
      </w:r>
      <w:r w:rsidR="00241D60" w:rsidRPr="006E660C">
        <w:rPr>
          <w:rFonts w:ascii="Times New Roman" w:hAnsi="Times New Roman" w:cs="Times New Roman"/>
          <w:sz w:val="28"/>
          <w:szCs w:val="28"/>
          <w:lang w:val="kk-KZ"/>
        </w:rPr>
        <w:t>2</w:t>
      </w:r>
      <w:r w:rsidR="00D17049" w:rsidRPr="006E660C">
        <w:rPr>
          <w:rFonts w:ascii="Times New Roman" w:hAnsi="Times New Roman" w:cs="Times New Roman"/>
          <w:sz w:val="28"/>
          <w:szCs w:val="28"/>
          <w:lang w:val="kk-KZ"/>
        </w:rPr>
        <w:t>6</w:t>
      </w:r>
      <w:r w:rsidR="00241D60" w:rsidRPr="006E660C">
        <w:rPr>
          <w:rFonts w:ascii="Times New Roman" w:hAnsi="Times New Roman" w:cs="Times New Roman"/>
          <w:sz w:val="28"/>
          <w:szCs w:val="28"/>
          <w:lang w:val="kk-KZ"/>
        </w:rPr>
        <w:t xml:space="preserve"> </w:t>
      </w:r>
      <w:r w:rsidRPr="006E660C">
        <w:rPr>
          <w:rFonts w:ascii="Times New Roman" w:hAnsi="Times New Roman" w:cs="Times New Roman"/>
          <w:sz w:val="28"/>
          <w:szCs w:val="28"/>
          <w:lang w:val="kk-KZ"/>
        </w:rPr>
        <w:t>отражают динамику изменения центров кластеров в процессе работы алгоритма k</w:t>
      </w:r>
      <w:r w:rsidR="007B767F" w:rsidRPr="006E660C">
        <w:rPr>
          <w:rFonts w:ascii="Times New Roman" w:hAnsi="Times New Roman" w:cs="Times New Roman"/>
          <w:sz w:val="28"/>
          <w:szCs w:val="28"/>
          <w:lang w:val="kk-KZ"/>
        </w:rPr>
        <w:t>–</w:t>
      </w:r>
      <w:r w:rsidRPr="006E660C">
        <w:rPr>
          <w:rFonts w:ascii="Times New Roman" w:hAnsi="Times New Roman" w:cs="Times New Roman"/>
          <w:sz w:val="28"/>
          <w:szCs w:val="28"/>
          <w:lang w:val="kk-KZ"/>
        </w:rPr>
        <w:t xml:space="preserve">means. На первой итерации наблюдаются наибольшие корректировки координат центров (от 0,451 до 0,706), что является </w:t>
      </w:r>
      <w:r w:rsidRPr="006E660C">
        <w:rPr>
          <w:rFonts w:ascii="Times New Roman" w:hAnsi="Times New Roman" w:cs="Times New Roman"/>
          <w:sz w:val="28"/>
          <w:szCs w:val="28"/>
          <w:lang w:val="kk-KZ"/>
        </w:rPr>
        <w:lastRenderedPageBreak/>
        <w:t>типичным для начального этапа, когда алгоритм осуществляет первичное перераспределение стран между кластерами на основе минимизации суммы квадратов расстояний. На второй итерации значения изменений существенно снижаются (до диапазона 0,068–0,197), что указывает на стабилизацию структуры кластеров и приближение центров к оптимальным позициям.</w:t>
      </w:r>
    </w:p>
    <w:p w:rsidR="00111384" w:rsidRPr="006E660C" w:rsidRDefault="00111384" w:rsidP="00111384">
      <w:pPr>
        <w:spacing w:after="0" w:line="240" w:lineRule="auto"/>
        <w:ind w:firstLine="720"/>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На третьей итерации все значения изменений равны нулю, то есть центры кластеров перестали смещаться. Это означает, что алгоритм достиг состояния устойчивого равновесия, а итоговое кластерное решение является стабильным и не зависит от дальнейших пересчётов. Быстрая сходимость (всего за три итерации) свидетельствует о чёткой группировке стран по исследуемым переменным и отсутствии выраженных перекрытий между кластерами, что подтверждает корректность стандартизации данных и выбранного числа кластеров.</w:t>
      </w:r>
    </w:p>
    <w:p w:rsidR="00111384" w:rsidRPr="006E660C" w:rsidRDefault="00111384" w:rsidP="00111384">
      <w:pPr>
        <w:spacing w:after="0" w:line="240" w:lineRule="auto"/>
        <w:ind w:firstLine="720"/>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Полученная хронология итераций демонстрирует надёжность результатов кластеризации и пригодность их для дальнейшей интерпретации при формировании кластерного профиля стран на основе детерминант человеческого потенциала и устойчивости организаций ТиПО.</w:t>
      </w:r>
    </w:p>
    <w:p w:rsidR="00ED5D01" w:rsidRPr="006E660C" w:rsidRDefault="00ED5D01" w:rsidP="00660FEC">
      <w:pPr>
        <w:tabs>
          <w:tab w:val="left" w:pos="1718"/>
        </w:tabs>
        <w:spacing w:after="0" w:line="240" w:lineRule="auto"/>
        <w:ind w:firstLine="720"/>
        <w:jc w:val="both"/>
        <w:rPr>
          <w:rFonts w:ascii="Times New Roman" w:hAnsi="Times New Roman" w:cs="Times New Roman"/>
          <w:sz w:val="28"/>
          <w:szCs w:val="28"/>
          <w:lang w:val="kk-KZ"/>
        </w:rPr>
      </w:pPr>
    </w:p>
    <w:p w:rsidR="00E54F9A" w:rsidRPr="006E660C" w:rsidRDefault="00660FEC" w:rsidP="00660FEC">
      <w:pPr>
        <w:tabs>
          <w:tab w:val="left" w:pos="1718"/>
        </w:tabs>
        <w:spacing w:after="0" w:line="240" w:lineRule="auto"/>
        <w:ind w:firstLine="720"/>
        <w:jc w:val="both"/>
        <w:rPr>
          <w:rFonts w:ascii="Times New Roman" w:hAnsi="Times New Roman" w:cs="Times New Roman"/>
          <w:sz w:val="28"/>
          <w:szCs w:val="28"/>
          <w:lang w:val="kk-KZ"/>
        </w:rPr>
      </w:pPr>
      <w:r w:rsidRPr="006E660C">
        <w:rPr>
          <w:rFonts w:ascii="Times New Roman" w:hAnsi="Times New Roman" w:cs="Times New Roman"/>
          <w:sz w:val="28"/>
          <w:szCs w:val="28"/>
          <w:lang w:val="kk-KZ"/>
        </w:rPr>
        <w:t xml:space="preserve">Таблица </w:t>
      </w:r>
      <w:r w:rsidR="00241D60" w:rsidRPr="006E660C">
        <w:rPr>
          <w:rFonts w:ascii="Times New Roman" w:hAnsi="Times New Roman" w:cs="Times New Roman"/>
          <w:sz w:val="28"/>
          <w:szCs w:val="28"/>
          <w:lang w:val="kk-KZ"/>
        </w:rPr>
        <w:t>2</w:t>
      </w:r>
      <w:r w:rsidR="00D17049" w:rsidRPr="006E660C">
        <w:rPr>
          <w:rFonts w:ascii="Times New Roman" w:hAnsi="Times New Roman" w:cs="Times New Roman"/>
          <w:sz w:val="28"/>
          <w:szCs w:val="28"/>
          <w:lang w:val="kk-KZ"/>
        </w:rPr>
        <w:t>7</w:t>
      </w:r>
      <w:r w:rsidR="00BD7556" w:rsidRPr="006E660C">
        <w:rPr>
          <w:rFonts w:ascii="Times New Roman" w:hAnsi="Times New Roman" w:cs="Times New Roman"/>
          <w:sz w:val="28"/>
          <w:szCs w:val="28"/>
          <w:lang w:val="kk-KZ"/>
        </w:rPr>
        <w:t xml:space="preserve"> </w:t>
      </w:r>
      <w:r w:rsidR="00ED5D01" w:rsidRPr="006E660C">
        <w:rPr>
          <w:rFonts w:ascii="Times New Roman" w:hAnsi="Times New Roman" w:cs="Times New Roman"/>
          <w:sz w:val="28"/>
          <w:szCs w:val="28"/>
          <w:lang w:val="kk-KZ"/>
        </w:rPr>
        <w:t xml:space="preserve">– </w:t>
      </w:r>
      <w:r w:rsidRPr="006E660C">
        <w:rPr>
          <w:rFonts w:ascii="Times New Roman" w:hAnsi="Times New Roman" w:cs="Times New Roman"/>
          <w:sz w:val="28"/>
          <w:szCs w:val="28"/>
          <w:lang w:val="kk-KZ"/>
        </w:rPr>
        <w:t>Конечные центры кластеров по результатам кластерного анализа методом k</w:t>
      </w:r>
      <w:r w:rsidR="007B767F" w:rsidRPr="006E660C">
        <w:rPr>
          <w:rFonts w:ascii="Times New Roman" w:hAnsi="Times New Roman" w:cs="Times New Roman"/>
          <w:sz w:val="28"/>
          <w:szCs w:val="28"/>
          <w:lang w:val="kk-KZ"/>
        </w:rPr>
        <w:t>–</w:t>
      </w:r>
      <w:r w:rsidRPr="006E660C">
        <w:rPr>
          <w:rFonts w:ascii="Times New Roman" w:hAnsi="Times New Roman" w:cs="Times New Roman"/>
          <w:sz w:val="28"/>
          <w:szCs w:val="28"/>
          <w:lang w:val="kk-KZ"/>
        </w:rPr>
        <w:t>means</w:t>
      </w:r>
    </w:p>
    <w:tbl>
      <w:tblPr>
        <w:tblW w:w="9280" w:type="dxa"/>
        <w:tblLook w:val="04A0"/>
      </w:tblPr>
      <w:tblGrid>
        <w:gridCol w:w="2220"/>
        <w:gridCol w:w="1693"/>
        <w:gridCol w:w="1789"/>
        <w:gridCol w:w="1789"/>
        <w:gridCol w:w="1789"/>
      </w:tblGrid>
      <w:tr w:rsidR="00E54F9A" w:rsidRPr="006E660C" w:rsidTr="00E54F9A">
        <w:trPr>
          <w:trHeight w:val="315"/>
        </w:trPr>
        <w:tc>
          <w:tcPr>
            <w:tcW w:w="2220" w:type="dxa"/>
            <w:tcBorders>
              <w:top w:val="single" w:sz="4" w:space="0" w:color="auto"/>
              <w:left w:val="single" w:sz="4" w:space="0" w:color="auto"/>
              <w:bottom w:val="single" w:sz="4" w:space="0" w:color="auto"/>
              <w:right w:val="single" w:sz="4" w:space="0" w:color="auto"/>
            </w:tcBorders>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w:t>
            </w:r>
          </w:p>
        </w:tc>
        <w:tc>
          <w:tcPr>
            <w:tcW w:w="7060" w:type="dxa"/>
            <w:gridSpan w:val="4"/>
            <w:tcBorders>
              <w:top w:val="single" w:sz="4" w:space="0" w:color="auto"/>
              <w:left w:val="nil"/>
              <w:bottom w:val="single" w:sz="4" w:space="0" w:color="auto"/>
              <w:right w:val="single" w:sz="4" w:space="0" w:color="auto"/>
            </w:tcBorders>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Кластер</w:t>
            </w:r>
          </w:p>
        </w:tc>
      </w:tr>
      <w:tr w:rsidR="00E54F9A" w:rsidRPr="006E660C" w:rsidTr="00E54F9A">
        <w:trPr>
          <w:trHeight w:val="315"/>
        </w:trPr>
        <w:tc>
          <w:tcPr>
            <w:tcW w:w="2220" w:type="dxa"/>
            <w:tcBorders>
              <w:top w:val="nil"/>
              <w:left w:val="single" w:sz="4" w:space="0" w:color="auto"/>
              <w:bottom w:val="single" w:sz="4" w:space="0" w:color="auto"/>
              <w:right w:val="single" w:sz="4" w:space="0" w:color="auto"/>
            </w:tcBorders>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w:t>
            </w:r>
          </w:p>
        </w:tc>
        <w:tc>
          <w:tcPr>
            <w:tcW w:w="1693" w:type="dxa"/>
            <w:tcBorders>
              <w:top w:val="nil"/>
              <w:left w:val="nil"/>
              <w:bottom w:val="single" w:sz="4" w:space="0" w:color="auto"/>
              <w:right w:val="single" w:sz="4" w:space="0" w:color="auto"/>
            </w:tcBorders>
            <w:noWrap/>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1789" w:type="dxa"/>
            <w:tcBorders>
              <w:top w:val="nil"/>
              <w:left w:val="nil"/>
              <w:bottom w:val="single" w:sz="4" w:space="0" w:color="auto"/>
              <w:right w:val="single" w:sz="4" w:space="0" w:color="auto"/>
            </w:tcBorders>
            <w:noWrap/>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2</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 xml:space="preserve"> Кластер</w:t>
            </w:r>
          </w:p>
        </w:tc>
        <w:tc>
          <w:tcPr>
            <w:tcW w:w="1789" w:type="dxa"/>
            <w:tcBorders>
              <w:top w:val="nil"/>
              <w:left w:val="nil"/>
              <w:bottom w:val="single" w:sz="4" w:space="0" w:color="auto"/>
              <w:right w:val="single" w:sz="4" w:space="0" w:color="auto"/>
            </w:tcBorders>
            <w:noWrap/>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3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c>
          <w:tcPr>
            <w:tcW w:w="1789" w:type="dxa"/>
            <w:tcBorders>
              <w:top w:val="nil"/>
              <w:left w:val="nil"/>
              <w:bottom w:val="single" w:sz="4" w:space="0" w:color="auto"/>
              <w:right w:val="single" w:sz="4" w:space="0" w:color="auto"/>
            </w:tcBorders>
            <w:noWrap/>
            <w:vAlign w:val="bottom"/>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 xml:space="preserve">4 </w:t>
            </w:r>
            <w:r w:rsidR="007B767F" w:rsidRPr="006E660C">
              <w:rPr>
                <w:rFonts w:ascii="Times New Roman" w:eastAsia="Times New Roman" w:hAnsi="Times New Roman" w:cs="Times New Roman"/>
                <w:color w:val="000000"/>
                <w:sz w:val="24"/>
                <w:szCs w:val="24"/>
                <w:lang w:val="kk-KZ"/>
              </w:rPr>
              <w:t>–</w:t>
            </w:r>
            <w:r w:rsidRPr="006E660C">
              <w:rPr>
                <w:rFonts w:ascii="Times New Roman" w:eastAsia="Times New Roman" w:hAnsi="Times New Roman" w:cs="Times New Roman"/>
                <w:color w:val="000000"/>
                <w:sz w:val="24"/>
                <w:szCs w:val="24"/>
                <w:lang w:val="kk-KZ"/>
              </w:rPr>
              <w:t>Кластер</w:t>
            </w:r>
          </w:p>
        </w:tc>
      </w:tr>
      <w:tr w:rsidR="00E54F9A" w:rsidRPr="006E660C" w:rsidTr="00E54F9A">
        <w:trPr>
          <w:trHeight w:val="420"/>
        </w:trPr>
        <w:tc>
          <w:tcPr>
            <w:tcW w:w="2220" w:type="dxa"/>
            <w:tcBorders>
              <w:top w:val="nil"/>
              <w:left w:val="single" w:sz="4" w:space="0" w:color="auto"/>
              <w:bottom w:val="single" w:sz="4" w:space="0" w:color="auto"/>
              <w:right w:val="single" w:sz="4" w:space="0" w:color="auto"/>
            </w:tcBorders>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Zscore(GDP_pc)</w:t>
            </w:r>
          </w:p>
        </w:tc>
        <w:tc>
          <w:tcPr>
            <w:tcW w:w="1693"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0.50643</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0.20502</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0.04347</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0.43762</w:t>
            </w:r>
          </w:p>
        </w:tc>
      </w:tr>
      <w:tr w:rsidR="00E54F9A" w:rsidRPr="006E660C" w:rsidTr="00E54F9A">
        <w:trPr>
          <w:trHeight w:val="465"/>
        </w:trPr>
        <w:tc>
          <w:tcPr>
            <w:tcW w:w="2220" w:type="dxa"/>
            <w:tcBorders>
              <w:top w:val="nil"/>
              <w:left w:val="single" w:sz="4" w:space="0" w:color="auto"/>
              <w:bottom w:val="single" w:sz="4" w:space="0" w:color="auto"/>
              <w:right w:val="single" w:sz="4" w:space="0" w:color="auto"/>
            </w:tcBorders>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Zscore(FB_sub)</w:t>
            </w:r>
          </w:p>
        </w:tc>
        <w:tc>
          <w:tcPr>
            <w:tcW w:w="1693"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0.85673</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0.07037</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1.04176</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0.66131</w:t>
            </w:r>
          </w:p>
        </w:tc>
      </w:tr>
      <w:tr w:rsidR="00E54F9A" w:rsidRPr="006E660C" w:rsidTr="00E54F9A">
        <w:trPr>
          <w:trHeight w:val="450"/>
        </w:trPr>
        <w:tc>
          <w:tcPr>
            <w:tcW w:w="2220" w:type="dxa"/>
            <w:tcBorders>
              <w:top w:val="nil"/>
              <w:left w:val="single" w:sz="4" w:space="0" w:color="auto"/>
              <w:bottom w:val="single" w:sz="4" w:space="0" w:color="auto"/>
              <w:right w:val="single" w:sz="4" w:space="0" w:color="auto"/>
            </w:tcBorders>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Zscore(MB_sub)</w:t>
            </w:r>
          </w:p>
        </w:tc>
        <w:tc>
          <w:tcPr>
            <w:tcW w:w="1693"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0.89379</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7B767F"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w:t>
            </w:r>
            <w:r w:rsidR="00E54F9A" w:rsidRPr="006E660C">
              <w:rPr>
                <w:rFonts w:ascii="Times New Roman" w:eastAsia="Times New Roman" w:hAnsi="Times New Roman" w:cs="Times New Roman"/>
                <w:color w:val="000000"/>
                <w:sz w:val="24"/>
                <w:szCs w:val="24"/>
                <w:lang w:val="kk-KZ"/>
              </w:rPr>
              <w:t>0.08770</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0.53858</w:t>
            </w:r>
          </w:p>
        </w:tc>
        <w:tc>
          <w:tcPr>
            <w:tcW w:w="1789" w:type="dxa"/>
            <w:tcBorders>
              <w:top w:val="nil"/>
              <w:left w:val="nil"/>
              <w:bottom w:val="single" w:sz="4" w:space="0" w:color="auto"/>
              <w:right w:val="single" w:sz="4" w:space="0" w:color="auto"/>
            </w:tcBorders>
            <w:shd w:val="clear" w:color="000000" w:fill="FFFFFF"/>
            <w:noWrap/>
            <w:hideMark/>
          </w:tcPr>
          <w:p w:rsidR="00E54F9A" w:rsidRPr="006E660C" w:rsidRDefault="00E54F9A" w:rsidP="00E54F9A">
            <w:pPr>
              <w:spacing w:after="0" w:line="240" w:lineRule="auto"/>
              <w:jc w:val="center"/>
              <w:rPr>
                <w:rFonts w:ascii="Times New Roman" w:eastAsia="Times New Roman" w:hAnsi="Times New Roman" w:cs="Times New Roman"/>
                <w:color w:val="000000"/>
                <w:sz w:val="24"/>
                <w:szCs w:val="24"/>
                <w:lang w:val="kk-KZ"/>
              </w:rPr>
            </w:pPr>
            <w:r w:rsidRPr="006E660C">
              <w:rPr>
                <w:rFonts w:ascii="Times New Roman" w:eastAsia="Times New Roman" w:hAnsi="Times New Roman" w:cs="Times New Roman"/>
                <w:color w:val="000000"/>
                <w:sz w:val="24"/>
                <w:szCs w:val="24"/>
                <w:lang w:val="kk-KZ"/>
              </w:rPr>
              <w:t>0.42104</w:t>
            </w:r>
          </w:p>
        </w:tc>
      </w:tr>
    </w:tbl>
    <w:p w:rsidR="00F136E9" w:rsidRPr="006E660C" w:rsidRDefault="00F136E9" w:rsidP="00F136E9">
      <w:pPr>
        <w:spacing w:after="0" w:line="240" w:lineRule="auto"/>
        <w:ind w:firstLine="720"/>
        <w:jc w:val="both"/>
        <w:rPr>
          <w:rFonts w:ascii="Times New Roman" w:hAnsi="Times New Roman" w:cs="Times New Roman"/>
          <w:sz w:val="28"/>
          <w:szCs w:val="28"/>
          <w:lang w:val="kk-KZ"/>
        </w:rPr>
      </w:pPr>
    </w:p>
    <w:p w:rsidR="00786371" w:rsidRPr="000D4FA1" w:rsidRDefault="00786371" w:rsidP="00786371">
      <w:pPr>
        <w:spacing w:after="0" w:line="240" w:lineRule="auto"/>
        <w:ind w:firstLine="720"/>
        <w:jc w:val="both"/>
        <w:rPr>
          <w:rFonts w:ascii="Times New Roman" w:hAnsi="Times New Roman" w:cs="Times New Roman"/>
          <w:sz w:val="28"/>
          <w:szCs w:val="28"/>
          <w:lang w:val="ru-RU"/>
        </w:rPr>
      </w:pPr>
      <w:r w:rsidRPr="006E660C">
        <w:rPr>
          <w:rFonts w:ascii="Times New Roman" w:hAnsi="Times New Roman" w:cs="Times New Roman"/>
          <w:sz w:val="28"/>
          <w:szCs w:val="28"/>
          <w:lang w:val="kk-KZ"/>
        </w:rPr>
        <w:t>Полученные конечные центры кластеров демонстрируют устойчивую дифференциацию</w:t>
      </w:r>
      <w:r w:rsidRPr="000D4FA1">
        <w:rPr>
          <w:rFonts w:ascii="Times New Roman" w:hAnsi="Times New Roman" w:cs="Times New Roman"/>
          <w:sz w:val="28"/>
          <w:szCs w:val="28"/>
          <w:lang w:val="ru-RU"/>
        </w:rPr>
        <w:t xml:space="preserve"> стран по трём ключевым детерминантам устойчивости системы ТиПО: уровню экономического развития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финансовой обеспеченности образования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и состоянию материально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технической базы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w:t>
      </w:r>
    </w:p>
    <w:p w:rsidR="00786371" w:rsidRPr="000D4FA1" w:rsidRDefault="00786371"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1</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й кластер характеризуется отрицательными значениями по всем переменным, что отражает совокупность стран с относительно низким уровнем экономического развития и ограниченными ресурсами образовательной инфраструктуры. </w:t>
      </w:r>
    </w:p>
    <w:p w:rsidR="00786371" w:rsidRPr="000D4FA1" w:rsidRDefault="00786371"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2</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й кластер имеет умеренные отрицательные значения, что указывает на страны со средним уровнем развития, демонстрирующие сбалансированные, но пока недостаточные показатели финансовой и материальной обеспеченности. </w:t>
      </w:r>
    </w:p>
    <w:p w:rsidR="00786371" w:rsidRPr="000D4FA1" w:rsidRDefault="00786371"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3</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й кластер является наиболее сильным: положительные значения по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и слабонегативные по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подтверждают, что сюда вошли страны с развитой системой образования, высоким уровнем инвестиционной активности, модернизированной материальной базой и высоким качеством человеческого потенциала. </w:t>
      </w:r>
    </w:p>
    <w:p w:rsidR="00786371" w:rsidRPr="000D4FA1" w:rsidRDefault="00786371"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lastRenderedPageBreak/>
        <w:t>4</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й кластер занимает промежуточную позицию: отрицательные значения по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но положительное значение по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указывают на страны, которые активно модернизируют инфраструктуру, несмотря на ограниченные финансовые ресурсы и средний уровень экономического развития. </w:t>
      </w:r>
    </w:p>
    <w:p w:rsidR="00963698" w:rsidRPr="000D4FA1" w:rsidRDefault="007F50FD" w:rsidP="0096369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noProof/>
          <w:sz w:val="28"/>
          <w:szCs w:val="28"/>
          <w:lang w:val="ru-RU" w:eastAsia="ru-RU"/>
        </w:rPr>
        <w:drawing>
          <wp:anchor distT="0" distB="0" distL="114300" distR="114300" simplePos="0" relativeHeight="251657728" behindDoc="1" locked="0" layoutInCell="1" allowOverlap="1">
            <wp:simplePos x="0" y="0"/>
            <wp:positionH relativeFrom="column">
              <wp:posOffset>91440</wp:posOffset>
            </wp:positionH>
            <wp:positionV relativeFrom="paragraph">
              <wp:posOffset>981710</wp:posOffset>
            </wp:positionV>
            <wp:extent cx="6057900" cy="3161030"/>
            <wp:effectExtent l="0" t="0" r="0" b="0"/>
            <wp:wrapTight wrapText="bothSides">
              <wp:wrapPolygon edited="0">
                <wp:start x="0" y="0"/>
                <wp:lineTo x="0" y="21479"/>
                <wp:lineTo x="21532" y="21479"/>
                <wp:lineTo x="21532" y="0"/>
                <wp:lineTo x="0" y="0"/>
              </wp:wrapPolygon>
            </wp:wrapTight>
            <wp:docPr id="15039120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57900" cy="3161030"/>
                    </a:xfrm>
                    <a:prstGeom prst="rect">
                      <a:avLst/>
                    </a:prstGeom>
                    <a:noFill/>
                  </pic:spPr>
                </pic:pic>
              </a:graphicData>
            </a:graphic>
          </wp:anchor>
        </w:drawing>
      </w:r>
      <w:r w:rsidR="00963698" w:rsidRPr="000D4FA1">
        <w:rPr>
          <w:rFonts w:ascii="Times New Roman" w:hAnsi="Times New Roman" w:cs="Times New Roman"/>
          <w:sz w:val="28"/>
          <w:szCs w:val="28"/>
          <w:lang w:val="ru-RU"/>
        </w:rPr>
        <w:t>В целом, структура кластеров отражает, что различия в устойчивости организаций ТиПО формируются под влиянием совокупности экономических и ресурсных факторов, а кластеризация позволяет выделить группы стран с разными траекториями развития человеческого потенциала.</w:t>
      </w:r>
    </w:p>
    <w:p w:rsidR="00963698" w:rsidRPr="000D4FA1" w:rsidRDefault="00963698" w:rsidP="00786371">
      <w:pPr>
        <w:spacing w:after="0" w:line="240" w:lineRule="auto"/>
        <w:ind w:firstLine="720"/>
        <w:jc w:val="both"/>
        <w:rPr>
          <w:rFonts w:ascii="Times New Roman" w:hAnsi="Times New Roman" w:cs="Times New Roman"/>
          <w:sz w:val="28"/>
          <w:szCs w:val="28"/>
          <w:lang w:val="ru-RU"/>
        </w:rPr>
      </w:pPr>
    </w:p>
    <w:p w:rsidR="007D184E" w:rsidRPr="000D4FA1" w:rsidRDefault="0031462A"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Рисунок </w:t>
      </w:r>
      <w:r w:rsidR="002B3956" w:rsidRPr="000D4FA1">
        <w:rPr>
          <w:rFonts w:ascii="Times New Roman" w:hAnsi="Times New Roman" w:cs="Times New Roman"/>
          <w:iCs/>
          <w:sz w:val="28"/>
          <w:szCs w:val="28"/>
          <w:lang w:val="ru-RU"/>
        </w:rPr>
        <w:t>2</w:t>
      </w:r>
      <w:r w:rsidR="00A00396">
        <w:rPr>
          <w:rFonts w:ascii="Times New Roman" w:hAnsi="Times New Roman" w:cs="Times New Roman"/>
          <w:iCs/>
          <w:sz w:val="28"/>
          <w:szCs w:val="28"/>
          <w:lang w:val="ru-RU"/>
        </w:rPr>
        <w:t>4</w:t>
      </w:r>
      <w:r w:rsidR="00ED5D01" w:rsidRPr="000D4FA1">
        <w:rPr>
          <w:rFonts w:ascii="Times New Roman" w:hAnsi="Times New Roman" w:cs="Times New Roman"/>
          <w:iCs/>
          <w:sz w:val="28"/>
          <w:szCs w:val="28"/>
          <w:lang w:val="ru-RU"/>
        </w:rPr>
        <w:t xml:space="preserve"> –</w:t>
      </w:r>
      <w:r w:rsidRPr="000D4FA1">
        <w:rPr>
          <w:rFonts w:ascii="Times New Roman" w:hAnsi="Times New Roman" w:cs="Times New Roman"/>
          <w:sz w:val="28"/>
          <w:szCs w:val="28"/>
          <w:lang w:val="ru-RU"/>
        </w:rPr>
        <w:t xml:space="preserve"> Профиль конечных центров кластеров по стандартизированным показателям (</w:t>
      </w:r>
      <w:r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оценкам)</w:t>
      </w:r>
    </w:p>
    <w:p w:rsidR="00A1792C" w:rsidRPr="000D4FA1" w:rsidRDefault="00A1792C" w:rsidP="00A1792C">
      <w:pPr>
        <w:spacing w:after="0" w:line="240" w:lineRule="auto"/>
        <w:ind w:firstLine="709"/>
        <w:jc w:val="both"/>
        <w:rPr>
          <w:rFonts w:ascii="Times New Roman" w:hAnsi="Times New Roman" w:cs="Times New Roman"/>
          <w:sz w:val="20"/>
          <w:szCs w:val="20"/>
          <w:lang w:val="ru-RU"/>
        </w:rPr>
      </w:pPr>
      <w:r w:rsidRPr="000D4FA1">
        <w:rPr>
          <w:rFonts w:ascii="Times New Roman" w:hAnsi="Times New Roman" w:cs="Times New Roman"/>
          <w:sz w:val="20"/>
          <w:szCs w:val="20"/>
          <w:lang w:val="ru-RU"/>
        </w:rPr>
        <w:t>Примечание</w:t>
      </w:r>
      <w:r w:rsidR="00ED5D01" w:rsidRPr="000D4FA1">
        <w:rPr>
          <w:rFonts w:ascii="Times New Roman" w:hAnsi="Times New Roman" w:cs="Times New Roman"/>
          <w:sz w:val="20"/>
          <w:szCs w:val="20"/>
          <w:lang w:val="ru-RU"/>
        </w:rPr>
        <w:t xml:space="preserve"> –</w:t>
      </w:r>
      <w:r w:rsidRPr="000D4FA1">
        <w:rPr>
          <w:rFonts w:ascii="Times New Roman" w:hAnsi="Times New Roman" w:cs="Times New Roman"/>
          <w:sz w:val="20"/>
          <w:szCs w:val="20"/>
          <w:lang w:val="ru-RU"/>
        </w:rPr>
        <w:t xml:space="preserve"> представлены усреднённые </w:t>
      </w:r>
      <w:r w:rsidRPr="000D4FA1">
        <w:rPr>
          <w:rFonts w:ascii="Times New Roman" w:hAnsi="Times New Roman" w:cs="Times New Roman"/>
          <w:sz w:val="20"/>
          <w:szCs w:val="20"/>
        </w:rPr>
        <w:t>Z</w:t>
      </w:r>
      <w:r w:rsidR="007B767F" w:rsidRPr="000D4FA1">
        <w:rPr>
          <w:rFonts w:ascii="Times New Roman" w:hAnsi="Times New Roman" w:cs="Times New Roman"/>
          <w:sz w:val="20"/>
          <w:szCs w:val="20"/>
          <w:lang w:val="ru-RU"/>
        </w:rPr>
        <w:t>–</w:t>
      </w:r>
      <w:r w:rsidRPr="000D4FA1">
        <w:rPr>
          <w:rFonts w:ascii="Times New Roman" w:hAnsi="Times New Roman" w:cs="Times New Roman"/>
          <w:sz w:val="20"/>
          <w:szCs w:val="20"/>
          <w:lang w:val="ru-RU"/>
        </w:rPr>
        <w:t xml:space="preserve">значения по каждому кластеру, полученные после финальной итерации алгоритма </w:t>
      </w:r>
      <w:r w:rsidRPr="000D4FA1">
        <w:rPr>
          <w:rFonts w:ascii="Times New Roman" w:hAnsi="Times New Roman" w:cs="Times New Roman"/>
          <w:i/>
          <w:iCs/>
          <w:sz w:val="20"/>
          <w:szCs w:val="20"/>
        </w:rPr>
        <w:t>k</w:t>
      </w:r>
      <w:r w:rsidR="007B767F" w:rsidRPr="000D4FA1">
        <w:rPr>
          <w:rFonts w:ascii="Times New Roman" w:hAnsi="Times New Roman" w:cs="Times New Roman"/>
          <w:i/>
          <w:iCs/>
          <w:sz w:val="20"/>
          <w:szCs w:val="20"/>
          <w:lang w:val="ru-RU"/>
        </w:rPr>
        <w:t>–</w:t>
      </w:r>
      <w:r w:rsidRPr="000D4FA1">
        <w:rPr>
          <w:rFonts w:ascii="Times New Roman" w:hAnsi="Times New Roman" w:cs="Times New Roman"/>
          <w:i/>
          <w:iCs/>
          <w:sz w:val="20"/>
          <w:szCs w:val="20"/>
        </w:rPr>
        <w:t>means</w:t>
      </w:r>
      <w:r w:rsidRPr="000D4FA1">
        <w:rPr>
          <w:rFonts w:ascii="Times New Roman" w:hAnsi="Times New Roman" w:cs="Times New Roman"/>
          <w:sz w:val="20"/>
          <w:szCs w:val="20"/>
          <w:lang w:val="ru-RU"/>
        </w:rPr>
        <w:t>. Показатели включают:</w:t>
      </w:r>
    </w:p>
    <w:p w:rsidR="00A1792C" w:rsidRPr="000D4FA1" w:rsidRDefault="00A1792C" w:rsidP="006C0BBD">
      <w:pPr>
        <w:numPr>
          <w:ilvl w:val="0"/>
          <w:numId w:val="7"/>
        </w:numPr>
        <w:tabs>
          <w:tab w:val="clear" w:pos="720"/>
        </w:tabs>
        <w:spacing w:after="0" w:line="240" w:lineRule="auto"/>
        <w:ind w:hanging="578"/>
        <w:jc w:val="both"/>
        <w:rPr>
          <w:rFonts w:ascii="Times New Roman" w:hAnsi="Times New Roman" w:cs="Times New Roman"/>
          <w:sz w:val="20"/>
          <w:szCs w:val="20"/>
          <w:lang w:val="ru-RU"/>
        </w:rPr>
      </w:pPr>
      <w:r w:rsidRPr="000D4FA1">
        <w:rPr>
          <w:rFonts w:ascii="Times New Roman" w:hAnsi="Times New Roman" w:cs="Times New Roman"/>
          <w:sz w:val="20"/>
          <w:szCs w:val="20"/>
        </w:rPr>
        <w:t>GDP</w:t>
      </w:r>
      <w:r w:rsidRPr="000D4FA1">
        <w:rPr>
          <w:rFonts w:ascii="Times New Roman" w:hAnsi="Times New Roman" w:cs="Times New Roman"/>
          <w:sz w:val="20"/>
          <w:szCs w:val="20"/>
          <w:lang w:val="ru-RU"/>
        </w:rPr>
        <w:t>_</w:t>
      </w:r>
      <w:r w:rsidRPr="000D4FA1">
        <w:rPr>
          <w:rFonts w:ascii="Times New Roman" w:hAnsi="Times New Roman" w:cs="Times New Roman"/>
          <w:sz w:val="20"/>
          <w:szCs w:val="20"/>
        </w:rPr>
        <w:t>pc</w:t>
      </w:r>
      <w:r w:rsidRPr="000D4FA1">
        <w:rPr>
          <w:rFonts w:ascii="Times New Roman" w:hAnsi="Times New Roman" w:cs="Times New Roman"/>
          <w:sz w:val="20"/>
          <w:szCs w:val="20"/>
          <w:lang w:val="ru-RU"/>
        </w:rPr>
        <w:t xml:space="preserve"> </w:t>
      </w:r>
      <w:r w:rsidR="008506F2" w:rsidRPr="000D4FA1">
        <w:rPr>
          <w:rFonts w:ascii="Times New Roman" w:hAnsi="Times New Roman" w:cs="Times New Roman"/>
          <w:sz w:val="20"/>
          <w:szCs w:val="20"/>
          <w:lang w:val="ru-RU"/>
        </w:rPr>
        <w:t>–</w:t>
      </w:r>
      <w:r w:rsidRPr="000D4FA1">
        <w:rPr>
          <w:rFonts w:ascii="Times New Roman" w:hAnsi="Times New Roman" w:cs="Times New Roman"/>
          <w:sz w:val="20"/>
          <w:szCs w:val="20"/>
          <w:lang w:val="ru-RU"/>
        </w:rPr>
        <w:t xml:space="preserve"> ВВП на душу населения (уровень макроэкономического развития),</w:t>
      </w:r>
    </w:p>
    <w:p w:rsidR="00A1792C" w:rsidRPr="000D4FA1" w:rsidRDefault="00A1792C" w:rsidP="006C0BBD">
      <w:pPr>
        <w:numPr>
          <w:ilvl w:val="0"/>
          <w:numId w:val="7"/>
        </w:numPr>
        <w:tabs>
          <w:tab w:val="clear" w:pos="720"/>
        </w:tabs>
        <w:spacing w:after="0" w:line="240" w:lineRule="auto"/>
        <w:ind w:hanging="578"/>
        <w:jc w:val="both"/>
        <w:rPr>
          <w:rFonts w:ascii="Times New Roman" w:hAnsi="Times New Roman" w:cs="Times New Roman"/>
          <w:sz w:val="20"/>
          <w:szCs w:val="20"/>
          <w:lang w:val="ru-RU"/>
        </w:rPr>
      </w:pPr>
      <w:r w:rsidRPr="000D4FA1">
        <w:rPr>
          <w:rFonts w:ascii="Times New Roman" w:hAnsi="Times New Roman" w:cs="Times New Roman"/>
          <w:sz w:val="20"/>
          <w:szCs w:val="20"/>
        </w:rPr>
        <w:t>FB</w:t>
      </w:r>
      <w:r w:rsidRPr="000D4FA1">
        <w:rPr>
          <w:rFonts w:ascii="Times New Roman" w:hAnsi="Times New Roman" w:cs="Times New Roman"/>
          <w:sz w:val="20"/>
          <w:szCs w:val="20"/>
          <w:lang w:val="ru-RU"/>
        </w:rPr>
        <w:t>_</w:t>
      </w:r>
      <w:r w:rsidRPr="000D4FA1">
        <w:rPr>
          <w:rFonts w:ascii="Times New Roman" w:hAnsi="Times New Roman" w:cs="Times New Roman"/>
          <w:sz w:val="20"/>
          <w:szCs w:val="20"/>
        </w:rPr>
        <w:t>sub</w:t>
      </w:r>
      <w:r w:rsidRPr="000D4FA1">
        <w:rPr>
          <w:rFonts w:ascii="Times New Roman" w:hAnsi="Times New Roman" w:cs="Times New Roman"/>
          <w:sz w:val="20"/>
          <w:szCs w:val="20"/>
          <w:lang w:val="ru-RU"/>
        </w:rPr>
        <w:t xml:space="preserve"> </w:t>
      </w:r>
      <w:r w:rsidR="008506F2" w:rsidRPr="000D4FA1">
        <w:rPr>
          <w:rFonts w:ascii="Times New Roman" w:hAnsi="Times New Roman" w:cs="Times New Roman"/>
          <w:sz w:val="20"/>
          <w:szCs w:val="20"/>
          <w:lang w:val="ru-RU"/>
        </w:rPr>
        <w:t>–</w:t>
      </w:r>
      <w:r w:rsidRPr="000D4FA1">
        <w:rPr>
          <w:rFonts w:ascii="Times New Roman" w:hAnsi="Times New Roman" w:cs="Times New Roman"/>
          <w:sz w:val="20"/>
          <w:szCs w:val="20"/>
          <w:lang w:val="ru-RU"/>
        </w:rPr>
        <w:t xml:space="preserve"> государственные расходы на образование (фискальная поддержка сектора),</w:t>
      </w:r>
    </w:p>
    <w:p w:rsidR="00A1792C" w:rsidRPr="000D4FA1" w:rsidRDefault="00A1792C" w:rsidP="006C0BBD">
      <w:pPr>
        <w:numPr>
          <w:ilvl w:val="0"/>
          <w:numId w:val="7"/>
        </w:numPr>
        <w:tabs>
          <w:tab w:val="clear" w:pos="720"/>
        </w:tabs>
        <w:spacing w:after="0" w:line="240" w:lineRule="auto"/>
        <w:ind w:hanging="578"/>
        <w:jc w:val="both"/>
        <w:rPr>
          <w:rFonts w:ascii="Times New Roman" w:hAnsi="Times New Roman" w:cs="Times New Roman"/>
          <w:sz w:val="20"/>
          <w:szCs w:val="20"/>
          <w:lang w:val="ru-RU"/>
        </w:rPr>
      </w:pPr>
      <w:r w:rsidRPr="000D4FA1">
        <w:rPr>
          <w:rFonts w:ascii="Times New Roman" w:hAnsi="Times New Roman" w:cs="Times New Roman"/>
          <w:sz w:val="20"/>
          <w:szCs w:val="20"/>
        </w:rPr>
        <w:t>MB</w:t>
      </w:r>
      <w:r w:rsidRPr="000D4FA1">
        <w:rPr>
          <w:rFonts w:ascii="Times New Roman" w:hAnsi="Times New Roman" w:cs="Times New Roman"/>
          <w:sz w:val="20"/>
          <w:szCs w:val="20"/>
          <w:lang w:val="ru-RU"/>
        </w:rPr>
        <w:t>_</w:t>
      </w:r>
      <w:r w:rsidRPr="000D4FA1">
        <w:rPr>
          <w:rFonts w:ascii="Times New Roman" w:hAnsi="Times New Roman" w:cs="Times New Roman"/>
          <w:sz w:val="20"/>
          <w:szCs w:val="20"/>
        </w:rPr>
        <w:t>sub</w:t>
      </w:r>
      <w:r w:rsidRPr="000D4FA1">
        <w:rPr>
          <w:rFonts w:ascii="Times New Roman" w:hAnsi="Times New Roman" w:cs="Times New Roman"/>
          <w:sz w:val="20"/>
          <w:szCs w:val="20"/>
          <w:lang w:val="ru-RU"/>
        </w:rPr>
        <w:t xml:space="preserve"> </w:t>
      </w:r>
      <w:r w:rsidR="008506F2" w:rsidRPr="000D4FA1">
        <w:rPr>
          <w:rFonts w:ascii="Times New Roman" w:hAnsi="Times New Roman" w:cs="Times New Roman"/>
          <w:sz w:val="20"/>
          <w:szCs w:val="20"/>
          <w:lang w:val="ru-RU"/>
        </w:rPr>
        <w:t>–</w:t>
      </w:r>
      <w:r w:rsidRPr="000D4FA1">
        <w:rPr>
          <w:rFonts w:ascii="Times New Roman" w:hAnsi="Times New Roman" w:cs="Times New Roman"/>
          <w:sz w:val="20"/>
          <w:szCs w:val="20"/>
          <w:lang w:val="ru-RU"/>
        </w:rPr>
        <w:t xml:space="preserve"> бюджетные места (финансирование человеческого капитала через госзаказ).</w:t>
      </w:r>
    </w:p>
    <w:p w:rsidR="00C317F6" w:rsidRPr="000D4FA1" w:rsidRDefault="00C317F6" w:rsidP="00C317F6">
      <w:pPr>
        <w:spacing w:after="0" w:line="240" w:lineRule="auto"/>
        <w:ind w:firstLine="720"/>
        <w:jc w:val="both"/>
        <w:rPr>
          <w:rFonts w:ascii="Times New Roman" w:hAnsi="Times New Roman" w:cs="Times New Roman"/>
          <w:sz w:val="28"/>
          <w:szCs w:val="28"/>
          <w:lang w:val="ru-RU"/>
        </w:rPr>
      </w:pPr>
    </w:p>
    <w:p w:rsidR="00BF4979" w:rsidRPr="000D4FA1" w:rsidRDefault="00BF4979" w:rsidP="00BF4979">
      <w:pPr>
        <w:spacing w:after="0" w:line="240" w:lineRule="auto"/>
        <w:ind w:firstLine="720"/>
        <w:jc w:val="both"/>
        <w:rPr>
          <w:rFonts w:ascii="Times New Roman" w:hAnsi="Times New Roman" w:cs="Times New Roman"/>
          <w:i/>
          <w:iCs/>
          <w:sz w:val="28"/>
          <w:szCs w:val="28"/>
          <w:lang w:val="ru-RU"/>
        </w:rPr>
      </w:pPr>
      <w:r w:rsidRPr="000D4FA1">
        <w:rPr>
          <w:rFonts w:ascii="Times New Roman" w:hAnsi="Times New Roman" w:cs="Times New Roman"/>
          <w:i/>
          <w:iCs/>
          <w:sz w:val="28"/>
          <w:szCs w:val="28"/>
          <w:lang w:val="ru-RU"/>
        </w:rPr>
        <w:t xml:space="preserve">Анализ кластеров (на основе конечных центров </w:t>
      </w:r>
      <w:r w:rsidRPr="000D4FA1">
        <w:rPr>
          <w:rFonts w:ascii="Times New Roman" w:hAnsi="Times New Roman" w:cs="Times New Roman"/>
          <w:i/>
          <w:iCs/>
          <w:sz w:val="28"/>
          <w:szCs w:val="28"/>
        </w:rPr>
        <w:t>k</w:t>
      </w:r>
      <w:r w:rsidR="007B767F" w:rsidRPr="000D4FA1">
        <w:rPr>
          <w:rFonts w:ascii="Times New Roman" w:hAnsi="Times New Roman" w:cs="Times New Roman"/>
          <w:i/>
          <w:iCs/>
          <w:sz w:val="28"/>
          <w:szCs w:val="28"/>
          <w:lang w:val="ru-RU"/>
        </w:rPr>
        <w:t>–</w:t>
      </w:r>
      <w:r w:rsidRPr="000D4FA1">
        <w:rPr>
          <w:rFonts w:ascii="Times New Roman" w:hAnsi="Times New Roman" w:cs="Times New Roman"/>
          <w:i/>
          <w:iCs/>
          <w:sz w:val="28"/>
          <w:szCs w:val="28"/>
        </w:rPr>
        <w:t>means</w:t>
      </w:r>
      <w:r w:rsidRPr="000D4FA1">
        <w:rPr>
          <w:rFonts w:ascii="Times New Roman" w:hAnsi="Times New Roman" w:cs="Times New Roman"/>
          <w:i/>
          <w:iCs/>
          <w:sz w:val="28"/>
          <w:szCs w:val="28"/>
          <w:lang w:val="ru-RU"/>
        </w:rPr>
        <w:t>)</w:t>
      </w:r>
    </w:p>
    <w:p w:rsidR="00BF4979" w:rsidRPr="000D4FA1" w:rsidRDefault="00BF4979" w:rsidP="00BF49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1 </w:t>
      </w:r>
      <w:r w:rsidR="001F6AE0" w:rsidRPr="000D4FA1">
        <w:rPr>
          <w:rFonts w:ascii="Times New Roman" w:hAnsi="Times New Roman" w:cs="Times New Roman"/>
          <w:sz w:val="28"/>
          <w:szCs w:val="28"/>
          <w:lang w:val="ru-RU"/>
        </w:rPr>
        <w:t xml:space="preserve">– </w:t>
      </w:r>
      <w:r w:rsidR="0007417D" w:rsidRPr="000D4FA1">
        <w:rPr>
          <w:rFonts w:ascii="Times New Roman" w:hAnsi="Times New Roman" w:cs="Times New Roman"/>
          <w:i/>
          <w:iCs/>
          <w:sz w:val="28"/>
          <w:szCs w:val="28"/>
          <w:lang w:val="kk-KZ"/>
        </w:rPr>
        <w:t>«</w:t>
      </w:r>
      <w:r w:rsidRPr="000D4FA1">
        <w:rPr>
          <w:rFonts w:ascii="Times New Roman" w:hAnsi="Times New Roman" w:cs="Times New Roman"/>
          <w:i/>
          <w:iCs/>
          <w:sz w:val="28"/>
          <w:szCs w:val="28"/>
          <w:lang w:val="ru-RU"/>
        </w:rPr>
        <w:t>Экономически слабые страны с низкой поддержкой образования</w:t>
      </w:r>
      <w:r w:rsidR="004B73C2" w:rsidRPr="000D4FA1">
        <w:rPr>
          <w:rFonts w:ascii="Times New Roman" w:hAnsi="Times New Roman" w:cs="Times New Roman"/>
          <w:sz w:val="28"/>
          <w:szCs w:val="28"/>
          <w:lang w:val="ru-RU"/>
        </w:rPr>
        <w:t>.</w:t>
      </w:r>
      <w:r w:rsidR="001F6AE0"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Кластер 1 характеризуется устойчиво отрицательными </w:t>
      </w:r>
      <w:r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значениями по всем трём детерминантам:</w:t>
      </w:r>
      <w:r w:rsidR="001F6AE0"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 –0.506,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–0.857,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–0.894.</w:t>
      </w:r>
      <w:r w:rsidR="001F6AE0"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Такой профиль указывает на совокупность неблагоприятных макроэкономических условий: низкий уровень валового продукта на душу населения, ограниченный бюджетный потенциал и минимальные объёмы финансирования образования и медицинских субсидий. Для стран, попадающих в этот кластер, типичны нарастающий кадровый дефицит, отсутствие необходимой модернизации инфраструктуры и высокая зависимость от внешних экономических флуктуаций. В результате система ТиПО в этих </w:t>
      </w:r>
      <w:r w:rsidRPr="000D4FA1">
        <w:rPr>
          <w:rFonts w:ascii="Times New Roman" w:hAnsi="Times New Roman" w:cs="Times New Roman"/>
          <w:sz w:val="28"/>
          <w:szCs w:val="28"/>
          <w:lang w:val="ru-RU"/>
        </w:rPr>
        <w:lastRenderedPageBreak/>
        <w:t>странах испытывает повышенные риски неустойчивости, поскольку развитие человеческого потенциала ограничивается как структурными, так и финансовыми факторами.</w:t>
      </w:r>
    </w:p>
    <w:p w:rsidR="00BF4979" w:rsidRPr="000D4FA1" w:rsidRDefault="00BF4979" w:rsidP="00BF49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2 </w:t>
      </w:r>
      <w:r w:rsidR="00580B68" w:rsidRPr="000D4FA1">
        <w:rPr>
          <w:rFonts w:ascii="Times New Roman" w:hAnsi="Times New Roman" w:cs="Times New Roman"/>
          <w:sz w:val="28"/>
          <w:szCs w:val="28"/>
          <w:lang w:val="ru-RU"/>
        </w:rPr>
        <w:t>–</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i/>
          <w:iCs/>
          <w:sz w:val="28"/>
          <w:szCs w:val="28"/>
          <w:lang w:val="ru-RU"/>
        </w:rPr>
        <w:t>Страны со средним уровнем экономического развития и умеренной поддержкой образования</w:t>
      </w:r>
      <w:r w:rsidR="004B73C2" w:rsidRPr="000D4FA1">
        <w:rPr>
          <w:rFonts w:ascii="Times New Roman" w:hAnsi="Times New Roman" w:cs="Times New Roman"/>
          <w:sz w:val="28"/>
          <w:szCs w:val="28"/>
          <w:lang w:val="ru-RU"/>
        </w:rPr>
        <w:t>.</w:t>
      </w:r>
      <w:r w:rsidR="00580B68"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Второй кластер показывает умеренно отрицательные, но близкие к нулю значения детерминант:</w:t>
      </w:r>
      <w:r w:rsidR="00580B68"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 –0.205,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–0.070,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–0.088.</w:t>
      </w:r>
      <w:r w:rsidR="00580B68"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Такой набор признаков отражает сбалансированный, но сдержанный уровень экономического развития и финансирования человеческого капитала. Страны этого кластера характеризуются умеренной устойчивостью: они не испытывают резкого дефицита бюджета, однако и не демонстрируют выраженной прогрессии в расширении государственных инвестиций в образование и здравоохранение. Их потенциал для развития человеческого капитала во многом определяется медленными темпами модернизации и ограниченной инновационной активностью. Несмотря на относительную стабильность, системные ограничения препятствуют выходу на качественно новый уровень устойчивости ТиПО.</w:t>
      </w:r>
    </w:p>
    <w:p w:rsidR="00BF4979" w:rsidRPr="000D4FA1" w:rsidRDefault="00BF4979" w:rsidP="00BF49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3 </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i/>
          <w:iCs/>
          <w:sz w:val="28"/>
          <w:szCs w:val="28"/>
          <w:lang w:val="ru-RU"/>
        </w:rPr>
        <w:t>Экономически развитые страны с высокой поддержкой человеческого капитала</w:t>
      </w:r>
      <w:r w:rsidR="004B73C2" w:rsidRPr="000D4FA1">
        <w:rPr>
          <w:rFonts w:ascii="Times New Roman" w:hAnsi="Times New Roman" w:cs="Times New Roman"/>
          <w:i/>
          <w:iCs/>
          <w:sz w:val="28"/>
          <w:szCs w:val="28"/>
          <w:lang w:val="ru-RU"/>
        </w:rPr>
        <w:t>.</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Третий кластер является наиболее благоприятным:</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 –0.043 (практически среднее значение),</w:t>
      </w:r>
      <w:r w:rsidRPr="000D4FA1">
        <w:rPr>
          <w:rFonts w:ascii="Times New Roman" w:hAnsi="Times New Roman" w:cs="Times New Roman"/>
          <w:sz w:val="28"/>
          <w:szCs w:val="28"/>
          <w:lang w:val="ru-RU"/>
        </w:rPr>
        <w:br/>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+1.041,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+0.539.</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Несмотря на умеренное значение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положительные </w:t>
      </w:r>
      <w:r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значения по ключевым индикаторам финансирования говорят о стратегическом приоритете государства в развитии человеческого капитала. Это единственный кластер с выраженно высокими значениями бюджетной поддержки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как образовательных, так и медицинских субсидий. Страны данной группы обладают развитой инфраструктурой ТиПО, устойчивой системой подготовки кадров, активным внедрением цифровых технологий и мультикомпонентной системой поддержки педагогических работников. Система образования здесь наиболее стабильна и адаптивна к внешним экономическим изменениям, что значительно снижает риски для устойчивости организаций ТиПО.</w:t>
      </w:r>
    </w:p>
    <w:p w:rsidR="00BF4979" w:rsidRPr="000D4FA1" w:rsidRDefault="00BF4979" w:rsidP="00BF49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4 </w:t>
      </w:r>
      <w:r w:rsidR="00002C88" w:rsidRPr="000D4FA1">
        <w:rPr>
          <w:rFonts w:ascii="Times New Roman" w:hAnsi="Times New Roman" w:cs="Times New Roman"/>
          <w:sz w:val="28"/>
          <w:szCs w:val="28"/>
          <w:lang w:val="ru-RU"/>
        </w:rPr>
        <w:t xml:space="preserve">– </w:t>
      </w:r>
      <w:r w:rsidRPr="000D4FA1">
        <w:rPr>
          <w:rFonts w:ascii="Times New Roman" w:hAnsi="Times New Roman" w:cs="Times New Roman"/>
          <w:i/>
          <w:iCs/>
          <w:sz w:val="28"/>
          <w:szCs w:val="28"/>
          <w:lang w:val="ru-RU"/>
        </w:rPr>
        <w:t>Страны с ограниченной бюджетной поддержкой, но умеренным госзаказом</w:t>
      </w:r>
      <w:r w:rsidR="004B73C2" w:rsidRPr="000D4FA1">
        <w:rPr>
          <w:rFonts w:ascii="Times New Roman" w:hAnsi="Times New Roman" w:cs="Times New Roman"/>
          <w:i/>
          <w:iCs/>
          <w:sz w:val="28"/>
          <w:szCs w:val="28"/>
          <w:lang w:val="ru-RU"/>
        </w:rPr>
        <w:t xml:space="preserve">. </w:t>
      </w:r>
      <w:r w:rsidRPr="000D4FA1">
        <w:rPr>
          <w:rFonts w:ascii="Times New Roman" w:hAnsi="Times New Roman" w:cs="Times New Roman"/>
          <w:sz w:val="28"/>
          <w:szCs w:val="28"/>
          <w:lang w:val="ru-RU"/>
        </w:rPr>
        <w:t>Страны четвёртого кластера демонстрируют смешанный профиль:</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 –0.438,</w:t>
      </w:r>
      <w:r w:rsidR="00963698"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–0.661,</w:t>
      </w:r>
      <w:r w:rsidR="00963698"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 +0.421.</w:t>
      </w:r>
      <w:r w:rsidR="004B73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Экономическая база у таких стран ограничена, и объём бюджетных субсидий на образование остаётся достаточно низким. Однако при этом наблюдается умеренная поддержка через механизмы медицинских субсидий, что выделяет этот кластер среди остальных со слабой экономикой. Для таких стран характерно отсутствие достаточного стратегического финансирования образования, но при этом государственный заказ и социальные программы частично компенсируют ограниченность бюджета. Устойчивость систем ТиПО в этом кластере средняя: риски сохраняются, но их влияние сглаживается за счёт эффективных инструментов распределения госзаказа и развитой социальной поддержки кадров.</w:t>
      </w:r>
    </w:p>
    <w:p w:rsidR="00BF4979" w:rsidRPr="000D4FA1" w:rsidRDefault="00BF4979" w:rsidP="00BF49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lastRenderedPageBreak/>
        <w:t>Проведённый кластерный анализ позволил выделить четыре устойчивых профиля стран, отражающие различия в развитии человеческого потенциала, уровне бюджетных инвестиций и макроэкономической устойчивости.</w:t>
      </w:r>
    </w:p>
    <w:p w:rsidR="00BF4979" w:rsidRPr="000D4FA1" w:rsidRDefault="00BF4979" w:rsidP="00ED5D0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Кластер 1</w:t>
      </w:r>
      <w:r w:rsidRPr="000D4FA1">
        <w:rPr>
          <w:rFonts w:ascii="Times New Roman" w:hAnsi="Times New Roman" w:cs="Times New Roman"/>
          <w:sz w:val="28"/>
          <w:szCs w:val="28"/>
          <w:lang w:val="ru-RU"/>
        </w:rPr>
        <w:t xml:space="preserve">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зона наибольшего риска из</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за совокупного дефицита ресурсов.</w:t>
      </w:r>
    </w:p>
    <w:p w:rsidR="00BF4979" w:rsidRPr="000D4FA1" w:rsidRDefault="00BF4979" w:rsidP="00ED5D0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Кластер 2</w:t>
      </w:r>
      <w:r w:rsidRPr="000D4FA1">
        <w:rPr>
          <w:rFonts w:ascii="Times New Roman" w:hAnsi="Times New Roman" w:cs="Times New Roman"/>
          <w:sz w:val="28"/>
          <w:szCs w:val="28"/>
          <w:lang w:val="ru-RU"/>
        </w:rPr>
        <w:t xml:space="preserve">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умеренная устойчивость при отсутствии сильных точек роста.</w:t>
      </w:r>
    </w:p>
    <w:p w:rsidR="00BF4979" w:rsidRPr="000D4FA1" w:rsidRDefault="00BF4979" w:rsidP="00ED5D0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Кластер 3</w:t>
      </w:r>
      <w:r w:rsidRPr="000D4FA1">
        <w:rPr>
          <w:rFonts w:ascii="Times New Roman" w:hAnsi="Times New Roman" w:cs="Times New Roman"/>
          <w:sz w:val="28"/>
          <w:szCs w:val="28"/>
          <w:lang w:val="ru-RU"/>
        </w:rPr>
        <w:t xml:space="preserve">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наиболее развитая и устойчивая группа стран, формирующая высокое качество человеческого капитала.</w:t>
      </w:r>
    </w:p>
    <w:p w:rsidR="00BF4979" w:rsidRPr="000D4FA1" w:rsidRDefault="00BF4979" w:rsidP="00ED5D0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Кластер 4</w:t>
      </w:r>
      <w:r w:rsidRPr="000D4FA1">
        <w:rPr>
          <w:rFonts w:ascii="Times New Roman" w:hAnsi="Times New Roman" w:cs="Times New Roman"/>
          <w:sz w:val="28"/>
          <w:szCs w:val="28"/>
          <w:lang w:val="ru-RU"/>
        </w:rPr>
        <w:t xml:space="preserve">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смешанный тип, где ограниченность бюджета компенсируется социальными механизмами поддержки.</w:t>
      </w:r>
      <w:r w:rsidR="00ED5D01" w:rsidRPr="000D4FA1">
        <w:rPr>
          <w:rFonts w:ascii="Times New Roman" w:hAnsi="Times New Roman" w:cs="Times New Roman"/>
          <w:sz w:val="28"/>
          <w:szCs w:val="28"/>
          <w:lang w:val="ru-RU"/>
        </w:rPr>
        <w:t xml:space="preserve"> Р</w:t>
      </w:r>
      <w:r w:rsidRPr="000D4FA1">
        <w:rPr>
          <w:rFonts w:ascii="Times New Roman" w:hAnsi="Times New Roman" w:cs="Times New Roman"/>
          <w:sz w:val="28"/>
          <w:szCs w:val="28"/>
          <w:lang w:val="ru-RU"/>
        </w:rPr>
        <w:t>езультаты служат важной основой для дифференцированной государственной политики, позволяя адаптировать стратегии развития ТиПО с учётом макроэкономических реалий и ресурсных ограничений конкретных страновых групп.</w:t>
      </w:r>
    </w:p>
    <w:p w:rsidR="00D144D6" w:rsidRPr="000D4FA1" w:rsidRDefault="007464BE"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Таблица </w:t>
      </w:r>
      <w:r w:rsidR="00963698" w:rsidRPr="000D4FA1">
        <w:rPr>
          <w:rFonts w:ascii="Times New Roman" w:hAnsi="Times New Roman" w:cs="Times New Roman"/>
          <w:sz w:val="28"/>
          <w:szCs w:val="28"/>
          <w:lang w:val="ru-RU"/>
        </w:rPr>
        <w:t>2</w:t>
      </w:r>
      <w:r w:rsidR="00D17049" w:rsidRPr="000D4FA1">
        <w:rPr>
          <w:rFonts w:ascii="Times New Roman" w:hAnsi="Times New Roman" w:cs="Times New Roman"/>
          <w:sz w:val="28"/>
          <w:szCs w:val="28"/>
          <w:lang w:val="ru-RU"/>
        </w:rPr>
        <w:t>8</w:t>
      </w:r>
      <w:r w:rsidR="00ED5D01" w:rsidRPr="000D4FA1">
        <w:rPr>
          <w:rFonts w:ascii="Times New Roman" w:hAnsi="Times New Roman" w:cs="Times New Roman"/>
          <w:sz w:val="28"/>
          <w:szCs w:val="28"/>
          <w:lang w:val="ru-RU"/>
        </w:rPr>
        <w:t xml:space="preserve"> –</w:t>
      </w:r>
      <w:r w:rsidR="0063546C"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Расстояния между конечными центрами кластеров (метрика Евклида)»</w:t>
      </w:r>
    </w:p>
    <w:tbl>
      <w:tblPr>
        <w:tblpPr w:leftFromText="180" w:rightFromText="180" w:vertAnchor="text" w:horzAnchor="page" w:tblpX="2315" w:tblpY="140"/>
        <w:tblW w:w="8300" w:type="dxa"/>
        <w:tblLook w:val="04A0"/>
      </w:tblPr>
      <w:tblGrid>
        <w:gridCol w:w="2080"/>
        <w:gridCol w:w="1720"/>
        <w:gridCol w:w="1480"/>
        <w:gridCol w:w="1420"/>
        <w:gridCol w:w="1600"/>
      </w:tblGrid>
      <w:tr w:rsidR="007464BE" w:rsidRPr="000D4FA1" w:rsidTr="007464BE">
        <w:trPr>
          <w:trHeight w:val="360"/>
        </w:trPr>
        <w:tc>
          <w:tcPr>
            <w:tcW w:w="2080" w:type="dxa"/>
            <w:tcBorders>
              <w:top w:val="single" w:sz="4" w:space="0" w:color="auto"/>
              <w:left w:val="single" w:sz="4" w:space="0" w:color="auto"/>
              <w:bottom w:val="single" w:sz="4" w:space="0" w:color="auto"/>
              <w:right w:val="single" w:sz="4" w:space="0" w:color="auto"/>
            </w:tcBorders>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Кластер</w:t>
            </w:r>
          </w:p>
        </w:tc>
        <w:tc>
          <w:tcPr>
            <w:tcW w:w="1720" w:type="dxa"/>
            <w:tcBorders>
              <w:top w:val="single" w:sz="4" w:space="0" w:color="auto"/>
              <w:left w:val="nil"/>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c>
          <w:tcPr>
            <w:tcW w:w="1480" w:type="dxa"/>
            <w:tcBorders>
              <w:top w:val="single" w:sz="4" w:space="0" w:color="auto"/>
              <w:left w:val="nil"/>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 xml:space="preserve"> Кластер</w:t>
            </w:r>
          </w:p>
        </w:tc>
        <w:tc>
          <w:tcPr>
            <w:tcW w:w="1420" w:type="dxa"/>
            <w:tcBorders>
              <w:top w:val="single" w:sz="4" w:space="0" w:color="auto"/>
              <w:left w:val="nil"/>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xml:space="preserve">3 </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c>
          <w:tcPr>
            <w:tcW w:w="1600" w:type="dxa"/>
            <w:tcBorders>
              <w:top w:val="single" w:sz="4" w:space="0" w:color="auto"/>
              <w:left w:val="nil"/>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xml:space="preserve">4 </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r>
      <w:tr w:rsidR="007464BE" w:rsidRPr="000D4FA1" w:rsidTr="007464BE">
        <w:trPr>
          <w:trHeight w:val="315"/>
        </w:trPr>
        <w:tc>
          <w:tcPr>
            <w:tcW w:w="2080" w:type="dxa"/>
            <w:tcBorders>
              <w:top w:val="nil"/>
              <w:left w:val="single" w:sz="4" w:space="0" w:color="auto"/>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c>
          <w:tcPr>
            <w:tcW w:w="1720" w:type="dxa"/>
            <w:tcBorders>
              <w:top w:val="nil"/>
              <w:left w:val="nil"/>
              <w:bottom w:val="single" w:sz="4" w:space="0" w:color="auto"/>
              <w:right w:val="single" w:sz="4" w:space="0" w:color="auto"/>
            </w:tcBorders>
            <w:shd w:val="clear" w:color="000000" w:fill="DCE6F1"/>
            <w:hideMark/>
          </w:tcPr>
          <w:p w:rsidR="007464BE" w:rsidRPr="000D4FA1" w:rsidRDefault="007464BE" w:rsidP="007464BE">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48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1.166</w:t>
            </w:r>
          </w:p>
        </w:tc>
        <w:tc>
          <w:tcPr>
            <w:tcW w:w="14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2.423</w:t>
            </w:r>
          </w:p>
        </w:tc>
        <w:tc>
          <w:tcPr>
            <w:tcW w:w="160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1.331</w:t>
            </w:r>
          </w:p>
        </w:tc>
      </w:tr>
      <w:tr w:rsidR="007464BE" w:rsidRPr="000D4FA1" w:rsidTr="007464BE">
        <w:trPr>
          <w:trHeight w:val="315"/>
        </w:trPr>
        <w:tc>
          <w:tcPr>
            <w:tcW w:w="2080" w:type="dxa"/>
            <w:tcBorders>
              <w:top w:val="nil"/>
              <w:left w:val="single" w:sz="4" w:space="0" w:color="auto"/>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 xml:space="preserve"> Кластер</w:t>
            </w:r>
          </w:p>
        </w:tc>
        <w:tc>
          <w:tcPr>
            <w:tcW w:w="17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1.166</w:t>
            </w:r>
          </w:p>
        </w:tc>
        <w:tc>
          <w:tcPr>
            <w:tcW w:w="1480" w:type="dxa"/>
            <w:tcBorders>
              <w:top w:val="nil"/>
              <w:left w:val="nil"/>
              <w:bottom w:val="single" w:sz="4" w:space="0" w:color="auto"/>
              <w:right w:val="single" w:sz="4" w:space="0" w:color="auto"/>
            </w:tcBorders>
            <w:shd w:val="clear" w:color="000000" w:fill="DCE6F1"/>
            <w:hideMark/>
          </w:tcPr>
          <w:p w:rsidR="007464BE" w:rsidRPr="000D4FA1" w:rsidRDefault="007464BE" w:rsidP="007464BE">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1.287</w:t>
            </w:r>
          </w:p>
        </w:tc>
        <w:tc>
          <w:tcPr>
            <w:tcW w:w="160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0.814</w:t>
            </w:r>
          </w:p>
        </w:tc>
      </w:tr>
      <w:tr w:rsidR="007464BE" w:rsidRPr="000D4FA1" w:rsidTr="007464BE">
        <w:trPr>
          <w:trHeight w:val="315"/>
        </w:trPr>
        <w:tc>
          <w:tcPr>
            <w:tcW w:w="2080" w:type="dxa"/>
            <w:tcBorders>
              <w:top w:val="nil"/>
              <w:left w:val="single" w:sz="4" w:space="0" w:color="auto"/>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xml:space="preserve">3 </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c>
          <w:tcPr>
            <w:tcW w:w="17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2.423</w:t>
            </w:r>
          </w:p>
        </w:tc>
        <w:tc>
          <w:tcPr>
            <w:tcW w:w="148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1.287</w:t>
            </w:r>
          </w:p>
        </w:tc>
        <w:tc>
          <w:tcPr>
            <w:tcW w:w="1420" w:type="dxa"/>
            <w:tcBorders>
              <w:top w:val="nil"/>
              <w:left w:val="nil"/>
              <w:bottom w:val="single" w:sz="4" w:space="0" w:color="auto"/>
              <w:right w:val="single" w:sz="4" w:space="0" w:color="auto"/>
            </w:tcBorders>
            <w:shd w:val="clear" w:color="000000" w:fill="DCE6F1"/>
            <w:hideMark/>
          </w:tcPr>
          <w:p w:rsidR="007464BE" w:rsidRPr="000D4FA1" w:rsidRDefault="007464BE" w:rsidP="007464BE">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60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1.752</w:t>
            </w:r>
          </w:p>
        </w:tc>
      </w:tr>
      <w:tr w:rsidR="007464BE" w:rsidRPr="000D4FA1" w:rsidTr="007464BE">
        <w:trPr>
          <w:trHeight w:val="315"/>
        </w:trPr>
        <w:tc>
          <w:tcPr>
            <w:tcW w:w="2080" w:type="dxa"/>
            <w:tcBorders>
              <w:top w:val="nil"/>
              <w:left w:val="single" w:sz="4" w:space="0" w:color="auto"/>
              <w:bottom w:val="single" w:sz="4" w:space="0" w:color="auto"/>
              <w:right w:val="single" w:sz="4" w:space="0" w:color="auto"/>
            </w:tcBorders>
            <w:noWrap/>
            <w:vAlign w:val="bottom"/>
            <w:hideMark/>
          </w:tcPr>
          <w:p w:rsidR="007464BE" w:rsidRPr="000D4FA1" w:rsidRDefault="007464BE" w:rsidP="007464BE">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xml:space="preserve">4 </w:t>
            </w:r>
            <w:r w:rsidR="007B767F" w:rsidRPr="000D4FA1">
              <w:rPr>
                <w:rFonts w:ascii="Times New Roman" w:eastAsia="Times New Roman" w:hAnsi="Times New Roman" w:cs="Times New Roman"/>
                <w:color w:val="000000"/>
                <w:sz w:val="24"/>
                <w:szCs w:val="24"/>
              </w:rPr>
              <w:t>–</w:t>
            </w:r>
            <w:r w:rsidRPr="000D4FA1">
              <w:rPr>
                <w:rFonts w:ascii="Times New Roman" w:eastAsia="Times New Roman" w:hAnsi="Times New Roman" w:cs="Times New Roman"/>
                <w:color w:val="000000"/>
                <w:sz w:val="24"/>
                <w:szCs w:val="24"/>
              </w:rPr>
              <w:t>Кластер</w:t>
            </w:r>
          </w:p>
        </w:tc>
        <w:tc>
          <w:tcPr>
            <w:tcW w:w="17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1.331</w:t>
            </w:r>
          </w:p>
        </w:tc>
        <w:tc>
          <w:tcPr>
            <w:tcW w:w="148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0.814</w:t>
            </w:r>
          </w:p>
        </w:tc>
        <w:tc>
          <w:tcPr>
            <w:tcW w:w="1420" w:type="dxa"/>
            <w:tcBorders>
              <w:top w:val="nil"/>
              <w:left w:val="nil"/>
              <w:bottom w:val="single" w:sz="4" w:space="0" w:color="auto"/>
              <w:right w:val="single" w:sz="4" w:space="0" w:color="auto"/>
            </w:tcBorders>
            <w:shd w:val="clear" w:color="000000" w:fill="FFFFFF"/>
            <w:noWrap/>
            <w:hideMark/>
          </w:tcPr>
          <w:p w:rsidR="007464BE" w:rsidRPr="000D4FA1" w:rsidRDefault="007464BE" w:rsidP="007464BE">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1.752</w:t>
            </w:r>
          </w:p>
        </w:tc>
        <w:tc>
          <w:tcPr>
            <w:tcW w:w="1600" w:type="dxa"/>
            <w:tcBorders>
              <w:top w:val="nil"/>
              <w:left w:val="nil"/>
              <w:bottom w:val="single" w:sz="4" w:space="0" w:color="auto"/>
              <w:right w:val="single" w:sz="4" w:space="0" w:color="auto"/>
            </w:tcBorders>
            <w:shd w:val="clear" w:color="000000" w:fill="DCE6F1"/>
            <w:hideMark/>
          </w:tcPr>
          <w:p w:rsidR="007464BE" w:rsidRPr="000D4FA1" w:rsidRDefault="007464BE" w:rsidP="007464BE">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r>
    </w:tbl>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963698" w:rsidRPr="000D4FA1" w:rsidRDefault="00963698" w:rsidP="0063546C">
      <w:pPr>
        <w:spacing w:after="0" w:line="240" w:lineRule="auto"/>
        <w:ind w:firstLine="720"/>
        <w:jc w:val="both"/>
        <w:rPr>
          <w:rFonts w:ascii="Times New Roman" w:hAnsi="Times New Roman" w:cs="Times New Roman"/>
          <w:sz w:val="28"/>
          <w:szCs w:val="28"/>
          <w:lang w:val="ru-RU"/>
        </w:rPr>
      </w:pPr>
    </w:p>
    <w:p w:rsidR="0063546C" w:rsidRPr="000D4FA1" w:rsidRDefault="0063546C" w:rsidP="0063546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Матрица расстояний показывает степень различий между сформированными кластерами и служит ключевым инструментом для оценки качества кластеризации. Чем больше расстояние между центрами кластеров, тем более выражены различия между странами, отнесёнными к каждому кластеру, и тем выше интерпретационная надёжность результатов.</w:t>
      </w:r>
    </w:p>
    <w:p w:rsidR="0063546C" w:rsidRPr="000D4FA1" w:rsidRDefault="0063546C" w:rsidP="0063546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Согласно представленной матрице, наибольшее расстояние наблюдается между 1</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м и 3</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м кластерами (2.423), что подтверждает принципиальную противоположность их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экономических профилей: первый объединяет страны с низким уровнем экономического развития и минимальной поддержкой образования, тогда как третий включает экономически развитые страны с высокой бюджетной поддержкой человеческого капитала. Это расстояние логично отражает полярность двух моделей: ресурсодефицитной и ресурсонасыщенной.</w:t>
      </w:r>
    </w:p>
    <w:p w:rsidR="0063546C" w:rsidRPr="000D4FA1" w:rsidRDefault="0063546C" w:rsidP="0063546C">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Второе по величине расстояние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между 3</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м и 4</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м кластерами (1.752). Несмотря на наличие умеренной бюджетной поддержки в странах 4</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го кластера, различия по масштабам финансирования и уровню человеческого потенциала остаются существенными. Это подтверждает, что 3</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й кластер (страны с развитой экономикой и высокой поддержкой образования) занимает обособленную позицию и значительно отличается от остальных.</w:t>
      </w:r>
    </w:p>
    <w:p w:rsidR="008A2EB1" w:rsidRPr="000D4FA1" w:rsidRDefault="008A2EB1" w:rsidP="008A2EB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Структура расстояний подтверждает корректность проведённой кластеризации: кластеры хорошо разделены, обладают высоким </w:t>
      </w:r>
      <w:r w:rsidRPr="000D4FA1">
        <w:rPr>
          <w:rFonts w:ascii="Times New Roman" w:hAnsi="Times New Roman" w:cs="Times New Roman"/>
          <w:sz w:val="28"/>
          <w:szCs w:val="28"/>
          <w:lang w:val="ru-RU"/>
        </w:rPr>
        <w:lastRenderedPageBreak/>
        <w:t>межкластерным контрастом и формируют логически обоснованную градацию стран по уровню экономического развития и поддержке человеческого капитала.</w:t>
      </w:r>
    </w:p>
    <w:p w:rsidR="008A2EB1" w:rsidRPr="000D4FA1" w:rsidRDefault="008A2EB1" w:rsidP="008A2EB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Большие расстояния подтверждают обоснованность выделения экономически развитых стран в отдельный кластер (3), а малые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наличие плавного перехода между кластерами средней группы (2 и 4).</w:t>
      </w:r>
    </w:p>
    <w:p w:rsidR="00151FA0" w:rsidRPr="000D4FA1" w:rsidRDefault="00151FA0" w:rsidP="00151FA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Результаты однофакторного дисперсионного анализа подтверждают статистически значимые различия между сформированными кластерами по всем трем стандартизированным индикаторам – уровню экономического развития (</w:t>
      </w:r>
      <w:r w:rsidRPr="000D4FA1">
        <w:rPr>
          <w:rFonts w:ascii="Times New Roman" w:hAnsi="Times New Roman" w:cs="Times New Roman"/>
          <w:sz w:val="28"/>
          <w:szCs w:val="28"/>
        </w:rPr>
        <w:t>Zscore</w:t>
      </w:r>
      <w:r w:rsidRPr="000D4FA1">
        <w:rPr>
          <w:rFonts w:ascii="Times New Roman" w:hAnsi="Times New Roman" w:cs="Times New Roman"/>
          <w:sz w:val="28"/>
          <w:szCs w:val="28"/>
          <w:lang w:val="ru-RU"/>
        </w:rPr>
        <w:t>(</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бюджетной поддержке образования (</w:t>
      </w:r>
      <w:r w:rsidRPr="000D4FA1">
        <w:rPr>
          <w:rFonts w:ascii="Times New Roman" w:hAnsi="Times New Roman" w:cs="Times New Roman"/>
          <w:sz w:val="28"/>
          <w:szCs w:val="28"/>
        </w:rPr>
        <w:t>Zscore</w:t>
      </w:r>
      <w:r w:rsidRPr="000D4FA1">
        <w:rPr>
          <w:rFonts w:ascii="Times New Roman" w:hAnsi="Times New Roman" w:cs="Times New Roman"/>
          <w:sz w:val="28"/>
          <w:szCs w:val="28"/>
          <w:lang w:val="ru-RU"/>
        </w:rPr>
        <w:t>(</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и масштабам государственного заказа (</w:t>
      </w:r>
      <w:r w:rsidRPr="000D4FA1">
        <w:rPr>
          <w:rFonts w:ascii="Times New Roman" w:hAnsi="Times New Roman" w:cs="Times New Roman"/>
          <w:sz w:val="28"/>
          <w:szCs w:val="28"/>
        </w:rPr>
        <w:t>Zscore</w:t>
      </w:r>
      <w:r w:rsidRPr="000D4FA1">
        <w:rPr>
          <w:rFonts w:ascii="Times New Roman" w:hAnsi="Times New Roman" w:cs="Times New Roman"/>
          <w:sz w:val="28"/>
          <w:szCs w:val="28"/>
          <w:lang w:val="ru-RU"/>
        </w:rPr>
        <w:t>(</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Значения </w:t>
      </w:r>
      <w:r w:rsidRPr="000D4FA1">
        <w:rPr>
          <w:rFonts w:ascii="Times New Roman" w:hAnsi="Times New Roman" w:cs="Times New Roman"/>
          <w:sz w:val="28"/>
          <w:szCs w:val="28"/>
        </w:rPr>
        <w:t>F</w:t>
      </w:r>
      <w:r w:rsidRPr="000D4FA1">
        <w:rPr>
          <w:rFonts w:ascii="Times New Roman" w:hAnsi="Times New Roman" w:cs="Times New Roman"/>
          <w:sz w:val="28"/>
          <w:szCs w:val="28"/>
          <w:lang w:val="ru-RU"/>
        </w:rPr>
        <w:t xml:space="preserve">–критерия варьируются от 17,818 до 58,807 при уровнях значимости </w:t>
      </w:r>
      <w:r w:rsidRPr="000D4FA1">
        <w:rPr>
          <w:rFonts w:ascii="Times New Roman" w:hAnsi="Times New Roman" w:cs="Times New Roman"/>
          <w:sz w:val="28"/>
          <w:szCs w:val="28"/>
        </w:rPr>
        <w:t>p</w:t>
      </w:r>
      <w:r w:rsidRPr="000D4FA1">
        <w:rPr>
          <w:rFonts w:ascii="Times New Roman" w:hAnsi="Times New Roman" w:cs="Times New Roman"/>
          <w:sz w:val="28"/>
          <w:szCs w:val="28"/>
          <w:lang w:val="ru-RU"/>
        </w:rPr>
        <w:t xml:space="preserve"> = 0,000, что указывает на максимальную межкластерную дифференциацию по данным параметрам. </w:t>
      </w:r>
    </w:p>
    <w:p w:rsidR="002F244B" w:rsidRPr="000D4FA1" w:rsidRDefault="000D02BC"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Таблица </w:t>
      </w:r>
      <w:r w:rsidR="00963698" w:rsidRPr="000D4FA1">
        <w:rPr>
          <w:rFonts w:ascii="Times New Roman" w:hAnsi="Times New Roman" w:cs="Times New Roman"/>
          <w:sz w:val="28"/>
          <w:szCs w:val="28"/>
          <w:lang w:val="ru-RU"/>
        </w:rPr>
        <w:t>2</w:t>
      </w:r>
      <w:r w:rsidR="00D17049" w:rsidRPr="000D4FA1">
        <w:rPr>
          <w:rFonts w:ascii="Times New Roman" w:hAnsi="Times New Roman" w:cs="Times New Roman"/>
          <w:sz w:val="28"/>
          <w:szCs w:val="28"/>
          <w:lang w:val="ru-RU"/>
        </w:rPr>
        <w:t>9</w:t>
      </w:r>
      <w:r w:rsidRPr="000D4FA1">
        <w:rPr>
          <w:rFonts w:ascii="Times New Roman" w:hAnsi="Times New Roman" w:cs="Times New Roman"/>
          <w:sz w:val="28"/>
          <w:szCs w:val="28"/>
          <w:lang w:val="ru-RU"/>
        </w:rPr>
        <w:t xml:space="preserve"> </w:t>
      </w:r>
      <w:r w:rsidR="00ED5D01"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ANOVA</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анализ различий между кластерами по стандартизированным индикаторам человеческого потенциала и устойчивости ТиПО</w:t>
      </w:r>
    </w:p>
    <w:tbl>
      <w:tblPr>
        <w:tblW w:w="9351" w:type="dxa"/>
        <w:tblLook w:val="04A0"/>
      </w:tblPr>
      <w:tblGrid>
        <w:gridCol w:w="1856"/>
        <w:gridCol w:w="1720"/>
        <w:gridCol w:w="768"/>
        <w:gridCol w:w="1420"/>
        <w:gridCol w:w="1035"/>
        <w:gridCol w:w="876"/>
        <w:gridCol w:w="1676"/>
      </w:tblGrid>
      <w:tr w:rsidR="00E82683" w:rsidRPr="000D4FA1" w:rsidTr="00E82683">
        <w:trPr>
          <w:trHeight w:val="315"/>
        </w:trPr>
        <w:tc>
          <w:tcPr>
            <w:tcW w:w="1856" w:type="dxa"/>
            <w:vMerge w:val="restart"/>
            <w:tcBorders>
              <w:top w:val="single" w:sz="4" w:space="0" w:color="auto"/>
              <w:left w:val="single" w:sz="4" w:space="0" w:color="auto"/>
              <w:bottom w:val="single" w:sz="4" w:space="0" w:color="auto"/>
              <w:right w:val="single" w:sz="4" w:space="0" w:color="auto"/>
            </w:tcBorders>
            <w:hideMark/>
          </w:tcPr>
          <w:p w:rsidR="00E82683" w:rsidRPr="000D4FA1" w:rsidRDefault="00E82683" w:rsidP="00E82683">
            <w:pPr>
              <w:spacing w:after="0" w:line="240" w:lineRule="auto"/>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rPr>
              <w:t> </w:t>
            </w:r>
          </w:p>
        </w:tc>
        <w:tc>
          <w:tcPr>
            <w:tcW w:w="2488" w:type="dxa"/>
            <w:gridSpan w:val="2"/>
            <w:tcBorders>
              <w:top w:val="single" w:sz="4" w:space="0" w:color="auto"/>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Кластер</w:t>
            </w:r>
          </w:p>
        </w:tc>
        <w:tc>
          <w:tcPr>
            <w:tcW w:w="2455" w:type="dxa"/>
            <w:gridSpan w:val="2"/>
            <w:tcBorders>
              <w:top w:val="single" w:sz="4" w:space="0" w:color="auto"/>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ошибка</w:t>
            </w:r>
          </w:p>
        </w:tc>
        <w:tc>
          <w:tcPr>
            <w:tcW w:w="876" w:type="dxa"/>
            <w:vMerge w:val="restart"/>
            <w:tcBorders>
              <w:top w:val="single" w:sz="4" w:space="0" w:color="auto"/>
              <w:left w:val="single" w:sz="4" w:space="0" w:color="auto"/>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F</w:t>
            </w:r>
          </w:p>
        </w:tc>
        <w:tc>
          <w:tcPr>
            <w:tcW w:w="1676" w:type="dxa"/>
            <w:vMerge w:val="restart"/>
            <w:tcBorders>
              <w:top w:val="single" w:sz="4" w:space="0" w:color="auto"/>
              <w:left w:val="single" w:sz="4" w:space="0" w:color="auto"/>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Значимость</w:t>
            </w:r>
          </w:p>
        </w:tc>
      </w:tr>
      <w:tr w:rsidR="00E82683" w:rsidRPr="000D4FA1" w:rsidTr="00E82683">
        <w:trPr>
          <w:trHeight w:val="630"/>
        </w:trPr>
        <w:tc>
          <w:tcPr>
            <w:tcW w:w="1856" w:type="dxa"/>
            <w:vMerge/>
            <w:tcBorders>
              <w:top w:val="single" w:sz="4" w:space="0" w:color="auto"/>
              <w:left w:val="single" w:sz="4" w:space="0" w:color="auto"/>
              <w:bottom w:val="single" w:sz="4" w:space="0" w:color="auto"/>
              <w:right w:val="single" w:sz="4" w:space="0" w:color="auto"/>
            </w:tcBorders>
            <w:vAlign w:val="center"/>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p>
        </w:tc>
        <w:tc>
          <w:tcPr>
            <w:tcW w:w="1720" w:type="dxa"/>
            <w:tcBorders>
              <w:top w:val="nil"/>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Средний квадрат</w:t>
            </w:r>
          </w:p>
        </w:tc>
        <w:tc>
          <w:tcPr>
            <w:tcW w:w="768" w:type="dxa"/>
            <w:tcBorders>
              <w:top w:val="nil"/>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ст.св.</w:t>
            </w:r>
          </w:p>
        </w:tc>
        <w:tc>
          <w:tcPr>
            <w:tcW w:w="1420" w:type="dxa"/>
            <w:tcBorders>
              <w:top w:val="nil"/>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Средний квадрат</w:t>
            </w:r>
          </w:p>
        </w:tc>
        <w:tc>
          <w:tcPr>
            <w:tcW w:w="1035" w:type="dxa"/>
            <w:tcBorders>
              <w:top w:val="nil"/>
              <w:left w:val="nil"/>
              <w:bottom w:val="single" w:sz="4" w:space="0" w:color="auto"/>
              <w:right w:val="single" w:sz="4" w:space="0" w:color="auto"/>
            </w:tcBorders>
            <w:hideMark/>
          </w:tcPr>
          <w:p w:rsidR="00E82683" w:rsidRPr="000D4FA1" w:rsidRDefault="00E82683" w:rsidP="00E8268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ст.св.</w:t>
            </w: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p>
        </w:tc>
      </w:tr>
      <w:tr w:rsidR="00E82683" w:rsidRPr="000D4FA1" w:rsidTr="00E82683">
        <w:trPr>
          <w:trHeight w:val="360"/>
        </w:trPr>
        <w:tc>
          <w:tcPr>
            <w:tcW w:w="1856" w:type="dxa"/>
            <w:tcBorders>
              <w:top w:val="nil"/>
              <w:left w:val="single" w:sz="4" w:space="0" w:color="auto"/>
              <w:bottom w:val="single" w:sz="4" w:space="0" w:color="auto"/>
              <w:right w:val="single" w:sz="4" w:space="0" w:color="auto"/>
            </w:tcBorders>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Zscore(GDP_pc)</w:t>
            </w:r>
          </w:p>
        </w:tc>
        <w:tc>
          <w:tcPr>
            <w:tcW w:w="17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0.474</w:t>
            </w:r>
          </w:p>
        </w:tc>
        <w:tc>
          <w:tcPr>
            <w:tcW w:w="768"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0.027</w:t>
            </w:r>
          </w:p>
        </w:tc>
        <w:tc>
          <w:tcPr>
            <w:tcW w:w="1035"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17.818</w:t>
            </w:r>
          </w:p>
        </w:tc>
        <w:tc>
          <w:tcPr>
            <w:tcW w:w="16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0.000</w:t>
            </w:r>
          </w:p>
        </w:tc>
      </w:tr>
      <w:tr w:rsidR="00E82683" w:rsidRPr="000D4FA1" w:rsidTr="00E82683">
        <w:trPr>
          <w:trHeight w:val="615"/>
        </w:trPr>
        <w:tc>
          <w:tcPr>
            <w:tcW w:w="1856" w:type="dxa"/>
            <w:tcBorders>
              <w:top w:val="nil"/>
              <w:left w:val="single" w:sz="4" w:space="0" w:color="auto"/>
              <w:bottom w:val="single" w:sz="4" w:space="0" w:color="auto"/>
              <w:right w:val="single" w:sz="4" w:space="0" w:color="auto"/>
            </w:tcBorders>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Zscore(FB_sub)</w:t>
            </w:r>
          </w:p>
        </w:tc>
        <w:tc>
          <w:tcPr>
            <w:tcW w:w="17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6.781</w:t>
            </w:r>
          </w:p>
        </w:tc>
        <w:tc>
          <w:tcPr>
            <w:tcW w:w="768"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0.115</w:t>
            </w:r>
          </w:p>
        </w:tc>
        <w:tc>
          <w:tcPr>
            <w:tcW w:w="1035"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58.807</w:t>
            </w:r>
          </w:p>
        </w:tc>
        <w:tc>
          <w:tcPr>
            <w:tcW w:w="16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0.000</w:t>
            </w:r>
          </w:p>
        </w:tc>
      </w:tr>
      <w:tr w:rsidR="00E82683" w:rsidRPr="000D4FA1" w:rsidTr="00E82683">
        <w:trPr>
          <w:trHeight w:val="315"/>
        </w:trPr>
        <w:tc>
          <w:tcPr>
            <w:tcW w:w="1856" w:type="dxa"/>
            <w:tcBorders>
              <w:top w:val="nil"/>
              <w:left w:val="single" w:sz="4" w:space="0" w:color="auto"/>
              <w:bottom w:val="single" w:sz="4" w:space="0" w:color="auto"/>
              <w:right w:val="single" w:sz="4" w:space="0" w:color="auto"/>
            </w:tcBorders>
            <w:hideMark/>
          </w:tcPr>
          <w:p w:rsidR="00E82683" w:rsidRPr="000D4FA1" w:rsidRDefault="00E82683" w:rsidP="00E8268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Zscore(MB_sub)</w:t>
            </w:r>
          </w:p>
        </w:tc>
        <w:tc>
          <w:tcPr>
            <w:tcW w:w="17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4.692</w:t>
            </w:r>
          </w:p>
        </w:tc>
        <w:tc>
          <w:tcPr>
            <w:tcW w:w="768"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w:t>
            </w:r>
          </w:p>
        </w:tc>
        <w:tc>
          <w:tcPr>
            <w:tcW w:w="1420"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0.175</w:t>
            </w:r>
          </w:p>
        </w:tc>
        <w:tc>
          <w:tcPr>
            <w:tcW w:w="1035"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26.827</w:t>
            </w:r>
          </w:p>
        </w:tc>
        <w:tc>
          <w:tcPr>
            <w:tcW w:w="1676" w:type="dxa"/>
            <w:tcBorders>
              <w:top w:val="nil"/>
              <w:left w:val="nil"/>
              <w:bottom w:val="single" w:sz="4" w:space="0" w:color="auto"/>
              <w:right w:val="single" w:sz="4" w:space="0" w:color="auto"/>
            </w:tcBorders>
            <w:noWrap/>
            <w:hideMark/>
          </w:tcPr>
          <w:p w:rsidR="00E82683" w:rsidRPr="000D4FA1" w:rsidRDefault="00E82683" w:rsidP="00E82683">
            <w:pPr>
              <w:spacing w:after="0" w:line="240" w:lineRule="auto"/>
              <w:jc w:val="right"/>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0.000</w:t>
            </w:r>
          </w:p>
        </w:tc>
      </w:tr>
      <w:tr w:rsidR="00E82683" w:rsidRPr="0036668B" w:rsidTr="00E82683">
        <w:trPr>
          <w:trHeight w:val="315"/>
        </w:trPr>
        <w:tc>
          <w:tcPr>
            <w:tcW w:w="9351" w:type="dxa"/>
            <w:gridSpan w:val="7"/>
            <w:tcBorders>
              <w:top w:val="single" w:sz="4" w:space="0" w:color="auto"/>
              <w:left w:val="single" w:sz="4" w:space="0" w:color="auto"/>
              <w:bottom w:val="single" w:sz="4" w:space="0" w:color="auto"/>
              <w:right w:val="single" w:sz="4" w:space="0" w:color="auto"/>
            </w:tcBorders>
            <w:hideMark/>
          </w:tcPr>
          <w:p w:rsidR="00E82683" w:rsidRPr="000D4FA1" w:rsidRDefault="00ED5D01" w:rsidP="00ED5D01">
            <w:pPr>
              <w:spacing w:after="0" w:line="240" w:lineRule="auto"/>
              <w:jc w:val="both"/>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lang w:val="ru-RU"/>
              </w:rPr>
              <w:t xml:space="preserve">                </w:t>
            </w:r>
            <w:r w:rsidRPr="000D4FA1">
              <w:rPr>
                <w:rFonts w:ascii="Times New Roman" w:eastAsia="Times New Roman" w:hAnsi="Times New Roman" w:cs="Times New Roman"/>
                <w:color w:val="000000"/>
                <w:lang w:val="ru-RU"/>
              </w:rPr>
              <w:t xml:space="preserve">Примечание– </w:t>
            </w:r>
            <w:r w:rsidR="00E82683" w:rsidRPr="000D4FA1">
              <w:rPr>
                <w:rFonts w:ascii="Times New Roman" w:eastAsia="Times New Roman" w:hAnsi="Times New Roman" w:cs="Times New Roman"/>
                <w:color w:val="000000"/>
              </w:rPr>
              <w:t>F</w:t>
            </w:r>
            <w:r w:rsidR="007B767F" w:rsidRPr="000D4FA1">
              <w:rPr>
                <w:rFonts w:ascii="Times New Roman" w:eastAsia="Times New Roman" w:hAnsi="Times New Roman" w:cs="Times New Roman"/>
                <w:color w:val="000000"/>
                <w:lang w:val="ru-RU"/>
              </w:rPr>
              <w:t>–</w:t>
            </w:r>
            <w:r w:rsidR="00E82683" w:rsidRPr="000D4FA1">
              <w:rPr>
                <w:rFonts w:ascii="Times New Roman" w:eastAsia="Times New Roman" w:hAnsi="Times New Roman" w:cs="Times New Roman"/>
                <w:color w:val="000000"/>
                <w:lang w:val="ru-RU"/>
              </w:rPr>
              <w:t>критерий следует использовать только для целей описания, так как кластеры выбраны так, чтобы разница между наблюдениями в разных кластерах была максимальной. Наблюдаемые уровни значимости не скорректированы для этого, и поэтому их нельзя использовать для проверки гипотезы о равенстве средних кластеров</w:t>
            </w:r>
            <w:r w:rsidR="00E82683" w:rsidRPr="000D4FA1">
              <w:rPr>
                <w:rFonts w:ascii="Times New Roman" w:eastAsia="Times New Roman" w:hAnsi="Times New Roman" w:cs="Times New Roman"/>
                <w:color w:val="000000"/>
                <w:sz w:val="24"/>
                <w:szCs w:val="24"/>
                <w:lang w:val="ru-RU"/>
              </w:rPr>
              <w:t>.</w:t>
            </w:r>
          </w:p>
        </w:tc>
      </w:tr>
    </w:tbl>
    <w:p w:rsidR="00BD7556" w:rsidRPr="000D4FA1" w:rsidRDefault="00BD7556" w:rsidP="00786371">
      <w:pPr>
        <w:spacing w:after="0" w:line="240" w:lineRule="auto"/>
        <w:ind w:firstLine="720"/>
        <w:jc w:val="both"/>
        <w:rPr>
          <w:rFonts w:ascii="Times New Roman" w:hAnsi="Times New Roman" w:cs="Times New Roman"/>
          <w:sz w:val="28"/>
          <w:szCs w:val="28"/>
          <w:lang w:val="ru-RU"/>
        </w:rPr>
      </w:pPr>
    </w:p>
    <w:p w:rsidR="00E82683" w:rsidRPr="000D4FA1" w:rsidRDefault="008F79EE"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Следует учитывать, что высокие значения </w:t>
      </w:r>
      <w:r w:rsidRPr="000D4FA1">
        <w:rPr>
          <w:rFonts w:ascii="Times New Roman" w:hAnsi="Times New Roman" w:cs="Times New Roman"/>
          <w:sz w:val="28"/>
          <w:szCs w:val="28"/>
        </w:rPr>
        <w:t>F</w:t>
      </w:r>
      <w:r w:rsidRPr="000D4FA1">
        <w:rPr>
          <w:rFonts w:ascii="Times New Roman" w:hAnsi="Times New Roman" w:cs="Times New Roman"/>
          <w:sz w:val="28"/>
          <w:szCs w:val="28"/>
          <w:lang w:val="ru-RU"/>
        </w:rPr>
        <w:t xml:space="preserve"> ожидаемы, поскольку метод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xml:space="preserve"> формирует кластеры таким образом, чтобы различия между группами были максимальными. Поэтому результаты </w:t>
      </w:r>
      <w:r w:rsidRPr="000D4FA1">
        <w:rPr>
          <w:rFonts w:ascii="Times New Roman" w:hAnsi="Times New Roman" w:cs="Times New Roman"/>
          <w:sz w:val="28"/>
          <w:szCs w:val="28"/>
        </w:rPr>
        <w:t>ANOVA</w:t>
      </w:r>
      <w:r w:rsidRPr="000D4FA1">
        <w:rPr>
          <w:rFonts w:ascii="Times New Roman" w:hAnsi="Times New Roman" w:cs="Times New Roman"/>
          <w:sz w:val="28"/>
          <w:szCs w:val="28"/>
          <w:lang w:val="ru-RU"/>
        </w:rPr>
        <w:t xml:space="preserve"> могут использоваться только для описательной интерпретации, но не для строгого статистического тестирования гипотезы о равенстве средних. Тем не менее, полученные значения подтверждают корректность кластеризации и демонстрируют, что каждая группа стран обладает уникальным профилем экономико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образовательных характеристик, отражающих различный уровень человеческого потенциала и устойчивости систем ТиПО.</w:t>
      </w:r>
    </w:p>
    <w:p w:rsidR="00A00396" w:rsidRPr="000D4FA1" w:rsidRDefault="00A00396" w:rsidP="00A0039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Профиль Кластера 1 отражает совокупность стран с выраженными структурными ограничениями в социально–экономическом развитии. Средние значения пяти индикаторов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 14.25; </w:t>
      </w:r>
      <w:r w:rsidRPr="000D4FA1">
        <w:rPr>
          <w:rFonts w:ascii="Times New Roman" w:hAnsi="Times New Roman" w:cs="Times New Roman"/>
          <w:sz w:val="28"/>
          <w:szCs w:val="28"/>
        </w:rPr>
        <w:t>POP</w:t>
      </w:r>
      <w:r w:rsidRPr="000D4FA1">
        <w:rPr>
          <w:rFonts w:ascii="Times New Roman" w:hAnsi="Times New Roman" w:cs="Times New Roman"/>
          <w:sz w:val="28"/>
          <w:szCs w:val="28"/>
          <w:lang w:val="ru-RU"/>
        </w:rPr>
        <w:t xml:space="preserve"> = 30.22; </w:t>
      </w:r>
      <w:r w:rsidRPr="000D4FA1">
        <w:rPr>
          <w:rFonts w:ascii="Times New Roman" w:hAnsi="Times New Roman" w:cs="Times New Roman"/>
          <w:sz w:val="28"/>
          <w:szCs w:val="28"/>
        </w:rPr>
        <w:t>LIR</w:t>
      </w:r>
      <w:r w:rsidRPr="000D4FA1">
        <w:rPr>
          <w:rFonts w:ascii="Times New Roman" w:hAnsi="Times New Roman" w:cs="Times New Roman"/>
          <w:sz w:val="28"/>
          <w:szCs w:val="28"/>
          <w:lang w:val="ru-RU"/>
        </w:rPr>
        <w:t xml:space="preserve"> = 17.19; </w:t>
      </w:r>
      <w:r w:rsidRPr="000D4FA1">
        <w:rPr>
          <w:rFonts w:ascii="Times New Roman" w:hAnsi="Times New Roman" w:cs="Times New Roman"/>
          <w:sz w:val="28"/>
          <w:szCs w:val="28"/>
        </w:rPr>
        <w:t>DIR</w:t>
      </w:r>
      <w:r w:rsidRPr="000D4FA1">
        <w:rPr>
          <w:rFonts w:ascii="Times New Roman" w:hAnsi="Times New Roman" w:cs="Times New Roman"/>
          <w:sz w:val="28"/>
          <w:szCs w:val="28"/>
          <w:lang w:val="ru-RU"/>
        </w:rPr>
        <w:t xml:space="preserve"> = 6.32;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 xml:space="preserve"> = 36.72) показывают, что страны данного кластера характеризуются умеренными показателями эффективности государственного управления и человеческого капитала, но при этом сталкиваются с низким уровнем доходов населения и ограниченной экономической базой. </w:t>
      </w:r>
    </w:p>
    <w:p w:rsidR="002A55D4" w:rsidRPr="000D4FA1" w:rsidRDefault="002A55D4" w:rsidP="00786371">
      <w:pPr>
        <w:spacing w:after="0" w:line="240" w:lineRule="auto"/>
        <w:ind w:firstLine="720"/>
        <w:jc w:val="both"/>
        <w:rPr>
          <w:rFonts w:ascii="Times New Roman" w:hAnsi="Times New Roman" w:cs="Times New Roman"/>
          <w:sz w:val="28"/>
          <w:szCs w:val="28"/>
          <w:lang w:val="ru-RU"/>
        </w:rPr>
      </w:pPr>
    </w:p>
    <w:p w:rsidR="009A6F34" w:rsidRPr="000D4FA1" w:rsidRDefault="009A6F34"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Таблица </w:t>
      </w:r>
      <w:r w:rsidR="00D17049" w:rsidRPr="000D4FA1">
        <w:rPr>
          <w:rFonts w:ascii="Times New Roman" w:hAnsi="Times New Roman" w:cs="Times New Roman"/>
          <w:sz w:val="28"/>
          <w:szCs w:val="28"/>
          <w:lang w:val="ru-RU"/>
        </w:rPr>
        <w:t>30</w:t>
      </w:r>
      <w:r w:rsidRPr="000D4FA1">
        <w:rPr>
          <w:rFonts w:ascii="Times New Roman" w:hAnsi="Times New Roman" w:cs="Times New Roman"/>
          <w:sz w:val="28"/>
          <w:szCs w:val="28"/>
          <w:lang w:val="ru-RU"/>
        </w:rPr>
        <w:t xml:space="preserve"> </w:t>
      </w:r>
      <w:r w:rsidR="00ED5D01"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экономический профиль стран Кластера 1 по интегральным показателям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POP</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LIR</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DIR</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GDP</w:t>
      </w:r>
    </w:p>
    <w:tbl>
      <w:tblPr>
        <w:tblW w:w="9606" w:type="dxa"/>
        <w:tblLook w:val="04A0"/>
      </w:tblPr>
      <w:tblGrid>
        <w:gridCol w:w="960"/>
        <w:gridCol w:w="1720"/>
        <w:gridCol w:w="1400"/>
        <w:gridCol w:w="1273"/>
        <w:gridCol w:w="1276"/>
        <w:gridCol w:w="1276"/>
        <w:gridCol w:w="1701"/>
      </w:tblGrid>
      <w:tr w:rsidR="002A55D4" w:rsidRPr="000D4FA1" w:rsidTr="00ED5D01">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rsidR="002A55D4" w:rsidRPr="000D4FA1" w:rsidRDefault="002A55D4" w:rsidP="002A55D4">
            <w:pPr>
              <w:spacing w:after="0" w:line="240" w:lineRule="auto"/>
              <w:rPr>
                <w:rFonts w:ascii="Times New Roman" w:eastAsia="Times New Roman" w:hAnsi="Times New Roman" w:cs="Times New Roman"/>
                <w:noProof/>
                <w:sz w:val="24"/>
                <w:szCs w:val="24"/>
                <w:lang w:val="ru-RU"/>
              </w:rPr>
            </w:pPr>
            <w:r w:rsidRPr="000D4FA1">
              <w:rPr>
                <w:rFonts w:ascii="Times New Roman" w:eastAsia="Times New Roman" w:hAnsi="Times New Roman" w:cs="Times New Roman"/>
                <w:noProof/>
                <w:sz w:val="24"/>
                <w:szCs w:val="24"/>
              </w:rPr>
              <w:t> </w:t>
            </w:r>
          </w:p>
        </w:tc>
        <w:tc>
          <w:tcPr>
            <w:tcW w:w="1720" w:type="dxa"/>
            <w:tcBorders>
              <w:top w:val="single" w:sz="4" w:space="0" w:color="auto"/>
              <w:left w:val="nil"/>
              <w:bottom w:val="single" w:sz="4" w:space="0" w:color="auto"/>
              <w:right w:val="single" w:sz="4" w:space="0" w:color="auto"/>
            </w:tcBorders>
            <w:vAlign w:val="center"/>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Страны</w:t>
            </w:r>
          </w:p>
        </w:tc>
        <w:tc>
          <w:tcPr>
            <w:tcW w:w="1400" w:type="dxa"/>
            <w:tcBorders>
              <w:top w:val="single" w:sz="4" w:space="0" w:color="auto"/>
              <w:left w:val="nil"/>
              <w:bottom w:val="single" w:sz="4" w:space="0" w:color="auto"/>
              <w:right w:val="single" w:sz="4" w:space="0" w:color="auto"/>
            </w:tcBorders>
            <w:vAlign w:val="bottom"/>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GEE</w:t>
            </w:r>
          </w:p>
        </w:tc>
        <w:tc>
          <w:tcPr>
            <w:tcW w:w="1273" w:type="dxa"/>
            <w:tcBorders>
              <w:top w:val="single" w:sz="4" w:space="0" w:color="auto"/>
              <w:left w:val="nil"/>
              <w:bottom w:val="single" w:sz="4" w:space="0" w:color="auto"/>
              <w:right w:val="single" w:sz="4" w:space="0" w:color="auto"/>
            </w:tcBorders>
            <w:vAlign w:val="bottom"/>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POP</w:t>
            </w:r>
          </w:p>
        </w:tc>
        <w:tc>
          <w:tcPr>
            <w:tcW w:w="1276" w:type="dxa"/>
            <w:tcBorders>
              <w:top w:val="single" w:sz="4" w:space="0" w:color="auto"/>
              <w:left w:val="nil"/>
              <w:bottom w:val="single" w:sz="4" w:space="0" w:color="auto"/>
              <w:right w:val="single" w:sz="4" w:space="0" w:color="auto"/>
            </w:tcBorders>
            <w:vAlign w:val="bottom"/>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LIR</w:t>
            </w:r>
          </w:p>
        </w:tc>
        <w:tc>
          <w:tcPr>
            <w:tcW w:w="1276" w:type="dxa"/>
            <w:tcBorders>
              <w:top w:val="single" w:sz="4" w:space="0" w:color="auto"/>
              <w:left w:val="nil"/>
              <w:bottom w:val="single" w:sz="4" w:space="0" w:color="auto"/>
              <w:right w:val="single" w:sz="4" w:space="0" w:color="auto"/>
            </w:tcBorders>
            <w:vAlign w:val="bottom"/>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DIR</w:t>
            </w:r>
          </w:p>
        </w:tc>
        <w:tc>
          <w:tcPr>
            <w:tcW w:w="1701" w:type="dxa"/>
            <w:tcBorders>
              <w:top w:val="single" w:sz="4" w:space="0" w:color="auto"/>
              <w:left w:val="nil"/>
              <w:bottom w:val="single" w:sz="4" w:space="0" w:color="auto"/>
              <w:right w:val="single" w:sz="4" w:space="0" w:color="auto"/>
            </w:tcBorders>
            <w:vAlign w:val="bottom"/>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GDP</w:t>
            </w:r>
          </w:p>
        </w:tc>
      </w:tr>
      <w:tr w:rsidR="002A55D4" w:rsidRPr="000D4FA1" w:rsidTr="00ED5D01">
        <w:trPr>
          <w:trHeight w:val="234"/>
        </w:trPr>
        <w:tc>
          <w:tcPr>
            <w:tcW w:w="2680" w:type="dxa"/>
            <w:gridSpan w:val="2"/>
            <w:tcBorders>
              <w:top w:val="single" w:sz="4" w:space="0" w:color="auto"/>
              <w:left w:val="single" w:sz="4" w:space="0" w:color="auto"/>
              <w:bottom w:val="single" w:sz="4" w:space="0" w:color="auto"/>
              <w:right w:val="single" w:sz="4" w:space="0" w:color="000000"/>
            </w:tcBorders>
            <w:shd w:val="clear" w:color="000000" w:fill="DCE6F1"/>
            <w:hideMark/>
          </w:tcPr>
          <w:p w:rsidR="002A55D4" w:rsidRPr="000D4FA1" w:rsidRDefault="002A55D4" w:rsidP="002A55D4">
            <w:pPr>
              <w:spacing w:after="0" w:line="240" w:lineRule="auto"/>
              <w:jc w:val="center"/>
              <w:rPr>
                <w:rFonts w:ascii="Times New Roman" w:eastAsia="Times New Roman" w:hAnsi="Times New Roman" w:cs="Times New Roman"/>
                <w:b/>
                <w:bCs/>
                <w:noProof/>
                <w:sz w:val="24"/>
                <w:szCs w:val="24"/>
              </w:rPr>
            </w:pPr>
            <w:r w:rsidRPr="000D4FA1">
              <w:rPr>
                <w:rFonts w:ascii="Times New Roman" w:eastAsia="Times New Roman" w:hAnsi="Times New Roman" w:cs="Times New Roman"/>
                <w:b/>
                <w:bCs/>
                <w:noProof/>
                <w:sz w:val="24"/>
                <w:szCs w:val="24"/>
              </w:rPr>
              <w:t>Среднее</w:t>
            </w:r>
          </w:p>
        </w:tc>
        <w:tc>
          <w:tcPr>
            <w:tcW w:w="1400" w:type="dxa"/>
            <w:tcBorders>
              <w:top w:val="nil"/>
              <w:left w:val="nil"/>
              <w:bottom w:val="single" w:sz="4" w:space="0" w:color="auto"/>
              <w:right w:val="single" w:sz="4" w:space="0" w:color="auto"/>
            </w:tcBorders>
            <w:shd w:val="clear" w:color="000000" w:fill="DCE6F1"/>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14.25</w:t>
            </w:r>
          </w:p>
        </w:tc>
        <w:tc>
          <w:tcPr>
            <w:tcW w:w="1273" w:type="dxa"/>
            <w:tcBorders>
              <w:top w:val="nil"/>
              <w:left w:val="nil"/>
              <w:bottom w:val="single" w:sz="4" w:space="0" w:color="auto"/>
              <w:right w:val="single" w:sz="4" w:space="0" w:color="auto"/>
            </w:tcBorders>
            <w:shd w:val="clear" w:color="000000" w:fill="DCE6F1"/>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30.22</w:t>
            </w:r>
          </w:p>
        </w:tc>
        <w:tc>
          <w:tcPr>
            <w:tcW w:w="1276" w:type="dxa"/>
            <w:tcBorders>
              <w:top w:val="nil"/>
              <w:left w:val="nil"/>
              <w:bottom w:val="single" w:sz="4" w:space="0" w:color="auto"/>
              <w:right w:val="single" w:sz="4" w:space="0" w:color="auto"/>
            </w:tcBorders>
            <w:shd w:val="clear" w:color="000000" w:fill="DCE6F1"/>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17.19</w:t>
            </w:r>
          </w:p>
        </w:tc>
        <w:tc>
          <w:tcPr>
            <w:tcW w:w="1276" w:type="dxa"/>
            <w:tcBorders>
              <w:top w:val="nil"/>
              <w:left w:val="nil"/>
              <w:bottom w:val="single" w:sz="4" w:space="0" w:color="auto"/>
              <w:right w:val="single" w:sz="4" w:space="0" w:color="auto"/>
            </w:tcBorders>
            <w:shd w:val="clear" w:color="000000" w:fill="DCE6F1"/>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6.32</w:t>
            </w:r>
          </w:p>
        </w:tc>
        <w:tc>
          <w:tcPr>
            <w:tcW w:w="1701" w:type="dxa"/>
            <w:tcBorders>
              <w:top w:val="nil"/>
              <w:left w:val="nil"/>
              <w:bottom w:val="single" w:sz="4" w:space="0" w:color="auto"/>
              <w:right w:val="single" w:sz="4" w:space="0" w:color="auto"/>
            </w:tcBorders>
            <w:shd w:val="clear" w:color="000000" w:fill="DCE6F1"/>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36.72</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Andorra</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6.37</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37.89</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19.40</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7.40</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80.40</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Comoros</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9.93</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0.87</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1.55</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Jordan</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11.72</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11.55</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8.48</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6.04</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53.35</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4</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Kiribati</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20.12</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0.13</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0.31</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5</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Lao PDR</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8.24</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7.77</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16.50</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6</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Lithuani</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10.37</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2.34</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11.21</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2.46</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2.27</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7</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Mozambiq</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32.04</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5.17</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10.77</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8</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Malawi</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16.00</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21.66</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37.06</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11.01</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9</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Namibia</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25.05</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3.03</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10.96</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5.38</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13.37</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10</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Nepal</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2.98</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232.68</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187.76</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Rwanda</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14.19</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14.26</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16.02</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10.33</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14.25</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12</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Spain</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11.65</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9.52</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9.93</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13</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Tanzania</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13.41</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68.56</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78.78</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14</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Zambia</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15.38</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21.31</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26.33</w:t>
            </w:r>
          </w:p>
        </w:tc>
      </w:tr>
      <w:tr w:rsidR="002A55D4" w:rsidRPr="000D4FA1" w:rsidTr="00ED5D01">
        <w:trPr>
          <w:trHeight w:val="315"/>
        </w:trPr>
        <w:tc>
          <w:tcPr>
            <w:tcW w:w="960" w:type="dxa"/>
            <w:tcBorders>
              <w:top w:val="nil"/>
              <w:left w:val="single" w:sz="4" w:space="0" w:color="auto"/>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15</w:t>
            </w:r>
          </w:p>
        </w:tc>
        <w:tc>
          <w:tcPr>
            <w:tcW w:w="1720" w:type="dxa"/>
            <w:tcBorders>
              <w:top w:val="nil"/>
              <w:left w:val="nil"/>
              <w:bottom w:val="single" w:sz="4" w:space="0" w:color="auto"/>
              <w:right w:val="single" w:sz="4" w:space="0" w:color="auto"/>
            </w:tcBorders>
            <w:hideMark/>
          </w:tcPr>
          <w:p w:rsidR="002A55D4" w:rsidRPr="000D4FA1" w:rsidRDefault="002A55D4" w:rsidP="002A55D4">
            <w:pPr>
              <w:spacing w:after="0" w:line="240" w:lineRule="auto"/>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Zimbabwe</w:t>
            </w:r>
          </w:p>
        </w:tc>
        <w:tc>
          <w:tcPr>
            <w:tcW w:w="1400"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16.32</w:t>
            </w:r>
          </w:p>
        </w:tc>
        <w:tc>
          <w:tcPr>
            <w:tcW w:w="1273"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16.63</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276"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 </w:t>
            </w:r>
          </w:p>
        </w:tc>
        <w:tc>
          <w:tcPr>
            <w:tcW w:w="1701" w:type="dxa"/>
            <w:tcBorders>
              <w:top w:val="nil"/>
              <w:left w:val="nil"/>
              <w:bottom w:val="single" w:sz="4" w:space="0" w:color="auto"/>
              <w:right w:val="single" w:sz="4" w:space="0" w:color="auto"/>
            </w:tcBorders>
            <w:noWrap/>
            <w:hideMark/>
          </w:tcPr>
          <w:p w:rsidR="002A55D4" w:rsidRPr="000D4FA1" w:rsidRDefault="002A55D4" w:rsidP="002A55D4">
            <w:pPr>
              <w:spacing w:after="0" w:line="240" w:lineRule="auto"/>
              <w:jc w:val="center"/>
              <w:rPr>
                <w:rFonts w:ascii="Times New Roman" w:eastAsia="Times New Roman" w:hAnsi="Times New Roman" w:cs="Times New Roman"/>
                <w:noProof/>
                <w:sz w:val="24"/>
                <w:szCs w:val="24"/>
              </w:rPr>
            </w:pPr>
            <w:r w:rsidRPr="000D4FA1">
              <w:rPr>
                <w:rFonts w:ascii="Times New Roman" w:eastAsia="Times New Roman" w:hAnsi="Times New Roman" w:cs="Times New Roman"/>
                <w:noProof/>
                <w:sz w:val="24"/>
                <w:szCs w:val="24"/>
              </w:rPr>
              <w:t>44.19</w:t>
            </w:r>
          </w:p>
        </w:tc>
      </w:tr>
    </w:tbl>
    <w:p w:rsidR="00BD7556" w:rsidRPr="000D4FA1" w:rsidRDefault="00BD7556" w:rsidP="00852D1D">
      <w:pPr>
        <w:spacing w:after="0" w:line="240" w:lineRule="auto"/>
        <w:ind w:firstLine="720"/>
        <w:jc w:val="both"/>
        <w:rPr>
          <w:rFonts w:ascii="Times New Roman" w:hAnsi="Times New Roman" w:cs="Times New Roman"/>
          <w:sz w:val="28"/>
          <w:szCs w:val="28"/>
          <w:lang w:val="ru-RU"/>
        </w:rPr>
      </w:pPr>
    </w:p>
    <w:p w:rsidR="00852D1D" w:rsidRPr="000D4FA1" w:rsidRDefault="00852D1D" w:rsidP="00852D1D">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Значительная вариативность внутри кластера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от очень низких уровней экономической активности (Коморские о</w:t>
      </w:r>
      <w:r w:rsidR="00ED5D01"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ва, Лаос, Литва в части отдельных индикаторов) до относительно высоких значений у Зимбабве, Намибии, Танзании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указывает на неоднородность структурных условий развития, однако общая траектория остаётся сходной: сравнительно слабая институциональная устойчивость, демографическое давление и недостаточный уровень инвестиций в экономику.</w:t>
      </w:r>
    </w:p>
    <w:p w:rsidR="00852D1D" w:rsidRPr="000D4FA1" w:rsidRDefault="00852D1D" w:rsidP="00852D1D">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Большинство стран демонстрируют невысокие показатели </w:t>
      </w:r>
      <w:r w:rsidRPr="000D4FA1">
        <w:rPr>
          <w:rFonts w:ascii="Times New Roman" w:hAnsi="Times New Roman" w:cs="Times New Roman"/>
          <w:sz w:val="28"/>
          <w:szCs w:val="28"/>
        </w:rPr>
        <w:t>LIR</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DIR</w:t>
      </w:r>
      <w:r w:rsidRPr="000D4FA1">
        <w:rPr>
          <w:rFonts w:ascii="Times New Roman" w:hAnsi="Times New Roman" w:cs="Times New Roman"/>
          <w:sz w:val="28"/>
          <w:szCs w:val="28"/>
          <w:lang w:val="ru-RU"/>
        </w:rPr>
        <w:t xml:space="preserve">, что отражает низкую цифровую включённость и ограниченный доступ к инновационным ресурсам. При этом некоторые государства (например, </w:t>
      </w:r>
      <w:r w:rsidRPr="000D4FA1">
        <w:rPr>
          <w:rFonts w:ascii="Times New Roman" w:hAnsi="Times New Roman" w:cs="Times New Roman"/>
          <w:sz w:val="28"/>
          <w:szCs w:val="28"/>
        </w:rPr>
        <w:t>Malawi</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Tanzania</w:t>
      </w:r>
      <w:r w:rsidRPr="000D4FA1">
        <w:rPr>
          <w:rFonts w:ascii="Times New Roman" w:hAnsi="Times New Roman" w:cs="Times New Roman"/>
          <w:sz w:val="28"/>
          <w:szCs w:val="28"/>
          <w:lang w:val="ru-RU"/>
        </w:rPr>
        <w:t xml:space="preserve">) выделяются высокими значениями отдельных индикаторов, что говорит о наличии потенциала для ускоренного роста при условии достаточной государственной поддержки. </w:t>
      </w:r>
    </w:p>
    <w:p w:rsidR="00A00396" w:rsidRDefault="00A00396" w:rsidP="00A0039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В совокупности страны Кластера 1 формируют группу наиболее экономически уязвимых государств, для которых характерна высокая чувствительность к внешним шокам, дефицит ресурсов для модернизации, а также необходимость целевых мер по укреплению человеческого капитала и развитию базовой инфраструктуры.</w:t>
      </w:r>
    </w:p>
    <w:p w:rsidR="00A00396" w:rsidRDefault="00A00396" w:rsidP="00A00396">
      <w:pPr>
        <w:spacing w:after="0" w:line="240" w:lineRule="auto"/>
        <w:ind w:firstLine="720"/>
        <w:jc w:val="both"/>
        <w:rPr>
          <w:rFonts w:ascii="Times New Roman" w:hAnsi="Times New Roman" w:cs="Times New Roman"/>
          <w:sz w:val="28"/>
          <w:szCs w:val="28"/>
          <w:lang w:val="ru-RU"/>
        </w:rPr>
      </w:pPr>
    </w:p>
    <w:p w:rsidR="00A00396" w:rsidRPr="000D4FA1" w:rsidRDefault="00A00396" w:rsidP="00A00396">
      <w:pPr>
        <w:spacing w:after="0" w:line="240" w:lineRule="auto"/>
        <w:ind w:firstLine="720"/>
        <w:jc w:val="both"/>
        <w:rPr>
          <w:rFonts w:ascii="Times New Roman" w:hAnsi="Times New Roman" w:cs="Times New Roman"/>
          <w:sz w:val="28"/>
          <w:szCs w:val="28"/>
          <w:lang w:val="ru-RU"/>
        </w:rPr>
      </w:pPr>
    </w:p>
    <w:p w:rsidR="0085322D" w:rsidRPr="000D4FA1" w:rsidRDefault="0085322D" w:rsidP="00852D1D">
      <w:pPr>
        <w:spacing w:after="0" w:line="240" w:lineRule="auto"/>
        <w:ind w:firstLine="720"/>
        <w:jc w:val="both"/>
        <w:rPr>
          <w:rFonts w:ascii="Times New Roman" w:hAnsi="Times New Roman" w:cs="Times New Roman"/>
          <w:sz w:val="28"/>
          <w:szCs w:val="28"/>
          <w:lang w:val="ru-RU"/>
        </w:rPr>
      </w:pPr>
    </w:p>
    <w:p w:rsidR="0085322D" w:rsidRPr="000D4FA1" w:rsidRDefault="0085322D" w:rsidP="00852D1D">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lastRenderedPageBreak/>
        <w:t xml:space="preserve">Таблица </w:t>
      </w:r>
      <w:r w:rsidR="00D17049" w:rsidRPr="000D4FA1">
        <w:rPr>
          <w:rFonts w:ascii="Times New Roman" w:hAnsi="Times New Roman" w:cs="Times New Roman"/>
          <w:sz w:val="28"/>
          <w:szCs w:val="28"/>
          <w:lang w:val="ru-RU"/>
        </w:rPr>
        <w:t>31</w:t>
      </w:r>
      <w:r w:rsidRPr="000D4FA1">
        <w:rPr>
          <w:rFonts w:ascii="Times New Roman" w:hAnsi="Times New Roman" w:cs="Times New Roman"/>
          <w:sz w:val="28"/>
          <w:szCs w:val="28"/>
          <w:lang w:val="ru-RU"/>
        </w:rPr>
        <w:t xml:space="preserve"> </w:t>
      </w:r>
      <w:r w:rsidR="00ED5D01"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Профиль стран, входящих во 2</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й кластер (страны со средним уровнем экономического развития и умеренной поддержкой образования)</w:t>
      </w:r>
    </w:p>
    <w:tbl>
      <w:tblPr>
        <w:tblW w:w="9180" w:type="dxa"/>
        <w:tblLook w:val="04A0"/>
      </w:tblPr>
      <w:tblGrid>
        <w:gridCol w:w="960"/>
        <w:gridCol w:w="1720"/>
        <w:gridCol w:w="1400"/>
        <w:gridCol w:w="1120"/>
        <w:gridCol w:w="1100"/>
        <w:gridCol w:w="960"/>
        <w:gridCol w:w="1920"/>
      </w:tblGrid>
      <w:tr w:rsidR="007A4F6D" w:rsidRPr="000D4FA1" w:rsidTr="00A00396">
        <w:trPr>
          <w:trHeight w:val="600"/>
        </w:trPr>
        <w:tc>
          <w:tcPr>
            <w:tcW w:w="960" w:type="dxa"/>
            <w:tcBorders>
              <w:top w:val="single" w:sz="4" w:space="0" w:color="auto"/>
              <w:left w:val="single" w:sz="4" w:space="0" w:color="auto"/>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lang w:val="ru-RU"/>
              </w:rPr>
            </w:pPr>
            <w:r w:rsidRPr="000D4FA1">
              <w:rPr>
                <w:rFonts w:ascii="Times New Roman" w:hAnsi="Times New Roman" w:cs="Times New Roman"/>
                <w:sz w:val="28"/>
                <w:szCs w:val="28"/>
                <w:lang w:val="ru-RU"/>
              </w:rPr>
              <w:br w:type="page"/>
            </w:r>
            <w:r w:rsidRPr="000D4FA1">
              <w:rPr>
                <w:rFonts w:ascii="Times New Roman" w:eastAsia="Times New Roman" w:hAnsi="Times New Roman" w:cs="Times New Roman"/>
                <w:noProof/>
                <w:color w:val="000000"/>
                <w:sz w:val="24"/>
                <w:szCs w:val="24"/>
              </w:rPr>
              <w:t> </w:t>
            </w:r>
          </w:p>
        </w:tc>
        <w:tc>
          <w:tcPr>
            <w:tcW w:w="1720" w:type="dxa"/>
            <w:tcBorders>
              <w:top w:val="single" w:sz="4" w:space="0" w:color="auto"/>
              <w:left w:val="nil"/>
              <w:bottom w:val="single" w:sz="4" w:space="0" w:color="auto"/>
              <w:right w:val="single" w:sz="4" w:space="0" w:color="auto"/>
            </w:tcBorders>
            <w:vAlign w:val="center"/>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Страны</w:t>
            </w:r>
          </w:p>
        </w:tc>
        <w:tc>
          <w:tcPr>
            <w:tcW w:w="1400" w:type="dxa"/>
            <w:tcBorders>
              <w:top w:val="single" w:sz="4" w:space="0" w:color="auto"/>
              <w:left w:val="nil"/>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GEE</w:t>
            </w:r>
          </w:p>
        </w:tc>
        <w:tc>
          <w:tcPr>
            <w:tcW w:w="1120" w:type="dxa"/>
            <w:tcBorders>
              <w:top w:val="single" w:sz="4" w:space="0" w:color="auto"/>
              <w:left w:val="nil"/>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POP</w:t>
            </w:r>
          </w:p>
        </w:tc>
        <w:tc>
          <w:tcPr>
            <w:tcW w:w="1100" w:type="dxa"/>
            <w:tcBorders>
              <w:top w:val="single" w:sz="4" w:space="0" w:color="auto"/>
              <w:left w:val="nil"/>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LIR</w:t>
            </w:r>
          </w:p>
        </w:tc>
        <w:tc>
          <w:tcPr>
            <w:tcW w:w="960" w:type="dxa"/>
            <w:tcBorders>
              <w:top w:val="single" w:sz="4" w:space="0" w:color="auto"/>
              <w:left w:val="nil"/>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DIR</w:t>
            </w:r>
          </w:p>
        </w:tc>
        <w:tc>
          <w:tcPr>
            <w:tcW w:w="1920" w:type="dxa"/>
            <w:tcBorders>
              <w:top w:val="single" w:sz="4" w:space="0" w:color="auto"/>
              <w:left w:val="nil"/>
              <w:bottom w:val="single" w:sz="4" w:space="0" w:color="auto"/>
              <w:right w:val="single" w:sz="4" w:space="0" w:color="auto"/>
            </w:tcBorders>
            <w:vAlign w:val="bottom"/>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GDP</w:t>
            </w:r>
          </w:p>
        </w:tc>
      </w:tr>
      <w:tr w:rsidR="007A4F6D" w:rsidRPr="000D4FA1" w:rsidTr="00A00396">
        <w:trPr>
          <w:trHeight w:val="225"/>
        </w:trPr>
        <w:tc>
          <w:tcPr>
            <w:tcW w:w="2680" w:type="dxa"/>
            <w:gridSpan w:val="2"/>
            <w:tcBorders>
              <w:top w:val="single" w:sz="4" w:space="0" w:color="auto"/>
              <w:left w:val="single" w:sz="4" w:space="0" w:color="auto"/>
              <w:bottom w:val="single" w:sz="4" w:space="0" w:color="auto"/>
              <w:right w:val="single" w:sz="4" w:space="0" w:color="000000"/>
            </w:tcBorders>
            <w:shd w:val="clear" w:color="000000" w:fill="DCE6F1"/>
            <w:hideMark/>
          </w:tcPr>
          <w:p w:rsidR="007A4F6D" w:rsidRPr="000D4FA1" w:rsidRDefault="007A4F6D" w:rsidP="007A4F6D">
            <w:pPr>
              <w:spacing w:after="0" w:line="240" w:lineRule="auto"/>
              <w:jc w:val="center"/>
              <w:rPr>
                <w:rFonts w:ascii="Times New Roman" w:eastAsia="Times New Roman" w:hAnsi="Times New Roman" w:cs="Times New Roman"/>
                <w:b/>
                <w:bCs/>
                <w:noProof/>
                <w:color w:val="000000"/>
                <w:sz w:val="24"/>
                <w:szCs w:val="24"/>
              </w:rPr>
            </w:pPr>
            <w:r w:rsidRPr="000D4FA1">
              <w:rPr>
                <w:rFonts w:ascii="Times New Roman" w:eastAsia="Times New Roman" w:hAnsi="Times New Roman" w:cs="Times New Roman"/>
                <w:b/>
                <w:bCs/>
                <w:noProof/>
                <w:color w:val="000000"/>
                <w:sz w:val="24"/>
                <w:szCs w:val="24"/>
              </w:rPr>
              <w:t>Среднее</w:t>
            </w:r>
          </w:p>
        </w:tc>
        <w:tc>
          <w:tcPr>
            <w:tcW w:w="1400" w:type="dxa"/>
            <w:tcBorders>
              <w:top w:val="nil"/>
              <w:left w:val="nil"/>
              <w:bottom w:val="single" w:sz="4" w:space="0" w:color="auto"/>
              <w:right w:val="single" w:sz="4" w:space="0" w:color="auto"/>
            </w:tcBorders>
            <w:shd w:val="clear" w:color="000000" w:fill="DCE6F1"/>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17.1982</w:t>
            </w:r>
          </w:p>
        </w:tc>
        <w:tc>
          <w:tcPr>
            <w:tcW w:w="1120" w:type="dxa"/>
            <w:tcBorders>
              <w:top w:val="nil"/>
              <w:left w:val="nil"/>
              <w:bottom w:val="single" w:sz="4" w:space="0" w:color="auto"/>
              <w:right w:val="single" w:sz="4" w:space="0" w:color="auto"/>
            </w:tcBorders>
            <w:shd w:val="clear" w:color="000000" w:fill="DCE6F1"/>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30.5899</w:t>
            </w:r>
          </w:p>
        </w:tc>
        <w:tc>
          <w:tcPr>
            <w:tcW w:w="1100" w:type="dxa"/>
            <w:tcBorders>
              <w:top w:val="nil"/>
              <w:left w:val="nil"/>
              <w:bottom w:val="single" w:sz="4" w:space="0" w:color="auto"/>
              <w:right w:val="single" w:sz="4" w:space="0" w:color="auto"/>
            </w:tcBorders>
            <w:shd w:val="clear" w:color="000000" w:fill="DCE6F1"/>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12.8726</w:t>
            </w:r>
          </w:p>
        </w:tc>
        <w:tc>
          <w:tcPr>
            <w:tcW w:w="960" w:type="dxa"/>
            <w:tcBorders>
              <w:top w:val="nil"/>
              <w:left w:val="nil"/>
              <w:bottom w:val="single" w:sz="4" w:space="0" w:color="auto"/>
              <w:right w:val="single" w:sz="4" w:space="0" w:color="auto"/>
            </w:tcBorders>
            <w:shd w:val="clear" w:color="000000" w:fill="DCE6F1"/>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5.2472</w:t>
            </w:r>
          </w:p>
        </w:tc>
        <w:tc>
          <w:tcPr>
            <w:tcW w:w="1920" w:type="dxa"/>
            <w:tcBorders>
              <w:top w:val="nil"/>
              <w:left w:val="nil"/>
              <w:bottom w:val="single" w:sz="4" w:space="0" w:color="auto"/>
              <w:right w:val="single" w:sz="4" w:space="0" w:color="auto"/>
            </w:tcBorders>
            <w:shd w:val="clear" w:color="000000" w:fill="DCE6F1"/>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148.1739</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Bahrain</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11.45</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10.20</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14.67</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8.59</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74.32</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Bhutan</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11.99</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173.56</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9.85</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8.52</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450.12</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3</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Cabo Ver</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13.41</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0.52</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7.79</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1.67</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2.77</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Dominica</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21.86</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11.43</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15.25</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9.77</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124.28</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5</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Algeria</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23.56</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46.81</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1.75</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263.62</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6</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Ecuador</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9.71</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18.14</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7.09</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124.68</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Hong Kon</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22.99</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18.41</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12.40</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4.93</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113.20</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8</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Jamaica</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17.87</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2.84</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12.00</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6.23</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19.93</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shd w:val="clear" w:color="auto" w:fill="E7E6E6" w:themeFill="background2"/>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9</w:t>
            </w:r>
          </w:p>
        </w:tc>
        <w:tc>
          <w:tcPr>
            <w:tcW w:w="1720" w:type="dxa"/>
            <w:tcBorders>
              <w:top w:val="nil"/>
              <w:left w:val="nil"/>
              <w:bottom w:val="single" w:sz="4" w:space="0" w:color="auto"/>
              <w:right w:val="single" w:sz="4" w:space="0" w:color="auto"/>
            </w:tcBorders>
            <w:shd w:val="clear" w:color="auto" w:fill="E7E6E6" w:themeFill="background2"/>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Kazakhstan</w:t>
            </w:r>
          </w:p>
        </w:tc>
        <w:tc>
          <w:tcPr>
            <w:tcW w:w="1400" w:type="dxa"/>
            <w:tcBorders>
              <w:top w:val="nil"/>
              <w:left w:val="nil"/>
              <w:bottom w:val="single" w:sz="4" w:space="0" w:color="auto"/>
              <w:right w:val="single" w:sz="4" w:space="0" w:color="auto"/>
            </w:tcBorders>
            <w:shd w:val="clear" w:color="auto" w:fill="E7E6E6" w:themeFill="background2"/>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21.96</w:t>
            </w:r>
          </w:p>
        </w:tc>
        <w:tc>
          <w:tcPr>
            <w:tcW w:w="1120" w:type="dxa"/>
            <w:tcBorders>
              <w:top w:val="nil"/>
              <w:left w:val="nil"/>
              <w:bottom w:val="single" w:sz="4" w:space="0" w:color="auto"/>
              <w:right w:val="single" w:sz="4" w:space="0" w:color="auto"/>
            </w:tcBorders>
            <w:shd w:val="clear" w:color="auto" w:fill="E7E6E6" w:themeFill="background2"/>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20.59</w:t>
            </w:r>
          </w:p>
        </w:tc>
        <w:tc>
          <w:tcPr>
            <w:tcW w:w="1100" w:type="dxa"/>
            <w:tcBorders>
              <w:top w:val="nil"/>
              <w:left w:val="nil"/>
              <w:bottom w:val="single" w:sz="4" w:space="0" w:color="auto"/>
              <w:right w:val="single" w:sz="4" w:space="0" w:color="auto"/>
            </w:tcBorders>
            <w:shd w:val="clear" w:color="auto" w:fill="E7E6E6" w:themeFill="background2"/>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shd w:val="clear" w:color="auto" w:fill="E7E6E6" w:themeFill="background2"/>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shd w:val="clear" w:color="auto" w:fill="E7E6E6" w:themeFill="background2"/>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288.41</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10</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Kyrgyz R</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19.65</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7.22</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19.78</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1.67</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17.48</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Mongolia</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13.78</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3.52</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23.59</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Nicaragu</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11.01</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6.92</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11.24</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2.25</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19.69</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13</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Peru</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19.21</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34.22</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289.22</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14</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Philippi</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16.55</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115.84</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461.62</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15</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Poland</w:t>
            </w:r>
          </w:p>
        </w:tc>
        <w:tc>
          <w:tcPr>
            <w:tcW w:w="14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22.37</w:t>
            </w:r>
          </w:p>
        </w:tc>
        <w:tc>
          <w:tcPr>
            <w:tcW w:w="11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6.93</w:t>
            </w:r>
          </w:p>
        </w:tc>
        <w:tc>
          <w:tcPr>
            <w:tcW w:w="110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noWrap/>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44.46</w:t>
            </w:r>
          </w:p>
        </w:tc>
      </w:tr>
      <w:tr w:rsidR="007A4F6D" w:rsidRPr="000D4FA1" w:rsidTr="00A00396">
        <w:trPr>
          <w:trHeight w:val="315"/>
        </w:trPr>
        <w:tc>
          <w:tcPr>
            <w:tcW w:w="960" w:type="dxa"/>
            <w:tcBorders>
              <w:top w:val="nil"/>
              <w:left w:val="single" w:sz="4" w:space="0" w:color="auto"/>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16</w:t>
            </w:r>
          </w:p>
        </w:tc>
        <w:tc>
          <w:tcPr>
            <w:tcW w:w="17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Tunisia</w:t>
            </w:r>
          </w:p>
        </w:tc>
        <w:tc>
          <w:tcPr>
            <w:tcW w:w="1400" w:type="dxa"/>
            <w:tcBorders>
              <w:top w:val="nil"/>
              <w:left w:val="nil"/>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17.81</w:t>
            </w:r>
          </w:p>
        </w:tc>
        <w:tc>
          <w:tcPr>
            <w:tcW w:w="11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12.28</w:t>
            </w:r>
          </w:p>
        </w:tc>
        <w:tc>
          <w:tcPr>
            <w:tcW w:w="1100" w:type="dxa"/>
            <w:tcBorders>
              <w:top w:val="nil"/>
              <w:left w:val="nil"/>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960" w:type="dxa"/>
            <w:tcBorders>
              <w:top w:val="nil"/>
              <w:left w:val="nil"/>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 </w:t>
            </w:r>
          </w:p>
        </w:tc>
        <w:tc>
          <w:tcPr>
            <w:tcW w:w="1920" w:type="dxa"/>
            <w:tcBorders>
              <w:top w:val="nil"/>
              <w:left w:val="nil"/>
              <w:bottom w:val="single" w:sz="4" w:space="0" w:color="auto"/>
              <w:right w:val="single" w:sz="4" w:space="0" w:color="auto"/>
            </w:tcBorders>
            <w:hideMark/>
          </w:tcPr>
          <w:p w:rsidR="007A4F6D" w:rsidRPr="000D4FA1" w:rsidRDefault="007A4F6D" w:rsidP="007A4F6D">
            <w:pPr>
              <w:spacing w:after="0" w:line="240" w:lineRule="auto"/>
              <w:jc w:val="center"/>
              <w:rPr>
                <w:rFonts w:ascii="Times New Roman" w:eastAsia="Times New Roman" w:hAnsi="Times New Roman" w:cs="Times New Roman"/>
                <w:noProof/>
                <w:color w:val="000000"/>
                <w:sz w:val="24"/>
                <w:szCs w:val="24"/>
              </w:rPr>
            </w:pPr>
            <w:r w:rsidRPr="000D4FA1">
              <w:rPr>
                <w:rFonts w:ascii="Times New Roman" w:eastAsia="Times New Roman" w:hAnsi="Times New Roman" w:cs="Times New Roman"/>
                <w:noProof/>
                <w:color w:val="000000"/>
                <w:sz w:val="24"/>
                <w:szCs w:val="24"/>
              </w:rPr>
              <w:t>53.41</w:t>
            </w:r>
          </w:p>
        </w:tc>
      </w:tr>
    </w:tbl>
    <w:p w:rsidR="002B3956" w:rsidRPr="000D4FA1" w:rsidRDefault="002B3956" w:rsidP="003C138F">
      <w:pPr>
        <w:spacing w:after="0" w:line="240" w:lineRule="auto"/>
        <w:ind w:firstLine="720"/>
        <w:jc w:val="both"/>
        <w:rPr>
          <w:rFonts w:ascii="Times New Roman" w:hAnsi="Times New Roman" w:cs="Times New Roman"/>
          <w:sz w:val="28"/>
          <w:szCs w:val="28"/>
        </w:rPr>
      </w:pPr>
    </w:p>
    <w:p w:rsidR="003C138F" w:rsidRPr="000D4FA1" w:rsidRDefault="003C138F" w:rsidP="003C138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Представленная таблица </w:t>
      </w:r>
      <w:r w:rsidR="00D17049" w:rsidRPr="000D4FA1">
        <w:rPr>
          <w:rFonts w:ascii="Times New Roman" w:hAnsi="Times New Roman" w:cs="Times New Roman"/>
          <w:sz w:val="28"/>
          <w:szCs w:val="28"/>
          <w:lang w:val="ru-RU"/>
        </w:rPr>
        <w:t xml:space="preserve">31 </w:t>
      </w:r>
      <w:r w:rsidRPr="000D4FA1">
        <w:rPr>
          <w:rFonts w:ascii="Times New Roman" w:hAnsi="Times New Roman" w:cs="Times New Roman"/>
          <w:sz w:val="28"/>
          <w:szCs w:val="28"/>
          <w:lang w:val="ru-RU"/>
        </w:rPr>
        <w:t>отражает средние значения ключевых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экономических показателей стран, отнесённых ко 2</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му кластеру. Данный кластер характеризуется умеренными значениями по всем индикаторам, что подтверждает его промежуточное положение между экономически слабым и высокоразвитым типами стран. Средние значения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(17.19) и </w:t>
      </w:r>
      <w:r w:rsidRPr="000D4FA1">
        <w:rPr>
          <w:rFonts w:ascii="Times New Roman" w:hAnsi="Times New Roman" w:cs="Times New Roman"/>
          <w:sz w:val="28"/>
          <w:szCs w:val="28"/>
        </w:rPr>
        <w:t>LIR</w:t>
      </w:r>
      <w:r w:rsidRPr="000D4FA1">
        <w:rPr>
          <w:rFonts w:ascii="Times New Roman" w:hAnsi="Times New Roman" w:cs="Times New Roman"/>
          <w:sz w:val="28"/>
          <w:szCs w:val="28"/>
          <w:lang w:val="ru-RU"/>
        </w:rPr>
        <w:t xml:space="preserve"> (12.87) указывают на достаточно устойчивый уровень государственных расходов на образование и приемлемые показатели вовлечённости населения в обучение. Значение </w:t>
      </w:r>
      <w:r w:rsidRPr="000D4FA1">
        <w:rPr>
          <w:rFonts w:ascii="Times New Roman" w:hAnsi="Times New Roman" w:cs="Times New Roman"/>
          <w:sz w:val="28"/>
          <w:szCs w:val="28"/>
        </w:rPr>
        <w:t>POP</w:t>
      </w:r>
      <w:r w:rsidRPr="000D4FA1">
        <w:rPr>
          <w:rFonts w:ascii="Times New Roman" w:hAnsi="Times New Roman" w:cs="Times New Roman"/>
          <w:sz w:val="28"/>
          <w:szCs w:val="28"/>
          <w:lang w:val="ru-RU"/>
        </w:rPr>
        <w:t xml:space="preserve"> (30.59) демонстрирует относительно среднюю демографическую нагрузку, что отражает умеренный потенциал формирования человеческого капитала.</w:t>
      </w:r>
    </w:p>
    <w:p w:rsidR="003C138F" w:rsidRPr="000D4FA1" w:rsidRDefault="003C138F" w:rsidP="003C138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Индикатор </w:t>
      </w:r>
      <w:r w:rsidRPr="000D4FA1">
        <w:rPr>
          <w:rFonts w:ascii="Times New Roman" w:hAnsi="Times New Roman" w:cs="Times New Roman"/>
          <w:sz w:val="28"/>
          <w:szCs w:val="28"/>
        </w:rPr>
        <w:t>DIR</w:t>
      </w:r>
      <w:r w:rsidRPr="000D4FA1">
        <w:rPr>
          <w:rFonts w:ascii="Times New Roman" w:hAnsi="Times New Roman" w:cs="Times New Roman"/>
          <w:sz w:val="28"/>
          <w:szCs w:val="28"/>
          <w:lang w:val="ru-RU"/>
        </w:rPr>
        <w:t xml:space="preserve"> (5.25) свидетельствует о средней интенсивности цифровой инфраструктуры: страны данного кластера уже начали цифровую трансформацию, однако пока уступают наиболее развитым. Значение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 xml:space="preserve"> (148.17) демонстрирует средний уровень экономической мощности стран и подкрепляет вывод о том, что они находятся в фазе стабилизации и постепенного роста.</w:t>
      </w:r>
    </w:p>
    <w:p w:rsidR="003C138F" w:rsidRPr="000D4FA1" w:rsidRDefault="003C138F" w:rsidP="003C138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Разброс значений внутри кластера значительный: например,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 xml:space="preserve"> варьируется от 23–30 (Монголия, Никарагуа) до более 450 (Бутан) и свыше 460 (Филиппины), что говорит о высокой внутренней неоднородности, но сохранении общей структурной близости по совокупности признаков. В целом, страны кластера обладают умеренной устойчивостью систем образования, </w:t>
      </w:r>
      <w:r w:rsidRPr="000D4FA1">
        <w:rPr>
          <w:rFonts w:ascii="Times New Roman" w:hAnsi="Times New Roman" w:cs="Times New Roman"/>
          <w:sz w:val="28"/>
          <w:szCs w:val="28"/>
          <w:lang w:val="ru-RU"/>
        </w:rPr>
        <w:lastRenderedPageBreak/>
        <w:t>развивающейся инфраструктурой и средним потенциалом роста человеческого капитала, однако нуждаются в дополнительной поддержке со стороны государства и улучшении цифровых и институциональных условий.</w:t>
      </w:r>
    </w:p>
    <w:p w:rsidR="00BD7556" w:rsidRPr="000D4FA1" w:rsidRDefault="00BD7556" w:rsidP="003C138F">
      <w:pPr>
        <w:spacing w:after="0" w:line="240" w:lineRule="auto"/>
        <w:ind w:firstLine="720"/>
        <w:jc w:val="both"/>
        <w:rPr>
          <w:rFonts w:ascii="Times New Roman" w:hAnsi="Times New Roman" w:cs="Times New Roman"/>
          <w:sz w:val="28"/>
          <w:szCs w:val="28"/>
          <w:lang w:val="ru-RU"/>
        </w:rPr>
      </w:pPr>
    </w:p>
    <w:p w:rsidR="00A60371" w:rsidRDefault="0009067C" w:rsidP="003C138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Таблица </w:t>
      </w:r>
      <w:r w:rsidR="00D17049" w:rsidRPr="000D4FA1">
        <w:rPr>
          <w:rFonts w:ascii="Times New Roman" w:hAnsi="Times New Roman" w:cs="Times New Roman"/>
          <w:sz w:val="28"/>
          <w:szCs w:val="28"/>
          <w:lang w:val="ru-RU"/>
        </w:rPr>
        <w:t>32</w:t>
      </w:r>
      <w:r w:rsidR="00ED5D01" w:rsidRPr="000D4FA1">
        <w:rPr>
          <w:rFonts w:ascii="Times New Roman" w:hAnsi="Times New Roman" w:cs="Times New Roman"/>
          <w:sz w:val="28"/>
          <w:szCs w:val="28"/>
          <w:lang w:val="ru-RU"/>
        </w:rPr>
        <w:t xml:space="preserve"> –</w:t>
      </w:r>
      <w:r w:rsidR="003D265D"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Кластер 3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Экономически динамичные страны с комбинированной структурой человеческого потенциала»</w:t>
      </w:r>
    </w:p>
    <w:p w:rsidR="00A00396" w:rsidRPr="000D4FA1" w:rsidRDefault="00A00396" w:rsidP="003C138F">
      <w:pPr>
        <w:spacing w:after="0" w:line="240" w:lineRule="auto"/>
        <w:ind w:firstLine="720"/>
        <w:jc w:val="both"/>
        <w:rPr>
          <w:rFonts w:ascii="Times New Roman" w:hAnsi="Times New Roman" w:cs="Times New Roman"/>
          <w:sz w:val="28"/>
          <w:szCs w:val="28"/>
          <w:lang w:val="ru-RU"/>
        </w:rPr>
      </w:pPr>
    </w:p>
    <w:tbl>
      <w:tblPr>
        <w:tblW w:w="8880" w:type="dxa"/>
        <w:tblLook w:val="04A0"/>
      </w:tblPr>
      <w:tblGrid>
        <w:gridCol w:w="960"/>
        <w:gridCol w:w="1720"/>
        <w:gridCol w:w="1400"/>
        <w:gridCol w:w="1120"/>
        <w:gridCol w:w="1100"/>
        <w:gridCol w:w="960"/>
        <w:gridCol w:w="1620"/>
      </w:tblGrid>
      <w:tr w:rsidR="00074D63" w:rsidRPr="000D4FA1" w:rsidTr="00074D63">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rPr>
              <w:t> </w:t>
            </w:r>
          </w:p>
        </w:tc>
        <w:tc>
          <w:tcPr>
            <w:tcW w:w="1720" w:type="dxa"/>
            <w:tcBorders>
              <w:top w:val="single" w:sz="4" w:space="0" w:color="auto"/>
              <w:left w:val="nil"/>
              <w:bottom w:val="single" w:sz="4" w:space="0" w:color="auto"/>
              <w:right w:val="single" w:sz="4" w:space="0" w:color="auto"/>
            </w:tcBorders>
            <w:vAlign w:val="center"/>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Страны</w:t>
            </w:r>
          </w:p>
        </w:tc>
        <w:tc>
          <w:tcPr>
            <w:tcW w:w="1400" w:type="dxa"/>
            <w:tcBorders>
              <w:top w:val="single" w:sz="4" w:space="0" w:color="auto"/>
              <w:left w:val="nil"/>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GEE</w:t>
            </w:r>
          </w:p>
        </w:tc>
        <w:tc>
          <w:tcPr>
            <w:tcW w:w="1120" w:type="dxa"/>
            <w:tcBorders>
              <w:top w:val="single" w:sz="4" w:space="0" w:color="auto"/>
              <w:left w:val="nil"/>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POP</w:t>
            </w:r>
          </w:p>
        </w:tc>
        <w:tc>
          <w:tcPr>
            <w:tcW w:w="1100" w:type="dxa"/>
            <w:tcBorders>
              <w:top w:val="single" w:sz="4" w:space="0" w:color="auto"/>
              <w:left w:val="nil"/>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LIR</w:t>
            </w:r>
          </w:p>
        </w:tc>
        <w:tc>
          <w:tcPr>
            <w:tcW w:w="960" w:type="dxa"/>
            <w:tcBorders>
              <w:top w:val="single" w:sz="4" w:space="0" w:color="auto"/>
              <w:left w:val="nil"/>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DIR</w:t>
            </w:r>
          </w:p>
        </w:tc>
        <w:tc>
          <w:tcPr>
            <w:tcW w:w="1620" w:type="dxa"/>
            <w:tcBorders>
              <w:top w:val="single" w:sz="4" w:space="0" w:color="auto"/>
              <w:left w:val="nil"/>
              <w:bottom w:val="single" w:sz="4" w:space="0" w:color="auto"/>
              <w:right w:val="single" w:sz="4" w:space="0" w:color="auto"/>
            </w:tcBorders>
            <w:vAlign w:val="bottom"/>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GDP</w:t>
            </w:r>
          </w:p>
        </w:tc>
      </w:tr>
      <w:tr w:rsidR="00074D63" w:rsidRPr="000D4FA1" w:rsidTr="00074D63">
        <w:trPr>
          <w:trHeight w:val="600"/>
        </w:trPr>
        <w:tc>
          <w:tcPr>
            <w:tcW w:w="2680" w:type="dxa"/>
            <w:gridSpan w:val="2"/>
            <w:tcBorders>
              <w:top w:val="single" w:sz="4" w:space="0" w:color="auto"/>
              <w:left w:val="single" w:sz="4" w:space="0" w:color="auto"/>
              <w:bottom w:val="single" w:sz="4" w:space="0" w:color="auto"/>
              <w:right w:val="single" w:sz="4" w:space="0" w:color="000000"/>
            </w:tcBorders>
            <w:shd w:val="clear" w:color="000000" w:fill="DCE6F1"/>
            <w:hideMark/>
          </w:tcPr>
          <w:p w:rsidR="00074D63" w:rsidRPr="000D4FA1" w:rsidRDefault="00074D63" w:rsidP="00074D63">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Среднее</w:t>
            </w:r>
          </w:p>
        </w:tc>
        <w:tc>
          <w:tcPr>
            <w:tcW w:w="1400" w:type="dxa"/>
            <w:tcBorders>
              <w:top w:val="nil"/>
              <w:left w:val="nil"/>
              <w:bottom w:val="single" w:sz="4" w:space="0" w:color="auto"/>
              <w:right w:val="single" w:sz="4" w:space="0" w:color="auto"/>
            </w:tcBorders>
            <w:shd w:val="clear" w:color="000000" w:fill="DCE6F1"/>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13.86</w:t>
            </w:r>
          </w:p>
        </w:tc>
        <w:tc>
          <w:tcPr>
            <w:tcW w:w="1120" w:type="dxa"/>
            <w:tcBorders>
              <w:top w:val="nil"/>
              <w:left w:val="nil"/>
              <w:bottom w:val="single" w:sz="4" w:space="0" w:color="auto"/>
              <w:right w:val="single" w:sz="4" w:space="0" w:color="auto"/>
            </w:tcBorders>
            <w:shd w:val="clear" w:color="000000" w:fill="DCE6F1"/>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16.01</w:t>
            </w:r>
          </w:p>
        </w:tc>
        <w:tc>
          <w:tcPr>
            <w:tcW w:w="1100" w:type="dxa"/>
            <w:tcBorders>
              <w:top w:val="nil"/>
              <w:left w:val="nil"/>
              <w:bottom w:val="single" w:sz="4" w:space="0" w:color="auto"/>
              <w:right w:val="single" w:sz="4" w:space="0" w:color="auto"/>
            </w:tcBorders>
            <w:shd w:val="clear" w:color="000000" w:fill="DCE6F1"/>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11.54</w:t>
            </w:r>
          </w:p>
        </w:tc>
        <w:tc>
          <w:tcPr>
            <w:tcW w:w="960" w:type="dxa"/>
            <w:tcBorders>
              <w:top w:val="nil"/>
              <w:left w:val="nil"/>
              <w:bottom w:val="single" w:sz="4" w:space="0" w:color="auto"/>
              <w:right w:val="single" w:sz="4" w:space="0" w:color="auto"/>
            </w:tcBorders>
            <w:shd w:val="clear" w:color="000000" w:fill="DCE6F1"/>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6.90</w:t>
            </w:r>
          </w:p>
        </w:tc>
        <w:tc>
          <w:tcPr>
            <w:tcW w:w="1620" w:type="dxa"/>
            <w:tcBorders>
              <w:top w:val="nil"/>
              <w:left w:val="nil"/>
              <w:bottom w:val="single" w:sz="4" w:space="0" w:color="auto"/>
              <w:right w:val="single" w:sz="4" w:space="0" w:color="auto"/>
            </w:tcBorders>
            <w:shd w:val="clear" w:color="000000" w:fill="DCE6F1"/>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102.13</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Azerbaij</w:t>
            </w:r>
            <w:r w:rsidR="008F0025" w:rsidRPr="000D4FA1">
              <w:rPr>
                <w:rFonts w:ascii="Times New Roman" w:eastAsia="Times New Roman" w:hAnsi="Times New Roman" w:cs="Times New Roman"/>
                <w:color w:val="000000"/>
                <w:sz w:val="24"/>
                <w:szCs w:val="24"/>
              </w:rPr>
              <w:t>an</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9.44</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3.03</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13.15</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8.15</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25.79</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Belarus</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13.18</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9.13</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9.99</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5.56</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75.96</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Georgia</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12.21</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3.67</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12.03</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10.55</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33.78</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Moldova</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15.96</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2.39</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8.91</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3.34</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18.20</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Maldives</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10.72</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0.53</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11.55</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3.72</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6.98</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6</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Mauritiu</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14.19</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1.26</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9.38</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4.14</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14.95</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7</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Thailand</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13.09</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71.67</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4.17</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1.63</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526.41</w:t>
            </w:r>
          </w:p>
        </w:tc>
      </w:tr>
      <w:tr w:rsidR="00074D63" w:rsidRPr="000D4FA1" w:rsidTr="00074D63">
        <w:trPr>
          <w:trHeight w:val="315"/>
        </w:trPr>
        <w:tc>
          <w:tcPr>
            <w:tcW w:w="960" w:type="dxa"/>
            <w:tcBorders>
              <w:top w:val="nil"/>
              <w:left w:val="single" w:sz="4" w:space="0" w:color="auto"/>
              <w:bottom w:val="single" w:sz="4" w:space="0" w:color="auto"/>
              <w:right w:val="single" w:sz="4" w:space="0" w:color="auto"/>
            </w:tcBorders>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8</w:t>
            </w:r>
          </w:p>
        </w:tc>
        <w:tc>
          <w:tcPr>
            <w:tcW w:w="1720" w:type="dxa"/>
            <w:tcBorders>
              <w:top w:val="nil"/>
              <w:left w:val="nil"/>
              <w:bottom w:val="single" w:sz="4" w:space="0" w:color="auto"/>
              <w:right w:val="single" w:sz="4" w:space="0" w:color="auto"/>
            </w:tcBorders>
            <w:hideMark/>
          </w:tcPr>
          <w:p w:rsidR="00074D63" w:rsidRPr="000D4FA1" w:rsidRDefault="00074D63" w:rsidP="00074D63">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Uzbekist</w:t>
            </w:r>
            <w:r w:rsidR="008F0025" w:rsidRPr="000D4FA1">
              <w:rPr>
                <w:rFonts w:ascii="Times New Roman" w:eastAsia="Times New Roman" w:hAnsi="Times New Roman" w:cs="Times New Roman"/>
                <w:color w:val="000000"/>
                <w:sz w:val="24"/>
                <w:szCs w:val="24"/>
              </w:rPr>
              <w:t>an</w:t>
            </w:r>
          </w:p>
        </w:tc>
        <w:tc>
          <w:tcPr>
            <w:tcW w:w="14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22.07</w:t>
            </w:r>
          </w:p>
        </w:tc>
        <w:tc>
          <w:tcPr>
            <w:tcW w:w="11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36.36</w:t>
            </w:r>
          </w:p>
        </w:tc>
        <w:tc>
          <w:tcPr>
            <w:tcW w:w="110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23.13</w:t>
            </w:r>
          </w:p>
        </w:tc>
        <w:tc>
          <w:tcPr>
            <w:tcW w:w="96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18.12</w:t>
            </w:r>
          </w:p>
        </w:tc>
        <w:tc>
          <w:tcPr>
            <w:tcW w:w="1620" w:type="dxa"/>
            <w:tcBorders>
              <w:top w:val="nil"/>
              <w:left w:val="nil"/>
              <w:bottom w:val="single" w:sz="4" w:space="0" w:color="auto"/>
              <w:right w:val="single" w:sz="4" w:space="0" w:color="auto"/>
            </w:tcBorders>
            <w:noWrap/>
            <w:hideMark/>
          </w:tcPr>
          <w:p w:rsidR="00074D63" w:rsidRPr="000D4FA1" w:rsidRDefault="00074D63" w:rsidP="00074D63">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114.97</w:t>
            </w:r>
          </w:p>
        </w:tc>
      </w:tr>
    </w:tbl>
    <w:p w:rsidR="00100F49" w:rsidRPr="000D4FA1" w:rsidRDefault="00100F49" w:rsidP="00786371">
      <w:pPr>
        <w:spacing w:after="0" w:line="240" w:lineRule="auto"/>
        <w:ind w:firstLine="720"/>
        <w:jc w:val="both"/>
        <w:rPr>
          <w:rFonts w:ascii="Times New Roman" w:hAnsi="Times New Roman" w:cs="Times New Roman"/>
          <w:sz w:val="28"/>
          <w:szCs w:val="28"/>
          <w:lang w:val="ru-RU"/>
        </w:rPr>
      </w:pPr>
    </w:p>
    <w:p w:rsidR="003D265D" w:rsidRPr="000D4FA1" w:rsidRDefault="003D265D"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Таблица </w:t>
      </w:r>
      <w:r w:rsidR="00D17049" w:rsidRPr="000D4FA1">
        <w:rPr>
          <w:rFonts w:ascii="Times New Roman" w:hAnsi="Times New Roman" w:cs="Times New Roman"/>
          <w:sz w:val="28"/>
          <w:szCs w:val="28"/>
          <w:lang w:val="ru-RU"/>
        </w:rPr>
        <w:t xml:space="preserve">32 </w:t>
      </w:r>
      <w:r w:rsidRPr="000D4FA1">
        <w:rPr>
          <w:rFonts w:ascii="Times New Roman" w:hAnsi="Times New Roman" w:cs="Times New Roman"/>
          <w:sz w:val="28"/>
          <w:szCs w:val="28"/>
          <w:lang w:val="ru-RU"/>
        </w:rPr>
        <w:t>отражает профиль стран, вошедших в Кластер 3, который характеризуется сочетанием средних значений по ключевым индикаторам человеческого потенциала и экономического развития. Средние показатели кластера демонстрируют умеренно высокий уровень экономической активности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 13.86) и достаточно разнообразный демографический профиль (</w:t>
      </w:r>
      <w:r w:rsidRPr="000D4FA1">
        <w:rPr>
          <w:rFonts w:ascii="Times New Roman" w:hAnsi="Times New Roman" w:cs="Times New Roman"/>
          <w:sz w:val="28"/>
          <w:szCs w:val="28"/>
        </w:rPr>
        <w:t>POP</w:t>
      </w:r>
      <w:r w:rsidRPr="000D4FA1">
        <w:rPr>
          <w:rFonts w:ascii="Times New Roman" w:hAnsi="Times New Roman" w:cs="Times New Roman"/>
          <w:sz w:val="28"/>
          <w:szCs w:val="28"/>
          <w:lang w:val="ru-RU"/>
        </w:rPr>
        <w:t xml:space="preserve"> = 16.01), что свидетельствует о разнородной плотности населения и разной стадии демографического перехода среди стран кластера. </w:t>
      </w:r>
    </w:p>
    <w:p w:rsidR="003D265D" w:rsidRPr="000D4FA1" w:rsidRDefault="003D265D"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Показатели качества жизни и человеческого капитала также распределены неравномерно: уровень образования и здоровья (</w:t>
      </w:r>
      <w:r w:rsidRPr="000D4FA1">
        <w:rPr>
          <w:rFonts w:ascii="Times New Roman" w:hAnsi="Times New Roman" w:cs="Times New Roman"/>
          <w:sz w:val="28"/>
          <w:szCs w:val="28"/>
        </w:rPr>
        <w:t>LIR</w:t>
      </w:r>
      <w:r w:rsidRPr="000D4FA1">
        <w:rPr>
          <w:rFonts w:ascii="Times New Roman" w:hAnsi="Times New Roman" w:cs="Times New Roman"/>
          <w:sz w:val="28"/>
          <w:szCs w:val="28"/>
          <w:lang w:val="ru-RU"/>
        </w:rPr>
        <w:t xml:space="preserve"> = 11.54) находится на среднем уровне, а показатели институционального развития (</w:t>
      </w:r>
      <w:r w:rsidRPr="000D4FA1">
        <w:rPr>
          <w:rFonts w:ascii="Times New Roman" w:hAnsi="Times New Roman" w:cs="Times New Roman"/>
          <w:sz w:val="28"/>
          <w:szCs w:val="28"/>
        </w:rPr>
        <w:t>DIR</w:t>
      </w:r>
      <w:r w:rsidRPr="000D4FA1">
        <w:rPr>
          <w:rFonts w:ascii="Times New Roman" w:hAnsi="Times New Roman" w:cs="Times New Roman"/>
          <w:sz w:val="28"/>
          <w:szCs w:val="28"/>
          <w:lang w:val="ru-RU"/>
        </w:rPr>
        <w:t xml:space="preserve"> = 6.90) демонстрируют наличие системных различий внутри кластера. Существенная вариация ВВП на душу населения (от 6–30 до более 500 долларов США) подтверждает неоднородность структуры экономики: наряду со странами с ограниченными ресурсами (Молдова, Маврикий, Мальдивы) присутствуют высокоразвитые экономики с устойчивой сервисной моделью (Таиланд, Узбекистан). </w:t>
      </w:r>
    </w:p>
    <w:p w:rsidR="00F46AED" w:rsidRPr="000D4FA1" w:rsidRDefault="003D265D" w:rsidP="007863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В совокупности характеристика Кластера 3 указывает на переходный уровень развития человеческого потенциала, где отдельные страны демонстрируют высокие темпы прогресса, тогда как другие сохраняют структурные ограничения. Такой профиль делает кластер особенно значимым для выявления универсальных и дифференцированных факторов устойчивости систем образования в странах со средним уровнем развития.</w:t>
      </w:r>
    </w:p>
    <w:p w:rsidR="00286926" w:rsidRPr="000D4FA1" w:rsidRDefault="0028692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4 объединяет страны, характеризующиеся умеренными экономическими возможностями, средним уровнем демографической нагрузки и низкой интенсивностью инвестиций в образование. Средние значения группы </w:t>
      </w:r>
      <w:r w:rsidRPr="000D4FA1">
        <w:rPr>
          <w:rFonts w:ascii="Times New Roman" w:hAnsi="Times New Roman" w:cs="Times New Roman"/>
          <w:sz w:val="28"/>
          <w:szCs w:val="28"/>
          <w:lang w:val="ru-RU"/>
        </w:rPr>
        <w:lastRenderedPageBreak/>
        <w:t>(GEE = 17.54; POP = 30.08; LIR = 11.54; DIR = 2.19; GDP = 88.71) отражают сбалансированный, но неравномерный профиль, в котором экономическая активность и уровень дохода населения сопоставимы со странами среднего достатка, однако инвестиции в развитие человеческого капитала остаются недостаточными.</w:t>
      </w:r>
    </w:p>
    <w:p w:rsidR="00DB11E5" w:rsidRPr="000D4FA1" w:rsidRDefault="00DB11E5" w:rsidP="00286926">
      <w:pPr>
        <w:spacing w:after="0" w:line="240" w:lineRule="auto"/>
        <w:ind w:firstLine="720"/>
        <w:jc w:val="both"/>
        <w:rPr>
          <w:rFonts w:ascii="Times New Roman" w:hAnsi="Times New Roman" w:cs="Times New Roman"/>
          <w:sz w:val="28"/>
          <w:szCs w:val="28"/>
          <w:lang w:val="ru-RU"/>
        </w:rPr>
      </w:pPr>
    </w:p>
    <w:p w:rsidR="00DB11E5" w:rsidRDefault="00DB11E5" w:rsidP="00DB11E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Таблица</w:t>
      </w:r>
      <w:r w:rsidR="002B3956" w:rsidRPr="000D4FA1">
        <w:rPr>
          <w:rFonts w:ascii="Times New Roman" w:hAnsi="Times New Roman" w:cs="Times New Roman"/>
          <w:sz w:val="28"/>
          <w:szCs w:val="28"/>
          <w:lang w:val="ru-RU"/>
        </w:rPr>
        <w:t xml:space="preserve"> </w:t>
      </w:r>
      <w:r w:rsidR="00963698" w:rsidRPr="000D4FA1">
        <w:rPr>
          <w:rFonts w:ascii="Times New Roman" w:hAnsi="Times New Roman" w:cs="Times New Roman"/>
          <w:sz w:val="28"/>
          <w:szCs w:val="28"/>
          <w:lang w:val="ru-RU"/>
        </w:rPr>
        <w:t>3</w:t>
      </w:r>
      <w:r w:rsidR="00D17049" w:rsidRPr="000D4FA1">
        <w:rPr>
          <w:rFonts w:ascii="Times New Roman" w:hAnsi="Times New Roman" w:cs="Times New Roman"/>
          <w:sz w:val="28"/>
          <w:szCs w:val="28"/>
          <w:lang w:val="ru-RU"/>
        </w:rPr>
        <w:t>3</w:t>
      </w:r>
      <w:r w:rsidRPr="000D4FA1">
        <w:rPr>
          <w:rFonts w:ascii="Times New Roman" w:hAnsi="Times New Roman" w:cs="Times New Roman"/>
          <w:sz w:val="28"/>
          <w:szCs w:val="28"/>
          <w:lang w:val="ru-RU"/>
        </w:rPr>
        <w:t xml:space="preserve"> </w:t>
      </w:r>
      <w:r w:rsidR="00ED5D01"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Профиль стран, входящих в кластер 4, по ключевым детерминантам человеческого потенциала и устойчивости систем ТиПО</w:t>
      </w:r>
    </w:p>
    <w:p w:rsidR="00A00396" w:rsidRPr="000D4FA1" w:rsidRDefault="00A00396" w:rsidP="00DB11E5">
      <w:pPr>
        <w:spacing w:after="0" w:line="240" w:lineRule="auto"/>
        <w:ind w:firstLine="720"/>
        <w:jc w:val="both"/>
        <w:rPr>
          <w:rFonts w:ascii="Times New Roman" w:hAnsi="Times New Roman" w:cs="Times New Roman"/>
          <w:sz w:val="28"/>
          <w:szCs w:val="28"/>
          <w:lang w:val="ru-RU"/>
        </w:rPr>
      </w:pPr>
    </w:p>
    <w:tbl>
      <w:tblPr>
        <w:tblW w:w="9209" w:type="dxa"/>
        <w:tblLook w:val="04A0"/>
      </w:tblPr>
      <w:tblGrid>
        <w:gridCol w:w="960"/>
        <w:gridCol w:w="1720"/>
        <w:gridCol w:w="1400"/>
        <w:gridCol w:w="1120"/>
        <w:gridCol w:w="1100"/>
        <w:gridCol w:w="960"/>
        <w:gridCol w:w="1949"/>
      </w:tblGrid>
      <w:tr w:rsidR="00DB11E5" w:rsidRPr="000D4FA1" w:rsidTr="00C76C5B">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lang w:val="ru-RU"/>
              </w:rPr>
            </w:pPr>
            <w:r w:rsidRPr="000D4FA1">
              <w:rPr>
                <w:rFonts w:ascii="Times New Roman" w:eastAsia="Times New Roman" w:hAnsi="Times New Roman" w:cs="Times New Roman"/>
                <w:color w:val="000000"/>
                <w:sz w:val="24"/>
                <w:szCs w:val="24"/>
              </w:rPr>
              <w:t> </w:t>
            </w:r>
          </w:p>
        </w:tc>
        <w:tc>
          <w:tcPr>
            <w:tcW w:w="1720" w:type="dxa"/>
            <w:tcBorders>
              <w:top w:val="single" w:sz="4" w:space="0" w:color="auto"/>
              <w:left w:val="nil"/>
              <w:bottom w:val="single" w:sz="4" w:space="0" w:color="auto"/>
              <w:right w:val="single" w:sz="4" w:space="0" w:color="auto"/>
            </w:tcBorders>
            <w:vAlign w:val="center"/>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Страны</w:t>
            </w:r>
          </w:p>
        </w:tc>
        <w:tc>
          <w:tcPr>
            <w:tcW w:w="1400" w:type="dxa"/>
            <w:tcBorders>
              <w:top w:val="single" w:sz="4" w:space="0" w:color="auto"/>
              <w:left w:val="nil"/>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GEE</w:t>
            </w:r>
          </w:p>
        </w:tc>
        <w:tc>
          <w:tcPr>
            <w:tcW w:w="1120" w:type="dxa"/>
            <w:tcBorders>
              <w:top w:val="single" w:sz="4" w:space="0" w:color="auto"/>
              <w:left w:val="nil"/>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POP</w:t>
            </w:r>
          </w:p>
        </w:tc>
        <w:tc>
          <w:tcPr>
            <w:tcW w:w="1100" w:type="dxa"/>
            <w:tcBorders>
              <w:top w:val="single" w:sz="4" w:space="0" w:color="auto"/>
              <w:left w:val="nil"/>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LIR</w:t>
            </w:r>
          </w:p>
        </w:tc>
        <w:tc>
          <w:tcPr>
            <w:tcW w:w="960" w:type="dxa"/>
            <w:tcBorders>
              <w:top w:val="single" w:sz="4" w:space="0" w:color="auto"/>
              <w:left w:val="nil"/>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DIR</w:t>
            </w:r>
          </w:p>
        </w:tc>
        <w:tc>
          <w:tcPr>
            <w:tcW w:w="1949" w:type="dxa"/>
            <w:tcBorders>
              <w:top w:val="single" w:sz="4" w:space="0" w:color="auto"/>
              <w:left w:val="nil"/>
              <w:bottom w:val="single" w:sz="4" w:space="0" w:color="auto"/>
              <w:right w:val="single" w:sz="4" w:space="0" w:color="auto"/>
            </w:tcBorders>
            <w:vAlign w:val="bottom"/>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GDP</w:t>
            </w:r>
          </w:p>
        </w:tc>
      </w:tr>
      <w:tr w:rsidR="00DB11E5" w:rsidRPr="000D4FA1" w:rsidTr="00C76C5B">
        <w:trPr>
          <w:trHeight w:val="542"/>
        </w:trPr>
        <w:tc>
          <w:tcPr>
            <w:tcW w:w="2680" w:type="dxa"/>
            <w:gridSpan w:val="2"/>
            <w:tcBorders>
              <w:top w:val="single" w:sz="4" w:space="0" w:color="auto"/>
              <w:left w:val="single" w:sz="4" w:space="0" w:color="auto"/>
              <w:bottom w:val="single" w:sz="4" w:space="0" w:color="auto"/>
              <w:right w:val="single" w:sz="4" w:space="0" w:color="000000"/>
            </w:tcBorders>
            <w:shd w:val="clear" w:color="000000" w:fill="DCE6F1"/>
            <w:hideMark/>
          </w:tcPr>
          <w:p w:rsidR="00DB11E5" w:rsidRPr="000D4FA1" w:rsidRDefault="00DB11E5" w:rsidP="00C76C5B">
            <w:pPr>
              <w:spacing w:after="0" w:line="240" w:lineRule="auto"/>
              <w:jc w:val="center"/>
              <w:rPr>
                <w:rFonts w:ascii="Times New Roman" w:eastAsia="Times New Roman" w:hAnsi="Times New Roman" w:cs="Times New Roman"/>
                <w:b/>
                <w:bCs/>
                <w:color w:val="000000"/>
                <w:sz w:val="24"/>
                <w:szCs w:val="24"/>
              </w:rPr>
            </w:pPr>
            <w:r w:rsidRPr="000D4FA1">
              <w:rPr>
                <w:rFonts w:ascii="Times New Roman" w:eastAsia="Times New Roman" w:hAnsi="Times New Roman" w:cs="Times New Roman"/>
                <w:b/>
                <w:bCs/>
                <w:color w:val="000000"/>
                <w:sz w:val="24"/>
                <w:szCs w:val="24"/>
              </w:rPr>
              <w:t>Среднее</w:t>
            </w:r>
          </w:p>
        </w:tc>
        <w:tc>
          <w:tcPr>
            <w:tcW w:w="1400" w:type="dxa"/>
            <w:tcBorders>
              <w:top w:val="nil"/>
              <w:left w:val="nil"/>
              <w:bottom w:val="single" w:sz="4" w:space="0" w:color="auto"/>
              <w:right w:val="single" w:sz="4" w:space="0" w:color="auto"/>
            </w:tcBorders>
            <w:shd w:val="clear" w:color="000000" w:fill="DCE6F1"/>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17.54</w:t>
            </w:r>
          </w:p>
        </w:tc>
        <w:tc>
          <w:tcPr>
            <w:tcW w:w="1120" w:type="dxa"/>
            <w:tcBorders>
              <w:top w:val="nil"/>
              <w:left w:val="nil"/>
              <w:bottom w:val="single" w:sz="4" w:space="0" w:color="auto"/>
              <w:right w:val="single" w:sz="4" w:space="0" w:color="auto"/>
            </w:tcBorders>
            <w:shd w:val="clear" w:color="000000" w:fill="DCE6F1"/>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30.08</w:t>
            </w:r>
          </w:p>
        </w:tc>
        <w:tc>
          <w:tcPr>
            <w:tcW w:w="1100" w:type="dxa"/>
            <w:tcBorders>
              <w:top w:val="nil"/>
              <w:left w:val="nil"/>
              <w:bottom w:val="single" w:sz="4" w:space="0" w:color="auto"/>
              <w:right w:val="single" w:sz="4" w:space="0" w:color="auto"/>
            </w:tcBorders>
            <w:shd w:val="clear" w:color="000000" w:fill="DCE6F1"/>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DCE6F1"/>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2.19</w:t>
            </w:r>
          </w:p>
        </w:tc>
        <w:tc>
          <w:tcPr>
            <w:tcW w:w="1949" w:type="dxa"/>
            <w:tcBorders>
              <w:top w:val="nil"/>
              <w:left w:val="nil"/>
              <w:bottom w:val="single" w:sz="4" w:space="0" w:color="auto"/>
              <w:right w:val="single" w:sz="4" w:space="0" w:color="auto"/>
            </w:tcBorders>
            <w:shd w:val="clear" w:color="000000" w:fill="DCE6F1"/>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88.71</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Benin</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17.97</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14.46</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21.48</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Côted'</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17.62</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31.93</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86.54</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Kenya</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27.92</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56.43</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124.50</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Cambodia</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11.23</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17.64</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1.52</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46.35</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5</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Sri Lank</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7.22</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21.92</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98.96</w:t>
            </w:r>
          </w:p>
        </w:tc>
      </w:tr>
      <w:tr w:rsidR="00DB11E5" w:rsidRPr="000D4FA1" w:rsidTr="00C76C5B">
        <w:trPr>
          <w:trHeight w:val="315"/>
        </w:trPr>
        <w:tc>
          <w:tcPr>
            <w:tcW w:w="960" w:type="dxa"/>
            <w:tcBorders>
              <w:top w:val="nil"/>
              <w:left w:val="single" w:sz="4" w:space="0" w:color="auto"/>
              <w:bottom w:val="single" w:sz="4" w:space="0" w:color="auto"/>
              <w:right w:val="single" w:sz="4" w:space="0" w:color="auto"/>
            </w:tcBorders>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6</w:t>
            </w:r>
          </w:p>
        </w:tc>
        <w:tc>
          <w:tcPr>
            <w:tcW w:w="1720" w:type="dxa"/>
            <w:tcBorders>
              <w:top w:val="nil"/>
              <w:left w:val="nil"/>
              <w:bottom w:val="single" w:sz="4" w:space="0" w:color="auto"/>
              <w:right w:val="single" w:sz="4" w:space="0" w:color="auto"/>
            </w:tcBorders>
            <w:hideMark/>
          </w:tcPr>
          <w:p w:rsidR="00DB11E5" w:rsidRPr="000D4FA1" w:rsidRDefault="00DB11E5" w:rsidP="00C76C5B">
            <w:pPr>
              <w:spacing w:after="0" w:line="240" w:lineRule="auto"/>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Morocco</w:t>
            </w:r>
          </w:p>
        </w:tc>
        <w:tc>
          <w:tcPr>
            <w:tcW w:w="14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23.28</w:t>
            </w:r>
          </w:p>
        </w:tc>
        <w:tc>
          <w:tcPr>
            <w:tcW w:w="112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38.08</w:t>
            </w:r>
          </w:p>
        </w:tc>
        <w:tc>
          <w:tcPr>
            <w:tcW w:w="110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2.85</w:t>
            </w:r>
          </w:p>
        </w:tc>
        <w:tc>
          <w:tcPr>
            <w:tcW w:w="1949" w:type="dxa"/>
            <w:tcBorders>
              <w:top w:val="nil"/>
              <w:left w:val="nil"/>
              <w:bottom w:val="single" w:sz="4" w:space="0" w:color="auto"/>
              <w:right w:val="single" w:sz="4" w:space="0" w:color="auto"/>
            </w:tcBorders>
            <w:noWrap/>
            <w:hideMark/>
          </w:tcPr>
          <w:p w:rsidR="00DB11E5" w:rsidRPr="000D4FA1" w:rsidRDefault="00DB11E5" w:rsidP="00C76C5B">
            <w:pPr>
              <w:spacing w:after="0" w:line="240" w:lineRule="auto"/>
              <w:jc w:val="center"/>
              <w:rPr>
                <w:rFonts w:ascii="Times New Roman" w:eastAsia="Times New Roman" w:hAnsi="Times New Roman" w:cs="Times New Roman"/>
                <w:color w:val="000000"/>
                <w:sz w:val="24"/>
                <w:szCs w:val="24"/>
              </w:rPr>
            </w:pPr>
            <w:r w:rsidRPr="000D4FA1">
              <w:rPr>
                <w:rFonts w:ascii="Times New Roman" w:eastAsia="Times New Roman" w:hAnsi="Times New Roman" w:cs="Times New Roman"/>
                <w:color w:val="000000"/>
                <w:sz w:val="24"/>
                <w:szCs w:val="24"/>
              </w:rPr>
              <w:t>154.43</w:t>
            </w:r>
          </w:p>
        </w:tc>
      </w:tr>
    </w:tbl>
    <w:p w:rsidR="00DB11E5" w:rsidRPr="000D4FA1" w:rsidRDefault="00DB11E5" w:rsidP="00286926">
      <w:pPr>
        <w:spacing w:after="0" w:line="240" w:lineRule="auto"/>
        <w:ind w:firstLine="720"/>
        <w:jc w:val="both"/>
        <w:rPr>
          <w:rFonts w:ascii="Times New Roman" w:hAnsi="Times New Roman" w:cs="Times New Roman"/>
          <w:sz w:val="28"/>
          <w:szCs w:val="28"/>
          <w:lang w:val="ru-RU"/>
        </w:rPr>
      </w:pPr>
    </w:p>
    <w:p w:rsidR="00286926" w:rsidRPr="000D4FA1" w:rsidRDefault="0028692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Несмотря на относительно высокий показатель GDP в ряде стран (например, Марокко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154.43, Кения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124.50), интенсивность инвестиций в образование (DIR) остаётся низкой или эпизодичной, что создаёт риски для устойчивости систем </w:t>
      </w:r>
      <w:r w:rsidR="001C1975" w:rsidRPr="000D4FA1">
        <w:rPr>
          <w:rFonts w:ascii="Times New Roman" w:hAnsi="Times New Roman" w:cs="Times New Roman"/>
          <w:sz w:val="28"/>
          <w:szCs w:val="28"/>
          <w:lang w:val="ru-RU"/>
        </w:rPr>
        <w:t xml:space="preserve">технического и </w:t>
      </w:r>
      <w:r w:rsidRPr="000D4FA1">
        <w:rPr>
          <w:rFonts w:ascii="Times New Roman" w:hAnsi="Times New Roman" w:cs="Times New Roman"/>
          <w:sz w:val="28"/>
          <w:szCs w:val="28"/>
          <w:lang w:val="ru-RU"/>
        </w:rPr>
        <w:t xml:space="preserve">профессионального образования. Наблюдается выраженная межстрановая дифференциация: страны с более высоким уровнем экономической активности (Марокко, Кения) соседствуют со странами, где GDP значительно ниже (Бенин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21.48). Это подтверждает, что кластер формируется не по уровню абсолютного благосостояния, а по структуре распределения ресурсов между экономикой и человеческим капиталом.</w:t>
      </w:r>
    </w:p>
    <w:p w:rsidR="00286926" w:rsidRPr="000D4FA1" w:rsidRDefault="0028692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Низкие значения LIR (уровень вовлечённости в образование) и DIR подчёркивают недостаточный уровень охвата </w:t>
      </w:r>
      <w:r w:rsidR="001C1975" w:rsidRPr="000D4FA1">
        <w:rPr>
          <w:rFonts w:ascii="Times New Roman" w:hAnsi="Times New Roman" w:cs="Times New Roman"/>
          <w:sz w:val="28"/>
          <w:szCs w:val="28"/>
          <w:lang w:val="ru-RU"/>
        </w:rPr>
        <w:t>техническим и проф</w:t>
      </w:r>
      <w:r w:rsidRPr="000D4FA1">
        <w:rPr>
          <w:rFonts w:ascii="Times New Roman" w:hAnsi="Times New Roman" w:cs="Times New Roman"/>
          <w:sz w:val="28"/>
          <w:szCs w:val="28"/>
          <w:lang w:val="ru-RU"/>
        </w:rPr>
        <w:t>ессиональным образованием и слабость механизмов финансирования отрасли, что является критическим фактором для устойчивости систем ТиПО. Такие страны демонстрируют высокую зависимость от внешних факторов развития и уязвимы перед структурными экономическими потрясениями.</w:t>
      </w:r>
    </w:p>
    <w:p w:rsidR="00286926" w:rsidRPr="000D4FA1" w:rsidRDefault="0028692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В целом, кластер 4 представляет группу стран, где экономический потенциал частично присутствует, но инвестиции в человеческий капитал остаются фрагментарными, что ограничивает возможности долгосрочного развития и модернизации образовательной инфраструктуры. С точки зрения государственной политики, странам этого кластера требуется усиление стратегического финансирования образования, расширение доступа к программам ТиПО и повышение эффективности распределения бюджетных ресурсов.</w:t>
      </w:r>
    </w:p>
    <w:p w:rsidR="00963698" w:rsidRPr="000D4FA1" w:rsidRDefault="00963698" w:rsidP="0096369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Диаграмма демонстрирует взаимосвязь между уровнем экономического развития стран (</w:t>
      </w:r>
      <w:r w:rsidRPr="000D4FA1">
        <w:rPr>
          <w:rFonts w:ascii="Times New Roman" w:hAnsi="Times New Roman" w:cs="Times New Roman"/>
          <w:sz w:val="28"/>
          <w:szCs w:val="28"/>
        </w:rPr>
        <w:t>Zscore</w:t>
      </w:r>
      <w:r w:rsidRPr="000D4FA1">
        <w:rPr>
          <w:rFonts w:ascii="Times New Roman" w:hAnsi="Times New Roman" w:cs="Times New Roman"/>
          <w:sz w:val="28"/>
          <w:szCs w:val="28"/>
          <w:lang w:val="ru-RU"/>
        </w:rPr>
        <w:t>(</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и индексом эффективности государственных </w:t>
      </w:r>
      <w:r w:rsidRPr="000D4FA1">
        <w:rPr>
          <w:rFonts w:ascii="Times New Roman" w:hAnsi="Times New Roman" w:cs="Times New Roman"/>
          <w:sz w:val="28"/>
          <w:szCs w:val="28"/>
          <w:lang w:val="ru-RU"/>
        </w:rPr>
        <w:lastRenderedPageBreak/>
        <w:t>расходов на образование (</w:t>
      </w:r>
      <w:r w:rsidRPr="000D4FA1">
        <w:rPr>
          <w:rFonts w:ascii="Times New Roman" w:hAnsi="Times New Roman" w:cs="Times New Roman"/>
          <w:sz w:val="28"/>
          <w:szCs w:val="28"/>
        </w:rPr>
        <w:t>Zscore</w:t>
      </w:r>
      <w:r w:rsidRPr="000D4FA1">
        <w:rPr>
          <w:rFonts w:ascii="Times New Roman" w:hAnsi="Times New Roman" w:cs="Times New Roman"/>
          <w:sz w:val="28"/>
          <w:szCs w:val="28"/>
          <w:lang w:val="ru-RU"/>
        </w:rPr>
        <w:t>(</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с учётом их кластерной принадлежности. Точки четырёх цветов отражают распределение стран по ранее полученным кластерам, что позволяет визуально оценить различия в их позиционировании. </w:t>
      </w:r>
    </w:p>
    <w:p w:rsidR="00151FA0" w:rsidRPr="000D4FA1" w:rsidRDefault="00151FA0" w:rsidP="00151FA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Общая форма зависимости, заданная трендовой линией, указывает на слабую и нелинейную связь между экономическим уровнем и эффективностью образовательных расходов: повышение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сопровождается незначительным ростом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однако зависимость остаётся минимальной. </w:t>
      </w:r>
    </w:p>
    <w:p w:rsidR="00151FA0" w:rsidRPr="000D4FA1" w:rsidRDefault="00151FA0" w:rsidP="00151FA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Это подтверждает выводы регрессионного анализа о том, что экономическое развитие само по себе не является определяющим фактором эффективности государственных инвестиций в образование. Группировка точек также показывает, что страны высокоразвитого 3–кластера располагаются ближе к верхней части графика, в то время как страны 1–кластера с низким уровнем развития и ограниченной поддержкой образования концентрируются в области отрицательных значений обоих показателей. </w:t>
      </w:r>
    </w:p>
    <w:p w:rsidR="00963698" w:rsidRPr="000D4FA1" w:rsidRDefault="00963698" w:rsidP="00286926">
      <w:pPr>
        <w:spacing w:after="0" w:line="240" w:lineRule="auto"/>
        <w:ind w:firstLine="720"/>
        <w:jc w:val="both"/>
        <w:rPr>
          <w:rFonts w:ascii="Times New Roman" w:hAnsi="Times New Roman" w:cs="Times New Roman"/>
          <w:sz w:val="28"/>
          <w:szCs w:val="28"/>
          <w:lang w:val="ru-RU"/>
        </w:rPr>
      </w:pPr>
    </w:p>
    <w:p w:rsidR="007F139C" w:rsidRPr="000D4FA1" w:rsidRDefault="00100F49" w:rsidP="00ED5D01">
      <w:pPr>
        <w:spacing w:after="0" w:line="240" w:lineRule="auto"/>
        <w:ind w:firstLine="720"/>
        <w:jc w:val="center"/>
        <w:rPr>
          <w:rFonts w:ascii="Times New Roman" w:hAnsi="Times New Roman" w:cs="Times New Roman"/>
          <w:sz w:val="28"/>
          <w:szCs w:val="28"/>
          <w:lang w:val="ru-RU"/>
        </w:rPr>
      </w:pPr>
      <w:r w:rsidRPr="000D4FA1">
        <w:rPr>
          <w:rFonts w:ascii="Times New Roman" w:hAnsi="Times New Roman" w:cs="Times New Roman"/>
          <w:noProof/>
          <w:lang w:val="ru-RU" w:eastAsia="ru-RU"/>
        </w:rPr>
        <w:drawing>
          <wp:anchor distT="0" distB="0" distL="114300" distR="114300" simplePos="0" relativeHeight="251665408" behindDoc="1" locked="0" layoutInCell="1" allowOverlap="1">
            <wp:simplePos x="0" y="0"/>
            <wp:positionH relativeFrom="margin">
              <wp:posOffset>205740</wp:posOffset>
            </wp:positionH>
            <wp:positionV relativeFrom="paragraph">
              <wp:posOffset>13335</wp:posOffset>
            </wp:positionV>
            <wp:extent cx="5711825" cy="3088640"/>
            <wp:effectExtent l="19050" t="19050" r="3175" b="0"/>
            <wp:wrapTight wrapText="bothSides">
              <wp:wrapPolygon edited="0">
                <wp:start x="-72" y="-133"/>
                <wp:lineTo x="-72" y="21582"/>
                <wp:lineTo x="21612" y="21582"/>
                <wp:lineTo x="21612" y="-133"/>
                <wp:lineTo x="-72" y="-133"/>
              </wp:wrapPolygon>
            </wp:wrapTight>
            <wp:docPr id="1518036786" name="Рисунок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6043B98-FF85-7695-E1DE-59828B01D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6043B98-FF85-7695-E1DE-59828B01DD64}"/>
                        </a:ext>
                      </a:extLst>
                    </pic:cNvPr>
                    <pic:cNvPicPr>
                      <a:picLocks noChangeAspect="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11825" cy="3088640"/>
                    </a:xfrm>
                    <a:prstGeom prst="rect">
                      <a:avLst/>
                    </a:prstGeom>
                    <a:ln>
                      <a:solidFill>
                        <a:srgbClr val="EE0000"/>
                      </a:solidFill>
                    </a:ln>
                  </pic:spPr>
                </pic:pic>
              </a:graphicData>
            </a:graphic>
          </wp:anchor>
        </w:drawing>
      </w:r>
      <w:r w:rsidR="007F139C" w:rsidRPr="000D4FA1">
        <w:rPr>
          <w:rFonts w:ascii="Times New Roman" w:hAnsi="Times New Roman" w:cs="Times New Roman"/>
          <w:sz w:val="28"/>
          <w:szCs w:val="28"/>
          <w:lang w:val="ru-RU"/>
        </w:rPr>
        <w:t xml:space="preserve">Рисунок </w:t>
      </w:r>
      <w:r w:rsidR="002B3956" w:rsidRPr="000D4FA1">
        <w:rPr>
          <w:rFonts w:ascii="Times New Roman" w:hAnsi="Times New Roman" w:cs="Times New Roman"/>
          <w:sz w:val="28"/>
          <w:szCs w:val="28"/>
          <w:lang w:val="ru-RU"/>
        </w:rPr>
        <w:t>2</w:t>
      </w:r>
      <w:r w:rsidR="00A00396">
        <w:rPr>
          <w:rFonts w:ascii="Times New Roman" w:hAnsi="Times New Roman" w:cs="Times New Roman"/>
          <w:sz w:val="28"/>
          <w:szCs w:val="28"/>
          <w:lang w:val="ru-RU"/>
        </w:rPr>
        <w:t>5</w:t>
      </w:r>
      <w:r w:rsidR="00ED5D01" w:rsidRPr="000D4FA1">
        <w:rPr>
          <w:rFonts w:ascii="Times New Roman" w:hAnsi="Times New Roman" w:cs="Times New Roman"/>
          <w:sz w:val="28"/>
          <w:szCs w:val="28"/>
          <w:lang w:val="ru-RU"/>
        </w:rPr>
        <w:t xml:space="preserve"> –</w:t>
      </w:r>
      <w:r w:rsidR="007F139C" w:rsidRPr="000D4FA1">
        <w:rPr>
          <w:rFonts w:ascii="Times New Roman" w:hAnsi="Times New Roman" w:cs="Times New Roman"/>
          <w:sz w:val="28"/>
          <w:szCs w:val="28"/>
          <w:lang w:val="ru-RU"/>
        </w:rPr>
        <w:t xml:space="preserve"> Рассеяние </w:t>
      </w:r>
      <w:r w:rsidR="007F139C"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007F139C" w:rsidRPr="000D4FA1">
        <w:rPr>
          <w:rFonts w:ascii="Times New Roman" w:hAnsi="Times New Roman" w:cs="Times New Roman"/>
          <w:sz w:val="28"/>
          <w:szCs w:val="28"/>
          <w:lang w:val="ru-RU"/>
        </w:rPr>
        <w:t xml:space="preserve">оценок показателей </w:t>
      </w:r>
      <w:r w:rsidR="007F139C" w:rsidRPr="000D4FA1">
        <w:rPr>
          <w:rFonts w:ascii="Times New Roman" w:hAnsi="Times New Roman" w:cs="Times New Roman"/>
          <w:sz w:val="28"/>
          <w:szCs w:val="28"/>
        </w:rPr>
        <w:t>GEE</w:t>
      </w:r>
      <w:r w:rsidR="007F139C" w:rsidRPr="000D4FA1">
        <w:rPr>
          <w:rFonts w:ascii="Times New Roman" w:hAnsi="Times New Roman" w:cs="Times New Roman"/>
          <w:sz w:val="28"/>
          <w:szCs w:val="28"/>
          <w:lang w:val="ru-RU"/>
        </w:rPr>
        <w:t xml:space="preserve"> и </w:t>
      </w:r>
      <w:r w:rsidR="007F139C" w:rsidRPr="000D4FA1">
        <w:rPr>
          <w:rFonts w:ascii="Times New Roman" w:hAnsi="Times New Roman" w:cs="Times New Roman"/>
          <w:sz w:val="28"/>
          <w:szCs w:val="28"/>
        </w:rPr>
        <w:t>GDP</w:t>
      </w:r>
      <w:r w:rsidR="007F139C" w:rsidRPr="000D4FA1">
        <w:rPr>
          <w:rFonts w:ascii="Times New Roman" w:hAnsi="Times New Roman" w:cs="Times New Roman"/>
          <w:sz w:val="28"/>
          <w:szCs w:val="28"/>
          <w:lang w:val="ru-RU"/>
        </w:rPr>
        <w:t>_</w:t>
      </w:r>
      <w:r w:rsidR="007F139C" w:rsidRPr="000D4FA1">
        <w:rPr>
          <w:rFonts w:ascii="Times New Roman" w:hAnsi="Times New Roman" w:cs="Times New Roman"/>
          <w:sz w:val="28"/>
          <w:szCs w:val="28"/>
        </w:rPr>
        <w:t>pc</w:t>
      </w:r>
      <w:r w:rsidR="007F139C" w:rsidRPr="000D4FA1">
        <w:rPr>
          <w:rFonts w:ascii="Times New Roman" w:hAnsi="Times New Roman" w:cs="Times New Roman"/>
          <w:sz w:val="28"/>
          <w:szCs w:val="28"/>
          <w:lang w:val="ru-RU"/>
        </w:rPr>
        <w:t xml:space="preserve"> с наложением кластерной структуры и трендовой линии</w:t>
      </w:r>
    </w:p>
    <w:p w:rsidR="00BD7556" w:rsidRPr="000D4FA1" w:rsidRDefault="00BD7556" w:rsidP="007F139C">
      <w:pPr>
        <w:spacing w:after="0" w:line="240" w:lineRule="auto"/>
        <w:ind w:firstLine="720"/>
        <w:jc w:val="both"/>
        <w:rPr>
          <w:rFonts w:ascii="Times New Roman" w:hAnsi="Times New Roman" w:cs="Times New Roman"/>
          <w:sz w:val="28"/>
          <w:szCs w:val="28"/>
          <w:lang w:val="ru-RU"/>
        </w:rPr>
      </w:pPr>
    </w:p>
    <w:p w:rsidR="00432629" w:rsidRDefault="00F93305" w:rsidP="0043262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Такое распределение подчёркивает структурные различия кластеров и демонстрирует, что устойчивость систем ТиПО формируется под влиянием комплексных факторов, а не только макроэкономических ресурсов.</w:t>
      </w:r>
      <w:r w:rsidR="00432629" w:rsidRPr="00432629">
        <w:rPr>
          <w:rFonts w:ascii="Times New Roman" w:hAnsi="Times New Roman" w:cs="Times New Roman"/>
          <w:sz w:val="28"/>
          <w:szCs w:val="28"/>
          <w:lang w:val="ru-RU"/>
        </w:rPr>
        <w:t xml:space="preserve"> </w:t>
      </w:r>
    </w:p>
    <w:p w:rsidR="00432629" w:rsidRPr="000D4FA1" w:rsidRDefault="00432629" w:rsidP="0043262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Диаграмма демонстрирует распределение стран четырёх кластеров по двум стандартизированным показателям: уровню владения английским языком и индексу эффективности государственного управления. Наблюдается слабая положительная, но неустойчивая связь между переменными: трендовая линия лишь умеренно повышается, что свидетельствует о том, что владение </w:t>
      </w:r>
      <w:r w:rsidRPr="000D4FA1">
        <w:rPr>
          <w:rFonts w:ascii="Times New Roman" w:hAnsi="Times New Roman" w:cs="Times New Roman"/>
          <w:sz w:val="28"/>
          <w:szCs w:val="28"/>
          <w:lang w:val="ru-RU"/>
        </w:rPr>
        <w:lastRenderedPageBreak/>
        <w:t xml:space="preserve">английским языком не является определяющим фактором административной эффективности, хотя в ряде случаев может сопровождать более высокие значения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w:t>
      </w:r>
    </w:p>
    <w:p w:rsidR="00205CB4" w:rsidRPr="000D4FA1" w:rsidRDefault="00205CB4" w:rsidP="00286926">
      <w:pPr>
        <w:spacing w:after="0" w:line="240" w:lineRule="auto"/>
        <w:ind w:firstLine="720"/>
        <w:jc w:val="both"/>
        <w:rPr>
          <w:rFonts w:ascii="Times New Roman" w:hAnsi="Times New Roman" w:cs="Times New Roman"/>
          <w:sz w:val="28"/>
          <w:szCs w:val="28"/>
          <w:lang w:val="ru-RU"/>
        </w:rPr>
      </w:pPr>
    </w:p>
    <w:p w:rsidR="007A29DE" w:rsidRPr="000D4FA1" w:rsidRDefault="007A29DE" w:rsidP="00286926">
      <w:pPr>
        <w:spacing w:after="0" w:line="240" w:lineRule="auto"/>
        <w:ind w:firstLine="720"/>
        <w:jc w:val="both"/>
        <w:rPr>
          <w:rFonts w:ascii="Times New Roman" w:hAnsi="Times New Roman" w:cs="Times New Roman"/>
          <w:sz w:val="28"/>
          <w:szCs w:val="28"/>
          <w:lang w:val="ru-RU"/>
        </w:rPr>
      </w:pPr>
    </w:p>
    <w:p w:rsidR="007A29DE" w:rsidRPr="000D4FA1" w:rsidRDefault="00151FA0"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noProof/>
          <w:lang w:val="ru-RU" w:eastAsia="ru-RU"/>
        </w:rPr>
        <w:drawing>
          <wp:anchor distT="0" distB="0" distL="114300" distR="114300" simplePos="0" relativeHeight="251666432" behindDoc="1" locked="0" layoutInCell="1" allowOverlap="1">
            <wp:simplePos x="0" y="0"/>
            <wp:positionH relativeFrom="margin">
              <wp:posOffset>81280</wp:posOffset>
            </wp:positionH>
            <wp:positionV relativeFrom="paragraph">
              <wp:posOffset>27305</wp:posOffset>
            </wp:positionV>
            <wp:extent cx="5791200" cy="3072130"/>
            <wp:effectExtent l="19050" t="19050" r="19050" b="13970"/>
            <wp:wrapTight wrapText="bothSides">
              <wp:wrapPolygon edited="0">
                <wp:start x="-71" y="-134"/>
                <wp:lineTo x="-71" y="21564"/>
                <wp:lineTo x="21600" y="21564"/>
                <wp:lineTo x="21600" y="-134"/>
                <wp:lineTo x="-71" y="-134"/>
              </wp:wrapPolygon>
            </wp:wrapTight>
            <wp:docPr id="3" name="Рисунок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9CC4418-A2C4-8F20-6C21-F30B37CA1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9CC4418-A2C4-8F20-6C21-F30B37CA1039}"/>
                        </a:ext>
                      </a:extLst>
                    </pic:cNvPr>
                    <pic:cNvPicPr>
                      <a:picLocks noChangeAspect="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91200" cy="3072130"/>
                    </a:xfrm>
                    <a:prstGeom prst="rect">
                      <a:avLst/>
                    </a:prstGeom>
                    <a:ln>
                      <a:solidFill>
                        <a:srgbClr val="EE0000"/>
                      </a:solidFill>
                    </a:ln>
                  </pic:spPr>
                </pic:pic>
              </a:graphicData>
            </a:graphic>
          </wp:anchor>
        </w:drawing>
      </w:r>
    </w:p>
    <w:p w:rsidR="007A29DE" w:rsidRPr="000D4FA1" w:rsidRDefault="007A29DE" w:rsidP="00286926">
      <w:pPr>
        <w:spacing w:after="0" w:line="240" w:lineRule="auto"/>
        <w:ind w:firstLine="720"/>
        <w:jc w:val="both"/>
        <w:rPr>
          <w:rFonts w:ascii="Times New Roman" w:hAnsi="Times New Roman" w:cs="Times New Roman"/>
          <w:sz w:val="28"/>
          <w:szCs w:val="28"/>
          <w:lang w:val="ru-RU"/>
        </w:rPr>
      </w:pPr>
    </w:p>
    <w:p w:rsidR="007A29DE" w:rsidRPr="000D4FA1" w:rsidRDefault="00E14086" w:rsidP="00ED5D01">
      <w:pPr>
        <w:spacing w:after="0" w:line="240" w:lineRule="auto"/>
        <w:ind w:firstLine="720"/>
        <w:jc w:val="center"/>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Рисунок </w:t>
      </w:r>
      <w:r w:rsidR="002B3956" w:rsidRPr="000D4FA1">
        <w:rPr>
          <w:rFonts w:ascii="Times New Roman" w:hAnsi="Times New Roman" w:cs="Times New Roman"/>
          <w:sz w:val="28"/>
          <w:szCs w:val="28"/>
          <w:lang w:val="ru-RU"/>
        </w:rPr>
        <w:t>2</w:t>
      </w:r>
      <w:r w:rsidR="00A00396">
        <w:rPr>
          <w:rFonts w:ascii="Times New Roman" w:hAnsi="Times New Roman" w:cs="Times New Roman"/>
          <w:sz w:val="28"/>
          <w:szCs w:val="28"/>
          <w:lang w:val="ru-RU"/>
        </w:rPr>
        <w:t>6</w:t>
      </w:r>
      <w:r w:rsidR="00ED5D01"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 Взаимосвязь между уровнем владения английским языком (Zscore(English)) и индексом эффективности государственного управления (Zscore(GEE)) в странах кластеров 1–4</w:t>
      </w:r>
    </w:p>
    <w:p w:rsidR="007A29DE" w:rsidRPr="000D4FA1" w:rsidRDefault="007A29DE" w:rsidP="00286926">
      <w:pPr>
        <w:spacing w:after="0" w:line="240" w:lineRule="auto"/>
        <w:ind w:firstLine="720"/>
        <w:jc w:val="both"/>
        <w:rPr>
          <w:rFonts w:ascii="Times New Roman" w:hAnsi="Times New Roman" w:cs="Times New Roman"/>
          <w:sz w:val="28"/>
          <w:szCs w:val="28"/>
          <w:lang w:val="ru-RU"/>
        </w:rPr>
      </w:pPr>
    </w:p>
    <w:p w:rsidR="00226369" w:rsidRPr="000D4FA1" w:rsidRDefault="00E1408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На графике видна выраженная кластеризация: страны кластера 3 (зелёные точки) располагаются преимущественно в зоне высоких значений обоих показателей, что подтверждает их статус экономически развитых государств с устойчивыми институциональными системами. Страны кластеров 1 и 2 характеризуются более низким и разрозненным уровнем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xml:space="preserve"> при умеренном или низком показателе владения английским языком, что отражает ограниченность их человеческого потенциала и административных возможностей.</w:t>
      </w:r>
    </w:p>
    <w:p w:rsidR="007A29DE" w:rsidRPr="000D4FA1" w:rsidRDefault="00E14086" w:rsidP="00286926">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Кластер 4 включает страны с умеренным уровнем </w:t>
      </w:r>
      <w:r w:rsidRPr="000D4FA1">
        <w:rPr>
          <w:rFonts w:ascii="Times New Roman" w:hAnsi="Times New Roman" w:cs="Times New Roman"/>
          <w:sz w:val="28"/>
          <w:szCs w:val="28"/>
        </w:rPr>
        <w:t>English</w:t>
      </w:r>
      <w:r w:rsidRPr="000D4FA1">
        <w:rPr>
          <w:rFonts w:ascii="Times New Roman" w:hAnsi="Times New Roman" w:cs="Times New Roman"/>
          <w:sz w:val="28"/>
          <w:szCs w:val="28"/>
          <w:lang w:val="ru-RU"/>
        </w:rPr>
        <w:t xml:space="preserve"> и вариативным </w:t>
      </w:r>
      <w:r w:rsidRPr="000D4FA1">
        <w:rPr>
          <w:rFonts w:ascii="Times New Roman" w:hAnsi="Times New Roman" w:cs="Times New Roman"/>
          <w:sz w:val="28"/>
          <w:szCs w:val="28"/>
        </w:rPr>
        <w:t>GEE</w:t>
      </w:r>
      <w:r w:rsidRPr="000D4FA1">
        <w:rPr>
          <w:rFonts w:ascii="Times New Roman" w:hAnsi="Times New Roman" w:cs="Times New Roman"/>
          <w:sz w:val="28"/>
          <w:szCs w:val="28"/>
          <w:lang w:val="ru-RU"/>
        </w:rPr>
        <w:t>, что указывает на наличие структурных различий внутри группы. Информация, представленная на рисунке, подтверждает выводы регрессионного и кластерного анализа: влияние языка на эффективность управления опосредовано другими макроэкономическими факторами и проявляется лишь в совокупности с общим уровнем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экономического развития.</w:t>
      </w:r>
    </w:p>
    <w:p w:rsidR="00210715" w:rsidRPr="000D4FA1" w:rsidRDefault="00210715"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Проведённый кластерный анализ позволил сформировать структурированную типологию стран по уровню человеческого потенциала и условиям устойчивости организаций технического и профессионального образования. Результаты исследования показали, что три выбранные </w:t>
      </w:r>
      <w:r w:rsidRPr="000D4FA1">
        <w:rPr>
          <w:rFonts w:ascii="Times New Roman" w:hAnsi="Times New Roman" w:cs="Times New Roman"/>
          <w:sz w:val="28"/>
          <w:szCs w:val="28"/>
          <w:lang w:val="ru-RU"/>
        </w:rPr>
        <w:lastRenderedPageBreak/>
        <w:t>детерминанты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предварительно стандартизированные методом </w:t>
      </w:r>
      <w:r w:rsidRPr="000D4FA1">
        <w:rPr>
          <w:rFonts w:ascii="Times New Roman" w:hAnsi="Times New Roman" w:cs="Times New Roman"/>
          <w:sz w:val="28"/>
          <w:szCs w:val="28"/>
        </w:rPr>
        <w:t>Z</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score</w:t>
      </w:r>
      <w:r w:rsidRPr="000D4FA1">
        <w:rPr>
          <w:rFonts w:ascii="Times New Roman" w:hAnsi="Times New Roman" w:cs="Times New Roman"/>
          <w:sz w:val="28"/>
          <w:szCs w:val="28"/>
          <w:lang w:val="ru-RU"/>
        </w:rPr>
        <w:t xml:space="preserve">, обладают высокой объясняющей способностью и формируют чёткие различия между группами стран. Процесс кластеризации методом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xml:space="preserve"> продемонстрировал хорошую сходимость (три итерации), устойчивость полученных центров и статистически значимые межкластерные различия по всем переменным (</w:t>
      </w:r>
      <w:r w:rsidRPr="000D4FA1">
        <w:rPr>
          <w:rFonts w:ascii="Times New Roman" w:hAnsi="Times New Roman" w:cs="Times New Roman"/>
          <w:sz w:val="28"/>
          <w:szCs w:val="28"/>
        </w:rPr>
        <w:t>F</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критерий описательного уровня).</w:t>
      </w:r>
    </w:p>
    <w:p w:rsidR="00210715" w:rsidRPr="000D4FA1" w:rsidRDefault="00210715"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Первый кластер</w:t>
      </w:r>
      <w:r w:rsidRPr="000D4FA1">
        <w:rPr>
          <w:rFonts w:ascii="Times New Roman" w:hAnsi="Times New Roman" w:cs="Times New Roman"/>
          <w:sz w:val="28"/>
          <w:szCs w:val="28"/>
          <w:lang w:val="ru-RU"/>
        </w:rPr>
        <w:t xml:space="preserve"> (экономически слабые страны с низкой поддержкой образования) характеризуется наиболее низкими значениями экономического развития и бюджетной поддержки образования. Эти государства демонстрируют выраженный дефицит человеческого потенциала, слабую инфраструктуру ТиПО и высокую чувствительность к макроэкономическим шокам.</w:t>
      </w:r>
    </w:p>
    <w:p w:rsidR="00210715" w:rsidRPr="000D4FA1" w:rsidRDefault="00210715"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Второй кластер</w:t>
      </w:r>
      <w:r w:rsidRPr="000D4FA1">
        <w:rPr>
          <w:rFonts w:ascii="Times New Roman" w:hAnsi="Times New Roman" w:cs="Times New Roman"/>
          <w:sz w:val="28"/>
          <w:szCs w:val="28"/>
          <w:lang w:val="ru-RU"/>
        </w:rPr>
        <w:t xml:space="preserve"> объединяет страны со средним уровнем экономического развития и умеренной поддержкой образования. Их показатели приближены к средним, а устойчивость систем ТиПО зависит от ограниченных, но относительно стабильных бюджетных ресурсов и умеренной демографической нагрузки.</w:t>
      </w:r>
    </w:p>
    <w:p w:rsidR="00210715" w:rsidRPr="000D4FA1" w:rsidRDefault="00210715"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Третий кластер</w:t>
      </w:r>
      <w:r w:rsidRPr="000D4FA1">
        <w:rPr>
          <w:rFonts w:ascii="Times New Roman" w:hAnsi="Times New Roman" w:cs="Times New Roman"/>
          <w:sz w:val="28"/>
          <w:szCs w:val="28"/>
          <w:lang w:val="ru-RU"/>
        </w:rPr>
        <w:t xml:space="preserve"> включает экономически развитые страны с высокой бюджетной поддержкой образования. Данные страны показывают наилучшие значения по двум ключевым детерминантам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и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что формирует высокий уровень устойчивости, развитую кадровую базу и сильные институциональные механизмы подготовки кадров.</w:t>
      </w:r>
    </w:p>
    <w:p w:rsidR="00210715" w:rsidRPr="000D4FA1" w:rsidRDefault="00210715"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b/>
          <w:bCs/>
          <w:sz w:val="28"/>
          <w:szCs w:val="28"/>
          <w:lang w:val="ru-RU"/>
        </w:rPr>
        <w:t>Четвёртый кластер</w:t>
      </w:r>
      <w:r w:rsidRPr="000D4FA1">
        <w:rPr>
          <w:rFonts w:ascii="Times New Roman" w:hAnsi="Times New Roman" w:cs="Times New Roman"/>
          <w:sz w:val="28"/>
          <w:szCs w:val="28"/>
          <w:lang w:val="ru-RU"/>
        </w:rPr>
        <w:t xml:space="preserve"> представляет страны с умеренным экономическим развитием, но ограниченной бюджетной поддержкой. Несмотря на более высокий средний уровень дохода, финансирование образовательных программ остаётся относительно низким, что создаёт разрыв между экономическими возможностями и фактическими инвестициями в человеческий капитал.</w:t>
      </w:r>
    </w:p>
    <w:p w:rsidR="00150B88" w:rsidRPr="000D4FA1" w:rsidRDefault="00150B88" w:rsidP="00150B8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Результаты кластерного анализа имеют не только аналитическое, но и прикладное управленческое значение для системы технического и профессионального образования. Кластеризация стран по ключевым детерминантам человеческого потенциала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государственные расходы на образование и здравоохранение, уровень вовлеченности в профессиональное образование и демографические факторы) позволяет сформировать типологию условий развития образовательных систем и определить соответствующие управленческие стратегии. Использование кластерного подхода дает руководителям организаций ТиПО возможность адаптировать кадровую и образовательную политику в соответствии с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экономическими условиями функционирования образовательной системы.</w:t>
      </w:r>
    </w:p>
    <w:p w:rsidR="00150B88" w:rsidRPr="000D4FA1" w:rsidRDefault="00150B88" w:rsidP="00150B8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Для стран и образовательных организаций, относящихся к лидирующему кластеру, характерны высокий уровень экономического развития, значительные государственные инвестиции в образование и относительно высокий уровень развития человеческого потенциала. В данных условиях управленческие решения должны быть направлены прежде всего на поддержание и дальнейшее </w:t>
      </w:r>
      <w:r w:rsidRPr="000D4FA1">
        <w:rPr>
          <w:rFonts w:ascii="Times New Roman" w:hAnsi="Times New Roman" w:cs="Times New Roman"/>
          <w:sz w:val="28"/>
          <w:szCs w:val="28"/>
          <w:lang w:val="ru-RU"/>
        </w:rPr>
        <w:lastRenderedPageBreak/>
        <w:t>развитие интеллектуального и инновационного потенциала преподавательского состава. К ключевым управленческим шагам относятся развитие программ академической мобильности преподавателей, внедрение систем непрерывного профессионального развития (</w:t>
      </w:r>
      <w:r w:rsidRPr="000D4FA1">
        <w:rPr>
          <w:rFonts w:ascii="Times New Roman" w:hAnsi="Times New Roman" w:cs="Times New Roman"/>
          <w:sz w:val="28"/>
          <w:szCs w:val="28"/>
        </w:rPr>
        <w:t>continuous</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professional</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development</w:t>
      </w:r>
      <w:r w:rsidRPr="000D4FA1">
        <w:rPr>
          <w:rFonts w:ascii="Times New Roman" w:hAnsi="Times New Roman" w:cs="Times New Roman"/>
          <w:sz w:val="28"/>
          <w:szCs w:val="28"/>
          <w:lang w:val="ru-RU"/>
        </w:rPr>
        <w:t>), стимулирование научно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исследовательской активности педагогических кадров, а также внедрение цифровых образовательных технологий и инновационных методов обучения. В рамках мотивационной политики целесообразно применять инструменты долгосрочной профессиональной мотивации, включая карьерные траектории преподавателей, систему </w:t>
      </w:r>
      <w:r w:rsidRPr="000D4FA1">
        <w:rPr>
          <w:rFonts w:ascii="Times New Roman" w:hAnsi="Times New Roman" w:cs="Times New Roman"/>
          <w:sz w:val="28"/>
          <w:szCs w:val="28"/>
        </w:rPr>
        <w:t>KPI</w:t>
      </w:r>
      <w:r w:rsidRPr="000D4FA1">
        <w:rPr>
          <w:rFonts w:ascii="Times New Roman" w:hAnsi="Times New Roman" w:cs="Times New Roman"/>
          <w:sz w:val="28"/>
          <w:szCs w:val="28"/>
          <w:lang w:val="ru-RU"/>
        </w:rPr>
        <w:t>, грантовую поддержку научных проектов и участие в международных образовательных инициативах.</w:t>
      </w:r>
    </w:p>
    <w:p w:rsidR="00150B88" w:rsidRPr="000D4FA1" w:rsidRDefault="00150B88" w:rsidP="00150B8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Для стран и образовательных систем, относящихся к кластеру со средним уровнем развития, характерны умеренные значения макроэкономических показателей и ограниченные, но стабильные инвестиции в человеческий капитал. В данном случае управленческая стратегия должна быть ориентирована на повышение эффективности использования имеющихся кадровых и институциональных ресурсов. Приоритетными управленческими решениями являются развитие программ повышения квалификации преподавателей, расширение взаимодействия образовательных организаций с работодателями, внедрение элементов дуального обучения, а также совершенствование системы оценки эффективности преподавательской деятельности. Дополнительным направлением является развитие партнерства между колледжами и предприятиями, что позволяет повысить практическую направленность образовательных программ и улучшить показатели трудоустройства выпускников.</w:t>
      </w:r>
    </w:p>
    <w:p w:rsidR="00150B88" w:rsidRPr="000D4FA1" w:rsidRDefault="00150B88" w:rsidP="00150B8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Для стран и образовательных организаций, относящихся к отстающему кластеру, характерны более низкие значения макроэкономических показателей и ограниченные ресурсы системы образования. В данных условиях ключевым направлением управленческой политики становится укрепление базового кадрового потенциала и повышение устойчивости образовательных организаций. Основные управленческие шаги включают реализацию программ подготовки и переподготовки педагогических кадров, снижение текучести преподавателей через улучшение условий труда и системы материального стимулирования, развитие механизмов государственной поддержки образовательных учреждений и расширение программ международного сотрудничества. Кроме того, важным направлением является внедрение программ институционального развития, направленных на модернизацию материально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технической базы и повышение качества образовательных программ.</w:t>
      </w:r>
    </w:p>
    <w:p w:rsidR="00150B88" w:rsidRPr="000D4FA1" w:rsidRDefault="00150B88" w:rsidP="00150B88">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Таким образом, кластерный анализ позволяет рассматривать выявленные группы стран не только как статистические категории, но и как основу для разработки дифференцированных управленческих стратегий развития человеческого потенциала организаций технического и профессионального образования. Использование данного подхода позволяет руководителям образовательных учреждений адаптировать кадровую политику, </w:t>
      </w:r>
      <w:r w:rsidRPr="000D4FA1">
        <w:rPr>
          <w:rFonts w:ascii="Times New Roman" w:hAnsi="Times New Roman" w:cs="Times New Roman"/>
          <w:sz w:val="28"/>
          <w:szCs w:val="28"/>
          <w:lang w:val="ru-RU"/>
        </w:rPr>
        <w:lastRenderedPageBreak/>
        <w:t>образовательные программы и механизмы мотивации персонала в зависимости от социально</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экономических условий функционирования системы образования, что в конечном итоге способствует повышению устойчивости организаций ТиПО.</w:t>
      </w:r>
    </w:p>
    <w:p w:rsidR="00464279" w:rsidRPr="000D4FA1" w:rsidRDefault="00464279" w:rsidP="004642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Для усиления связи количественных результатов исследования с положениями, выносимыми на защиту, в работе дополнительно уточн</w:t>
      </w:r>
      <w:r w:rsidR="002F38E4" w:rsidRPr="000D4FA1">
        <w:rPr>
          <w:rFonts w:ascii="Times New Roman" w:hAnsi="Times New Roman" w:cs="Times New Roman"/>
          <w:sz w:val="28"/>
          <w:szCs w:val="28"/>
          <w:lang w:val="ru-RU"/>
        </w:rPr>
        <w:t>ены</w:t>
      </w:r>
      <w:r w:rsidRPr="000D4FA1">
        <w:rPr>
          <w:rFonts w:ascii="Times New Roman" w:hAnsi="Times New Roman" w:cs="Times New Roman"/>
          <w:sz w:val="28"/>
          <w:szCs w:val="28"/>
          <w:lang w:val="ru-RU"/>
        </w:rPr>
        <w:t xml:space="preserve"> роль кластерного анализа в подтверждении гипотез исследования. Следует отметить, что кластерный анализ в диссертации выступает логическим продолжением регрессионного моделирования и используется для структурирования полученных эмпирических результатов. Если регрессионный анализ позволил выявить статистически значимые взаимосвязи между макроэкономическими факторами и показателями развития человеческого потенциала, то кластерный анализ позволил сгруппировать исследуемые страны по сходству выявленных характеристик и определить типологические модели развития образовательных систем.</w:t>
      </w:r>
    </w:p>
    <w:p w:rsidR="00464279" w:rsidRPr="000D4FA1" w:rsidRDefault="00464279" w:rsidP="004642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Полученные результаты подтверждают основные гипотезы исследования. В частности, результаты регрессионного анализа показали наличие статистически значимой связи между уровнем экономического развития страны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per</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capita</w:t>
      </w:r>
      <w:r w:rsidRPr="000D4FA1">
        <w:rPr>
          <w:rFonts w:ascii="Times New Roman" w:hAnsi="Times New Roman" w:cs="Times New Roman"/>
          <w:sz w:val="28"/>
          <w:szCs w:val="28"/>
          <w:lang w:val="ru-RU"/>
        </w:rPr>
        <w:t xml:space="preserve">), показателями развития цифровой инфраструктуры и уровнем государственных расходов на образование. Кластерный анализ методом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проведенный на основе стандартизированных значений данных переменных, позволил выделить четыре типологические группы стран, различающиеся по уровню экономического развития и масштабу государственной поддержки человеческого капитала.</w:t>
      </w:r>
    </w:p>
    <w:p w:rsidR="00464279" w:rsidRPr="000D4FA1" w:rsidRDefault="00464279" w:rsidP="00464279">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Анализ конечных центров кластеров показал, что страны с более высоким уровнем экономического развития и более значительными государственными инвестициями в образование формируют наиболее устойчивые модели развития человеческого потенциала. В то же время страны с низкими значениями рассматриваемых показателей характеризуются ограниченными возможностями развития образовательной инфраструктуры и более высокой уязвимостью образовательных организаций к внешним экономическим факторам. Данные результаты подтверждают гипотезу исследования о том, что развитие человеческого потенциала образовательных организаций тесно связано с макроэкономическими условиями и уровнем государственной поддержки образования.</w:t>
      </w:r>
    </w:p>
    <w:p w:rsidR="00464279" w:rsidRPr="000D4FA1" w:rsidRDefault="00464279" w:rsidP="009379EE">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Таким образом, кластерный анализ позволил не только систематизировать результаты регрессионного моделирования, но и выявить типологические модели развития образовательных систем, что является важным эмпирическим подтверждением выдвинутых гипотез исследования. Полученные результаты послужили основой для разработки управленческих рекомендаций, направленных на повышение устойчивости организаций технического и профессионального образования и развитие их человеческого потенциала.</w:t>
      </w:r>
    </w:p>
    <w:p w:rsidR="008C5B90" w:rsidRPr="000D4FA1" w:rsidRDefault="008C5B90" w:rsidP="008C5B9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lastRenderedPageBreak/>
        <w:t>В процессе кластеризации методом k-means количество кластеров определялось на основе анализа внутригрупповой дисперсии, где дальнейшее увеличение числа кластеров не приводило к существенному снижению ошибки (эффект «локтя»). Это свидетельствует о том, что разбиение на четыре группы обеспечивает наилучшее структурирование выборки без избыточной детализации.</w:t>
      </w:r>
    </w:p>
    <w:p w:rsidR="008C5B90" w:rsidRPr="000D4FA1" w:rsidRDefault="008C5B90" w:rsidP="008C5B9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Кроме того, полученные четыре кластера формируют логически интерпретируемую типологию стран, отражающую различия в уровне экономического развития, степени поддержки человеческого капитала и развитии образовательной инфраструктуры. Увеличение числа кластеров приводило к фрагментации групп без существенного прироста аналитической ценности, тогда как меньшее количество кластеров сглаживало значимые различия между странами.</w:t>
      </w:r>
    </w:p>
    <w:p w:rsidR="008C5B90" w:rsidRPr="000D4FA1" w:rsidRDefault="008C5B90" w:rsidP="008C5B90">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Таким образом, выбор четырех кластеров обеспечивает статистическую устойчивость результатов, их содержательную интерпретируемость и практическую применимость для последующего формирования управленческих выводов.</w:t>
      </w:r>
    </w:p>
    <w:p w:rsidR="001F0F21" w:rsidRPr="000D4FA1" w:rsidRDefault="001F0F21"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Полученные результаты регрессионного и кластерного анализа позволяют сформировать управленческую рамку (</w:t>
      </w:r>
      <w:r w:rsidRPr="000D4FA1">
        <w:rPr>
          <w:rFonts w:ascii="Times New Roman" w:hAnsi="Times New Roman" w:cs="Times New Roman"/>
          <w:sz w:val="28"/>
          <w:szCs w:val="28"/>
        </w:rPr>
        <w:t>Management</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Framework</w:t>
      </w:r>
      <w:r w:rsidRPr="000D4FA1">
        <w:rPr>
          <w:rFonts w:ascii="Times New Roman" w:hAnsi="Times New Roman" w:cs="Times New Roman"/>
          <w:sz w:val="28"/>
          <w:szCs w:val="28"/>
          <w:lang w:val="ru-RU"/>
        </w:rPr>
        <w:t>) развития человеческого потенциала организаций технического и профессионального образования. В отличие от традиционного описательного анализа, данный подход ориентирован на трансформацию аналитических результатов исследования в конкретные управленческие решения для руководителей образовательных организаций.</w:t>
      </w:r>
    </w:p>
    <w:p w:rsidR="007E2C9F" w:rsidRPr="000D4FA1" w:rsidRDefault="001F0F21"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Предложенный управленческий подход основывается на последовательной логике принятия решений и включает несколько взаимосвязанных этапов.</w:t>
      </w:r>
    </w:p>
    <w:p w:rsidR="007E2C9F" w:rsidRPr="000D4FA1" w:rsidRDefault="001F0F21"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На первом этапе проводится диагностика состояния человеческого потенциала образовательной организации, включая анализ кадрового состава, уровня квалификации преподавателей, текучести кадров и участия сотрудников в программах повышения квалификации. </w:t>
      </w:r>
    </w:p>
    <w:p w:rsidR="001F0F21" w:rsidRPr="000D4FA1" w:rsidRDefault="001F0F21"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На втором этапе осуществляется оценка влияния макроэкономических и институциональных факторов на устойчивость образовательной организации, что позволяет учитывать внешнюю среду функционирования системы ТиПО.</w:t>
      </w:r>
    </w:p>
    <w:p w:rsidR="007E2C9F" w:rsidRPr="000D4FA1" w:rsidRDefault="001F0F21"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Третий этап предполагает разработку и реализацию программ развития кадрового потенциала. Ключевыми направлениями являются повышение квалификации преподавателей, развитие профессиональных компетенций, участие преподавательского состава в сертификационных программах, а также расширение сотрудничества с работодателями и медицинскими организациями. </w:t>
      </w:r>
    </w:p>
    <w:p w:rsidR="00A237EF" w:rsidRDefault="001F0F21" w:rsidP="007E2C9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На завершающем этапе внедряется система мониторинга эффективности управленческих решений на основе ключевых показателей эффективности (</w:t>
      </w:r>
      <w:r w:rsidRPr="000D4FA1">
        <w:rPr>
          <w:rFonts w:ascii="Times New Roman" w:hAnsi="Times New Roman" w:cs="Times New Roman"/>
          <w:sz w:val="28"/>
          <w:szCs w:val="28"/>
        </w:rPr>
        <w:t>KPI</w:t>
      </w:r>
      <w:r w:rsidRPr="000D4FA1">
        <w:rPr>
          <w:rFonts w:ascii="Times New Roman" w:hAnsi="Times New Roman" w:cs="Times New Roman"/>
          <w:sz w:val="28"/>
          <w:szCs w:val="28"/>
          <w:lang w:val="ru-RU"/>
        </w:rPr>
        <w:t>), отражающих уровень развития человеческого потенциала и устойчивость образовательной организации.</w:t>
      </w:r>
    </w:p>
    <w:p w:rsidR="00432629" w:rsidRDefault="00432629" w:rsidP="007E2C9F">
      <w:pPr>
        <w:spacing w:after="0" w:line="240" w:lineRule="auto"/>
        <w:ind w:firstLine="720"/>
        <w:jc w:val="both"/>
        <w:rPr>
          <w:rFonts w:ascii="Times New Roman" w:hAnsi="Times New Roman" w:cs="Times New Roman"/>
          <w:sz w:val="28"/>
          <w:szCs w:val="28"/>
          <w:lang w:val="ru-RU"/>
        </w:rPr>
      </w:pPr>
    </w:p>
    <w:p w:rsidR="001F0F21" w:rsidRPr="000D4FA1" w:rsidRDefault="00F97D8C" w:rsidP="001F0F2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lastRenderedPageBreak/>
        <w:t xml:space="preserve">Таблица </w:t>
      </w:r>
      <w:r w:rsidR="002F38E4" w:rsidRPr="000D4FA1">
        <w:rPr>
          <w:rFonts w:ascii="Times New Roman" w:hAnsi="Times New Roman" w:cs="Times New Roman"/>
          <w:sz w:val="28"/>
          <w:szCs w:val="28"/>
          <w:lang w:val="ru-RU"/>
        </w:rPr>
        <w:t>3</w:t>
      </w:r>
      <w:r w:rsidR="00D17049" w:rsidRPr="000D4FA1">
        <w:rPr>
          <w:rFonts w:ascii="Times New Roman" w:hAnsi="Times New Roman" w:cs="Times New Roman"/>
          <w:sz w:val="28"/>
          <w:szCs w:val="28"/>
          <w:lang w:val="ru-RU"/>
        </w:rPr>
        <w:t>4</w:t>
      </w:r>
      <w:r w:rsidR="00ED5D01" w:rsidRPr="000D4FA1">
        <w:rPr>
          <w:rFonts w:ascii="Times New Roman" w:hAnsi="Times New Roman" w:cs="Times New Roman"/>
          <w:sz w:val="28"/>
          <w:szCs w:val="28"/>
          <w:lang w:val="ru-RU"/>
        </w:rPr>
        <w:t xml:space="preserve"> – </w:t>
      </w:r>
      <w:r w:rsidRPr="000D4FA1">
        <w:rPr>
          <w:rFonts w:ascii="Times New Roman" w:hAnsi="Times New Roman" w:cs="Times New Roman"/>
          <w:sz w:val="28"/>
          <w:szCs w:val="28"/>
        </w:rPr>
        <w:t>Management</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Framework</w:t>
      </w:r>
      <w:r w:rsidRPr="000D4FA1">
        <w:rPr>
          <w:rFonts w:ascii="Times New Roman" w:hAnsi="Times New Roman" w:cs="Times New Roman"/>
          <w:sz w:val="28"/>
          <w:szCs w:val="28"/>
          <w:lang w:val="ru-RU"/>
        </w:rPr>
        <w:t xml:space="preserve"> развития человеческого потенциала организаций ТиПО</w:t>
      </w:r>
    </w:p>
    <w:p w:rsidR="009379EE" w:rsidRPr="000D4FA1" w:rsidRDefault="009379EE" w:rsidP="001F0F21">
      <w:pPr>
        <w:spacing w:after="0" w:line="240" w:lineRule="auto"/>
        <w:ind w:firstLine="720"/>
        <w:jc w:val="both"/>
        <w:rPr>
          <w:rFonts w:ascii="Times New Roman" w:hAnsi="Times New Roman" w:cs="Times New Roman"/>
          <w:sz w:val="28"/>
          <w:szCs w:val="28"/>
          <w:lang w:val="ru-RU"/>
        </w:rPr>
      </w:pPr>
    </w:p>
    <w:tbl>
      <w:tblPr>
        <w:tblW w:w="9172" w:type="dxa"/>
        <w:tblInd w:w="113" w:type="dxa"/>
        <w:tblLook w:val="04A0"/>
      </w:tblPr>
      <w:tblGrid>
        <w:gridCol w:w="1658"/>
        <w:gridCol w:w="2116"/>
        <w:gridCol w:w="1724"/>
        <w:gridCol w:w="2019"/>
        <w:gridCol w:w="1876"/>
      </w:tblGrid>
      <w:tr w:rsidR="00A237EF" w:rsidRPr="000D4FA1" w:rsidTr="00A237EF">
        <w:trPr>
          <w:trHeight w:val="600"/>
        </w:trPr>
        <w:tc>
          <w:tcPr>
            <w:tcW w:w="1658" w:type="dxa"/>
            <w:tcBorders>
              <w:top w:val="single" w:sz="4" w:space="0" w:color="auto"/>
              <w:left w:val="single" w:sz="4" w:space="0" w:color="auto"/>
              <w:bottom w:val="single" w:sz="4" w:space="0" w:color="auto"/>
              <w:right w:val="single" w:sz="4" w:space="0" w:color="auto"/>
            </w:tcBorders>
            <w:hideMark/>
          </w:tcPr>
          <w:p w:rsidR="00A237EF" w:rsidRPr="006E660C" w:rsidRDefault="00A237EF" w:rsidP="00A237EF">
            <w:pPr>
              <w:spacing w:after="0" w:line="240" w:lineRule="auto"/>
              <w:jc w:val="center"/>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Этап управления</w:t>
            </w:r>
          </w:p>
        </w:tc>
        <w:tc>
          <w:tcPr>
            <w:tcW w:w="2116" w:type="dxa"/>
            <w:tcBorders>
              <w:top w:val="single" w:sz="4" w:space="0" w:color="auto"/>
              <w:left w:val="nil"/>
              <w:bottom w:val="single" w:sz="4" w:space="0" w:color="auto"/>
              <w:right w:val="single" w:sz="4" w:space="0" w:color="auto"/>
            </w:tcBorders>
            <w:hideMark/>
          </w:tcPr>
          <w:p w:rsidR="00A237EF" w:rsidRPr="006E660C" w:rsidRDefault="00A237EF" w:rsidP="00A237EF">
            <w:pPr>
              <w:spacing w:after="0" w:line="240" w:lineRule="auto"/>
              <w:jc w:val="center"/>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Управленческие действия</w:t>
            </w:r>
          </w:p>
        </w:tc>
        <w:tc>
          <w:tcPr>
            <w:tcW w:w="1041" w:type="dxa"/>
            <w:tcBorders>
              <w:top w:val="single" w:sz="4" w:space="0" w:color="auto"/>
              <w:left w:val="nil"/>
              <w:bottom w:val="single" w:sz="4" w:space="0" w:color="auto"/>
              <w:right w:val="single" w:sz="4" w:space="0" w:color="auto"/>
            </w:tcBorders>
            <w:hideMark/>
          </w:tcPr>
          <w:p w:rsidR="00A237EF" w:rsidRPr="006E660C" w:rsidRDefault="00A237EF" w:rsidP="00A237EF">
            <w:pPr>
              <w:spacing w:after="0" w:line="240" w:lineRule="auto"/>
              <w:jc w:val="center"/>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Основные инструменты</w:t>
            </w:r>
          </w:p>
        </w:tc>
        <w:tc>
          <w:tcPr>
            <w:tcW w:w="2019" w:type="dxa"/>
            <w:tcBorders>
              <w:top w:val="single" w:sz="4" w:space="0" w:color="auto"/>
              <w:left w:val="nil"/>
              <w:bottom w:val="single" w:sz="4" w:space="0" w:color="auto"/>
              <w:right w:val="single" w:sz="4" w:space="0" w:color="auto"/>
            </w:tcBorders>
            <w:hideMark/>
          </w:tcPr>
          <w:p w:rsidR="00A237EF" w:rsidRPr="006E660C" w:rsidRDefault="00A237EF" w:rsidP="00A237EF">
            <w:pPr>
              <w:spacing w:after="0" w:line="240" w:lineRule="auto"/>
              <w:jc w:val="center"/>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Ожидаемые результаты</w:t>
            </w:r>
          </w:p>
        </w:tc>
        <w:tc>
          <w:tcPr>
            <w:tcW w:w="2338" w:type="dxa"/>
            <w:tcBorders>
              <w:top w:val="single" w:sz="4" w:space="0" w:color="auto"/>
              <w:left w:val="nil"/>
              <w:bottom w:val="single" w:sz="4" w:space="0" w:color="auto"/>
              <w:right w:val="single" w:sz="4" w:space="0" w:color="auto"/>
            </w:tcBorders>
            <w:hideMark/>
          </w:tcPr>
          <w:p w:rsidR="00A237EF" w:rsidRPr="006E660C" w:rsidRDefault="00A237EF" w:rsidP="00A237EF">
            <w:pPr>
              <w:spacing w:after="0" w:line="240" w:lineRule="auto"/>
              <w:jc w:val="center"/>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KPI</w:t>
            </w:r>
          </w:p>
        </w:tc>
      </w:tr>
      <w:tr w:rsidR="00A237EF" w:rsidRPr="0036668B" w:rsidTr="00A237EF">
        <w:trPr>
          <w:trHeight w:val="1500"/>
        </w:trPr>
        <w:tc>
          <w:tcPr>
            <w:tcW w:w="1658" w:type="dxa"/>
            <w:tcBorders>
              <w:top w:val="nil"/>
              <w:left w:val="single" w:sz="4" w:space="0" w:color="auto"/>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1. Диагностика человеческого потенциала</w:t>
            </w:r>
          </w:p>
        </w:tc>
        <w:tc>
          <w:tcPr>
            <w:tcW w:w="2116"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Анализ кадрового состава, квалификации ППС, текучести кадров</w:t>
            </w:r>
          </w:p>
        </w:tc>
        <w:tc>
          <w:tcPr>
            <w:tcW w:w="1041"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кадровая статистика, внутренние отчеты, опросы сотрудников</w:t>
            </w:r>
          </w:p>
        </w:tc>
        <w:tc>
          <w:tcPr>
            <w:tcW w:w="2019"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выявление проблем развития кадрового потенциала</w:t>
            </w:r>
          </w:p>
        </w:tc>
        <w:tc>
          <w:tcPr>
            <w:tcW w:w="2338"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уровень квалификации ППС, коэффициент текучести</w:t>
            </w:r>
          </w:p>
        </w:tc>
      </w:tr>
      <w:tr w:rsidR="00A237EF" w:rsidRPr="0036668B" w:rsidTr="00A237EF">
        <w:trPr>
          <w:trHeight w:val="1500"/>
        </w:trPr>
        <w:tc>
          <w:tcPr>
            <w:tcW w:w="1658" w:type="dxa"/>
            <w:tcBorders>
              <w:top w:val="nil"/>
              <w:left w:val="single" w:sz="4" w:space="0" w:color="auto"/>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2. Оценка внешних факторов</w:t>
            </w:r>
          </w:p>
        </w:tc>
        <w:tc>
          <w:tcPr>
            <w:tcW w:w="2116"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Анализ влияния экономических и институциональных факторов на систему ТиПО</w:t>
            </w:r>
          </w:p>
        </w:tc>
        <w:tc>
          <w:tcPr>
            <w:tcW w:w="1041"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статистические данные, регрессионный анализ</w:t>
            </w:r>
          </w:p>
        </w:tc>
        <w:tc>
          <w:tcPr>
            <w:tcW w:w="2019"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определение факторов устойчивости образовательной организации</w:t>
            </w:r>
          </w:p>
        </w:tc>
        <w:tc>
          <w:tcPr>
            <w:tcW w:w="2338"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финансирование образования, уровень занятости выпускников</w:t>
            </w:r>
          </w:p>
        </w:tc>
      </w:tr>
      <w:tr w:rsidR="00A237EF" w:rsidRPr="0036668B" w:rsidTr="00A237EF">
        <w:trPr>
          <w:trHeight w:val="1500"/>
        </w:trPr>
        <w:tc>
          <w:tcPr>
            <w:tcW w:w="1658" w:type="dxa"/>
            <w:tcBorders>
              <w:top w:val="nil"/>
              <w:left w:val="single" w:sz="4" w:space="0" w:color="auto"/>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3. Реализация программ развития потенциала</w:t>
            </w:r>
          </w:p>
        </w:tc>
        <w:tc>
          <w:tcPr>
            <w:tcW w:w="2116"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Повышение квалификации преподавателей, участие в сертификационных программах, развитие дуального обучения</w:t>
            </w:r>
          </w:p>
        </w:tc>
        <w:tc>
          <w:tcPr>
            <w:tcW w:w="1041"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программы обучения, партнерство с работодателями</w:t>
            </w:r>
          </w:p>
        </w:tc>
        <w:tc>
          <w:tcPr>
            <w:tcW w:w="2019"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рост профессиональных компетенций преподавателей</w:t>
            </w:r>
          </w:p>
        </w:tc>
        <w:tc>
          <w:tcPr>
            <w:tcW w:w="2338"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доля преподавателей, прошедших повышение квалификации</w:t>
            </w:r>
          </w:p>
        </w:tc>
      </w:tr>
      <w:tr w:rsidR="00A237EF" w:rsidRPr="0036668B" w:rsidTr="00A237EF">
        <w:trPr>
          <w:trHeight w:val="1500"/>
        </w:trPr>
        <w:tc>
          <w:tcPr>
            <w:tcW w:w="1658" w:type="dxa"/>
            <w:tcBorders>
              <w:top w:val="nil"/>
              <w:left w:val="single" w:sz="4" w:space="0" w:color="auto"/>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4. Мониторинг эффективности управления</w:t>
            </w:r>
          </w:p>
        </w:tc>
        <w:tc>
          <w:tcPr>
            <w:tcW w:w="2116"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Внедрение системы мониторинга развития человеческого потенциала</w:t>
            </w:r>
          </w:p>
        </w:tc>
        <w:tc>
          <w:tcPr>
            <w:tcW w:w="1041"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система KPI, регулярная оценка кадрового развития</w:t>
            </w:r>
          </w:p>
        </w:tc>
        <w:tc>
          <w:tcPr>
            <w:tcW w:w="2019"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повышение устойчивости образовательной организации</w:t>
            </w:r>
          </w:p>
        </w:tc>
        <w:tc>
          <w:tcPr>
            <w:tcW w:w="2338" w:type="dxa"/>
            <w:tcBorders>
              <w:top w:val="nil"/>
              <w:left w:val="nil"/>
              <w:bottom w:val="single" w:sz="4" w:space="0" w:color="auto"/>
              <w:right w:val="single" w:sz="4" w:space="0" w:color="auto"/>
            </w:tcBorders>
            <w:hideMark/>
          </w:tcPr>
          <w:p w:rsidR="00A237EF" w:rsidRPr="006E660C" w:rsidRDefault="00A237EF" w:rsidP="00A237EF">
            <w:pPr>
              <w:spacing w:after="0" w:line="240" w:lineRule="auto"/>
              <w:rPr>
                <w:rFonts w:ascii="Times New Roman" w:eastAsia="Times New Roman" w:hAnsi="Times New Roman" w:cs="Times New Roman"/>
                <w:color w:val="000000"/>
                <w:lang w:val="kk-KZ"/>
              </w:rPr>
            </w:pPr>
            <w:r w:rsidRPr="006E660C">
              <w:rPr>
                <w:rFonts w:ascii="Times New Roman" w:eastAsia="Times New Roman" w:hAnsi="Times New Roman" w:cs="Times New Roman"/>
                <w:color w:val="000000"/>
                <w:lang w:val="kk-KZ"/>
              </w:rPr>
              <w:t>уровень трудоустройства выпускников, эффективность образовательного процесса</w:t>
            </w:r>
          </w:p>
        </w:tc>
      </w:tr>
    </w:tbl>
    <w:p w:rsidR="00150B88" w:rsidRPr="000D4FA1" w:rsidRDefault="00150B88" w:rsidP="00210715">
      <w:pPr>
        <w:spacing w:after="0" w:line="240" w:lineRule="auto"/>
        <w:ind w:firstLine="720"/>
        <w:jc w:val="both"/>
        <w:rPr>
          <w:rFonts w:ascii="Times New Roman" w:hAnsi="Times New Roman" w:cs="Times New Roman"/>
          <w:sz w:val="28"/>
          <w:szCs w:val="28"/>
          <w:lang w:val="ru-RU"/>
        </w:rPr>
      </w:pPr>
    </w:p>
    <w:p w:rsidR="00F97D8C" w:rsidRPr="0036668B" w:rsidRDefault="00F97D8C" w:rsidP="00210715">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Таким образом, предложенный </w:t>
      </w:r>
      <w:r w:rsidRPr="000D4FA1">
        <w:rPr>
          <w:rFonts w:ascii="Times New Roman" w:hAnsi="Times New Roman" w:cs="Times New Roman"/>
          <w:sz w:val="28"/>
          <w:szCs w:val="28"/>
        </w:rPr>
        <w:t>Management</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Framework</w:t>
      </w:r>
      <w:r w:rsidRPr="000D4FA1">
        <w:rPr>
          <w:rFonts w:ascii="Times New Roman" w:hAnsi="Times New Roman" w:cs="Times New Roman"/>
          <w:sz w:val="28"/>
          <w:szCs w:val="28"/>
          <w:lang w:val="ru-RU"/>
        </w:rPr>
        <w:t xml:space="preserve"> позволяет использовать результаты количественного анализа как инструмент управленческих решений и формирует практический алгоритм действий для </w:t>
      </w:r>
      <w:r w:rsidRPr="0036668B">
        <w:rPr>
          <w:rFonts w:ascii="Times New Roman" w:hAnsi="Times New Roman" w:cs="Times New Roman"/>
          <w:sz w:val="28"/>
          <w:szCs w:val="28"/>
          <w:lang w:val="ru-RU"/>
        </w:rPr>
        <w:t>руководителей организаций технического и профессионального образования.</w:t>
      </w:r>
    </w:p>
    <w:p w:rsidR="00C266E7" w:rsidRPr="0036668B" w:rsidRDefault="00C266E7" w:rsidP="00210715">
      <w:pPr>
        <w:spacing w:after="0" w:line="240" w:lineRule="auto"/>
        <w:ind w:firstLine="720"/>
        <w:jc w:val="both"/>
        <w:rPr>
          <w:rFonts w:ascii="Times New Roman" w:hAnsi="Times New Roman" w:cs="Times New Roman"/>
          <w:b/>
          <w:bCs/>
          <w:i/>
          <w:iCs/>
          <w:sz w:val="28"/>
          <w:szCs w:val="28"/>
          <w:lang w:val="ru-RU"/>
        </w:rPr>
      </w:pPr>
      <w:r w:rsidRPr="0036668B">
        <w:rPr>
          <w:rFonts w:ascii="Times New Roman" w:hAnsi="Times New Roman" w:cs="Times New Roman"/>
          <w:b/>
          <w:bCs/>
          <w:i/>
          <w:iCs/>
          <w:sz w:val="28"/>
          <w:szCs w:val="28"/>
          <w:lang w:val="ru-RU"/>
        </w:rPr>
        <w:t>Сводный анализ человеческого потенциала Шымкентского высшего медицинского колледжа</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Цель сводного анализа заключается в обобщении результатов исследования человеческого потенциала Шымкентского высшего медицинского колледжа, выявлении факторов, влияющих на устойчивость образовательной организации, а также определении направлений совершенствования кадрового и цифрового развития колледжа.</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Проведение анализа позволяет установить взаимосвязь между уровнем развития человеческого потенциала и устойчивостью организации ТиПО, а также сформировать практические рекомендации по повышению эффективности деятельности колледжа.</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noProof/>
          <w:sz w:val="28"/>
          <w:szCs w:val="28"/>
          <w:lang w:val="ru-RU" w:eastAsia="ru-RU"/>
        </w:rPr>
        <w:lastRenderedPageBreak/>
        <w:drawing>
          <wp:anchor distT="0" distB="0" distL="114300" distR="114300" simplePos="0" relativeHeight="251662336" behindDoc="1" locked="0" layoutInCell="1" allowOverlap="1">
            <wp:simplePos x="0" y="0"/>
            <wp:positionH relativeFrom="column">
              <wp:posOffset>1905</wp:posOffset>
            </wp:positionH>
            <wp:positionV relativeFrom="paragraph">
              <wp:posOffset>476250</wp:posOffset>
            </wp:positionV>
            <wp:extent cx="6227445" cy="3962400"/>
            <wp:effectExtent l="0" t="0" r="0" b="0"/>
            <wp:wrapTight wrapText="bothSides">
              <wp:wrapPolygon edited="0">
                <wp:start x="0" y="0"/>
                <wp:lineTo x="0" y="21496"/>
                <wp:lineTo x="21541" y="21496"/>
                <wp:lineTo x="21541"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380" t="22769" r="9733" b="18916"/>
                    <a:stretch/>
                  </pic:blipFill>
                  <pic:spPr bwMode="auto">
                    <a:xfrm>
                      <a:off x="0" y="0"/>
                      <a:ext cx="6227445" cy="3962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36668B">
        <w:rPr>
          <w:rFonts w:ascii="Times New Roman" w:hAnsi="Times New Roman" w:cs="Times New Roman"/>
          <w:sz w:val="28"/>
          <w:szCs w:val="28"/>
          <w:lang w:val="ru-RU"/>
        </w:rPr>
        <w:t>Таблица 35 – Сводный анализ человеческого потенциала Шымкентского высшего медицинского колледжа</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i/>
          <w:iCs/>
          <w:sz w:val="28"/>
          <w:szCs w:val="28"/>
          <w:lang w:val="ru-RU"/>
        </w:rPr>
        <w:t>Примечание – составлено автором на основе анализа кадрового состава, образовательного процесса, микроэкономических показателей и факторов устойчивости колледжа.</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Проведённый анализ показал, что ключевыми факторами устойчивого развития колледжа являются уровень профессиональной подготовки преподавателей, система повышения квалификации, развитие цифровой образовательной среды и внедрение инновационных методов обучения. Использование симуляционных технологий, электронных образовательных платформ и практико–ориентированных подходов способствует повышению качества подготовки медицинских специалистов и укреплению конкурентоспособности образовательной организации.</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Анализ кадрового состава подтвердил наличие системы профессионального развития сотрудников, обеспечивающей возможности карьерного роста, повышения квалификации и адаптации преподавателей к современным требованиям медицинского образования. Существенное значение для укрепления человеческого потенциала имеют благоприятный психологический климат, развитие корпоративного взаимодействия и поддержка инновационной активности педагогов.</w:t>
      </w:r>
    </w:p>
    <w:p w:rsidR="001B4951" w:rsidRPr="0036668B"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 xml:space="preserve">Результаты количественного анализа подтвердили, что развитие человеческого потенциала напрямую связано с организационной устойчивостью колледжа. Повышение уровня цифровизации, совершенствование кадровой политики и развитие внутренней образовательной </w:t>
      </w:r>
      <w:r w:rsidRPr="0036668B">
        <w:rPr>
          <w:rFonts w:ascii="Times New Roman" w:hAnsi="Times New Roman" w:cs="Times New Roman"/>
          <w:sz w:val="28"/>
          <w:szCs w:val="28"/>
          <w:lang w:val="ru-RU"/>
        </w:rPr>
        <w:lastRenderedPageBreak/>
        <w:t>инфраструктуры положительно влияют на качество образовательного процесса и эффективность деятельности организации.</w:t>
      </w:r>
    </w:p>
    <w:p w:rsidR="001B4951" w:rsidRPr="001B4951" w:rsidRDefault="001B4951" w:rsidP="001B4951">
      <w:pPr>
        <w:spacing w:after="0" w:line="240" w:lineRule="auto"/>
        <w:ind w:firstLine="720"/>
        <w:jc w:val="both"/>
        <w:rPr>
          <w:rFonts w:ascii="Times New Roman" w:hAnsi="Times New Roman" w:cs="Times New Roman"/>
          <w:sz w:val="28"/>
          <w:szCs w:val="28"/>
          <w:lang w:val="ru-RU"/>
        </w:rPr>
      </w:pPr>
      <w:r w:rsidRPr="0036668B">
        <w:rPr>
          <w:rFonts w:ascii="Times New Roman" w:hAnsi="Times New Roman" w:cs="Times New Roman"/>
          <w:sz w:val="28"/>
          <w:szCs w:val="28"/>
          <w:lang w:val="ru-RU"/>
        </w:rPr>
        <w:t>Таким образом, человеческий потенциал Шымкентского высшего медицинского колледжа выступает стратегическим ресурсом устойчивого развития организации. Дальнейшее развитие системы профессионального роста педагогов, расширение цифровых образовательных технологий и поддержка инновационной деятельности будут способствовать повышению устойчивости колледжа и качества подготовки медицинских кадров.</w:t>
      </w:r>
    </w:p>
    <w:p w:rsidR="001B4951" w:rsidRPr="001B4951" w:rsidRDefault="001B4951" w:rsidP="00210715">
      <w:pPr>
        <w:spacing w:after="0" w:line="240" w:lineRule="auto"/>
        <w:ind w:firstLine="720"/>
        <w:jc w:val="both"/>
        <w:rPr>
          <w:rFonts w:ascii="Times New Roman" w:hAnsi="Times New Roman" w:cs="Times New Roman"/>
          <w:sz w:val="28"/>
          <w:szCs w:val="28"/>
          <w:lang w:val="ru-RU"/>
        </w:rPr>
      </w:pPr>
    </w:p>
    <w:p w:rsidR="001B4951" w:rsidRPr="001B4951" w:rsidRDefault="001B4951" w:rsidP="00210715">
      <w:pPr>
        <w:spacing w:after="0" w:line="240" w:lineRule="auto"/>
        <w:ind w:firstLine="720"/>
        <w:jc w:val="both"/>
        <w:rPr>
          <w:rFonts w:ascii="Times New Roman" w:hAnsi="Times New Roman" w:cs="Times New Roman"/>
          <w:sz w:val="28"/>
          <w:szCs w:val="28"/>
          <w:lang w:val="ru-RU"/>
        </w:rPr>
      </w:pPr>
    </w:p>
    <w:p w:rsidR="001B4951" w:rsidRPr="001B4951" w:rsidRDefault="001B4951" w:rsidP="00210715">
      <w:pPr>
        <w:spacing w:after="0" w:line="240" w:lineRule="auto"/>
        <w:ind w:firstLine="720"/>
        <w:jc w:val="both"/>
        <w:rPr>
          <w:rFonts w:ascii="Times New Roman" w:hAnsi="Times New Roman" w:cs="Times New Roman"/>
          <w:sz w:val="28"/>
          <w:szCs w:val="28"/>
          <w:lang w:val="ru-RU"/>
        </w:rPr>
      </w:pPr>
    </w:p>
    <w:p w:rsid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Pr="001B4951" w:rsidRDefault="001B4951" w:rsidP="00210715">
      <w:pPr>
        <w:spacing w:after="0" w:line="240" w:lineRule="auto"/>
        <w:ind w:firstLine="720"/>
        <w:jc w:val="both"/>
        <w:rPr>
          <w:rFonts w:ascii="Times New Roman" w:hAnsi="Times New Roman" w:cs="Times New Roman"/>
          <w:i/>
          <w:iCs/>
          <w:sz w:val="28"/>
          <w:szCs w:val="28"/>
          <w:highlight w:val="yellow"/>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1B4951" w:rsidRDefault="001B4951" w:rsidP="006F1E42">
      <w:pPr>
        <w:spacing w:after="0" w:line="240" w:lineRule="auto"/>
        <w:ind w:firstLine="720"/>
        <w:jc w:val="center"/>
        <w:rPr>
          <w:rFonts w:ascii="Times New Roman" w:hAnsi="Times New Roman" w:cs="Times New Roman"/>
          <w:b/>
          <w:sz w:val="28"/>
          <w:szCs w:val="28"/>
          <w:lang w:val="ru-RU"/>
        </w:rPr>
      </w:pPr>
    </w:p>
    <w:p w:rsidR="00F33B4F" w:rsidRPr="000D4FA1" w:rsidRDefault="00100F49" w:rsidP="006F1E42">
      <w:pPr>
        <w:spacing w:after="0" w:line="240" w:lineRule="auto"/>
        <w:ind w:firstLine="720"/>
        <w:jc w:val="center"/>
        <w:rPr>
          <w:rFonts w:ascii="Times New Roman" w:hAnsi="Times New Roman" w:cs="Times New Roman"/>
          <w:b/>
          <w:sz w:val="28"/>
          <w:szCs w:val="28"/>
          <w:lang w:val="ru-RU"/>
        </w:rPr>
      </w:pPr>
      <w:r w:rsidRPr="000D4FA1">
        <w:rPr>
          <w:rFonts w:ascii="Times New Roman" w:hAnsi="Times New Roman" w:cs="Times New Roman"/>
          <w:b/>
          <w:sz w:val="28"/>
          <w:szCs w:val="28"/>
          <w:lang w:val="ru-RU"/>
        </w:rPr>
        <w:lastRenderedPageBreak/>
        <w:t>Заключение</w:t>
      </w:r>
    </w:p>
    <w:p w:rsidR="005B54C2" w:rsidRPr="000D4FA1" w:rsidRDefault="005B54C2" w:rsidP="00F33B4F">
      <w:pPr>
        <w:spacing w:after="0" w:line="240" w:lineRule="auto"/>
        <w:ind w:firstLine="720"/>
        <w:jc w:val="both"/>
        <w:rPr>
          <w:rFonts w:ascii="Times New Roman" w:hAnsi="Times New Roman" w:cs="Times New Roman"/>
          <w:sz w:val="28"/>
          <w:szCs w:val="28"/>
          <w:lang w:val="ru-RU"/>
        </w:rPr>
      </w:pP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Проведённое исследование позволило сформировать целостное представление о детерминантах устойчивости организаций технического и профессионального образования (ТиПО) и факторах, определяющих развитие чело</w:t>
      </w:r>
      <w:r w:rsidR="0030289A" w:rsidRPr="000D4FA1">
        <w:rPr>
          <w:rFonts w:ascii="Times New Roman" w:hAnsi="Times New Roman" w:cs="Times New Roman"/>
          <w:sz w:val="28"/>
          <w:szCs w:val="28"/>
          <w:lang w:val="ru-RU"/>
        </w:rPr>
        <w:t xml:space="preserve">веческого потенциала в системе технического и </w:t>
      </w:r>
      <w:r w:rsidRPr="000D4FA1">
        <w:rPr>
          <w:rFonts w:ascii="Times New Roman" w:hAnsi="Times New Roman" w:cs="Times New Roman"/>
          <w:sz w:val="28"/>
          <w:szCs w:val="28"/>
          <w:lang w:val="ru-RU"/>
        </w:rPr>
        <w:t>профессионального образования. Анализ микроэкономических данных Шымкентского высшего медицинского колледжа подтвердил, что устойчивость организации во многом определяется качеством кадрового состава, уровнем профессиональных компетенций преподавателей, стабильностью кадровой политики и структурой образовательного процесса. Рост числа магистров, обновление квалификационных категорий и активное участие педагогов в аттестации демонстрируют позитивную динамику развития человеческого капитала.</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Макроэкономический анализ показал, что система ТиПО Казахстана функционирует в условиях значительной региональной дифференциации. Мегаполисы (Алматы, Астана, Шымкент) и южные регионы обладают наибольшим потенциалом роста за счёт демографического фактора, высокой концентрации образовательной инфраструктуры и крупных объёмов государственного заказа. С другой стороны, северные и западные области сталкиваются с демографическим спадом и ограниченной кадровой ёмкостью.</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По результатам регрессионного анализа выявлены ключевые статистически значимые детерминанты устойчивости </w:t>
      </w:r>
      <w:r w:rsidR="008506F2"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ВРП на душу населения (</w:t>
      </w:r>
      <w:r w:rsidRPr="000D4FA1">
        <w:rPr>
          <w:rFonts w:ascii="Times New Roman" w:hAnsi="Times New Roman" w:cs="Times New Roman"/>
          <w:sz w:val="28"/>
          <w:szCs w:val="28"/>
        </w:rPr>
        <w:t>GDP</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pc</w:t>
      </w:r>
      <w:r w:rsidRPr="000D4FA1">
        <w:rPr>
          <w:rFonts w:ascii="Times New Roman" w:hAnsi="Times New Roman" w:cs="Times New Roman"/>
          <w:sz w:val="28"/>
          <w:szCs w:val="28"/>
          <w:lang w:val="ru-RU"/>
        </w:rPr>
        <w:t>), расходы государства на образование и социальные услуги (</w:t>
      </w:r>
      <w:r w:rsidRPr="000D4FA1">
        <w:rPr>
          <w:rFonts w:ascii="Times New Roman" w:hAnsi="Times New Roman" w:cs="Times New Roman"/>
          <w:sz w:val="28"/>
          <w:szCs w:val="28"/>
        </w:rPr>
        <w:t>FB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xml:space="preserve">), а также государственный </w:t>
      </w:r>
      <w:r w:rsidR="00BD7556" w:rsidRPr="000D4FA1">
        <w:rPr>
          <w:rFonts w:ascii="Times New Roman" w:hAnsi="Times New Roman" w:cs="Times New Roman"/>
          <w:sz w:val="28"/>
          <w:szCs w:val="28"/>
          <w:lang w:val="ru-RU"/>
        </w:rPr>
        <w:t xml:space="preserve">образовательный </w:t>
      </w:r>
      <w:r w:rsidRPr="000D4FA1">
        <w:rPr>
          <w:rFonts w:ascii="Times New Roman" w:hAnsi="Times New Roman" w:cs="Times New Roman"/>
          <w:sz w:val="28"/>
          <w:szCs w:val="28"/>
          <w:lang w:val="ru-RU"/>
        </w:rPr>
        <w:t>заказ на подготовку кадров (</w:t>
      </w:r>
      <w:r w:rsidRPr="000D4FA1">
        <w:rPr>
          <w:rFonts w:ascii="Times New Roman" w:hAnsi="Times New Roman" w:cs="Times New Roman"/>
          <w:sz w:val="28"/>
          <w:szCs w:val="28"/>
        </w:rPr>
        <w:t>MB</w:t>
      </w:r>
      <w:r w:rsidRPr="000D4FA1">
        <w:rPr>
          <w:rFonts w:ascii="Times New Roman" w:hAnsi="Times New Roman" w:cs="Times New Roman"/>
          <w:sz w:val="28"/>
          <w:szCs w:val="28"/>
          <w:lang w:val="ru-RU"/>
        </w:rPr>
        <w:t>_</w:t>
      </w:r>
      <w:r w:rsidRPr="000D4FA1">
        <w:rPr>
          <w:rFonts w:ascii="Times New Roman" w:hAnsi="Times New Roman" w:cs="Times New Roman"/>
          <w:sz w:val="28"/>
          <w:szCs w:val="28"/>
        </w:rPr>
        <w:t>sub</w:t>
      </w:r>
      <w:r w:rsidRPr="000D4FA1">
        <w:rPr>
          <w:rFonts w:ascii="Times New Roman" w:hAnsi="Times New Roman" w:cs="Times New Roman"/>
          <w:sz w:val="28"/>
          <w:szCs w:val="28"/>
          <w:lang w:val="ru-RU"/>
        </w:rPr>
        <w:t>). Эти переменные формируют основу межстрановой вариации уровня человеческого потенциала.</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На следующем этапе была проведена стандартизация данных и кластерный анализ методом </w:t>
      </w:r>
      <w:r w:rsidRPr="000D4FA1">
        <w:rPr>
          <w:rFonts w:ascii="Times New Roman" w:hAnsi="Times New Roman" w:cs="Times New Roman"/>
          <w:sz w:val="28"/>
          <w:szCs w:val="28"/>
        </w:rPr>
        <w:t>k</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rPr>
        <w:t>means</w:t>
      </w:r>
      <w:r w:rsidRPr="000D4FA1">
        <w:rPr>
          <w:rFonts w:ascii="Times New Roman" w:hAnsi="Times New Roman" w:cs="Times New Roman"/>
          <w:sz w:val="28"/>
          <w:szCs w:val="28"/>
          <w:lang w:val="ru-RU"/>
        </w:rPr>
        <w:t>, позволивший выделить четыре устойчивых кластера стран, различающихся по профилю экономического развития и поддержке человеческого капитала:</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1 </w:t>
      </w:r>
      <w:r w:rsidR="001F2B8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 слабые страны с низкой поддержкой образования</w:t>
      </w:r>
      <w:r w:rsidR="002F38E4" w:rsidRPr="000D4FA1">
        <w:rPr>
          <w:rFonts w:ascii="Times New Roman" w:hAnsi="Times New Roman" w:cs="Times New Roman"/>
          <w:sz w:val="28"/>
          <w:szCs w:val="28"/>
          <w:lang w:val="ru-RU"/>
        </w:rPr>
        <w:t>»</w:t>
      </w:r>
      <w:r w:rsidR="00AE7025"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Характеризуются наиболее низкими показателями по всем ключевым детерминантам и высокой чувствительностью к макроэкономическим шокам.</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2 </w:t>
      </w:r>
      <w:r w:rsidR="001F2B8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Страны со средним уровнем экономического развития и умеренной поддержкой образования</w:t>
      </w:r>
      <w:r w:rsidR="002F38E4" w:rsidRPr="000D4FA1">
        <w:rPr>
          <w:rFonts w:ascii="Times New Roman" w:hAnsi="Times New Roman" w:cs="Times New Roman"/>
          <w:sz w:val="28"/>
          <w:szCs w:val="28"/>
          <w:lang w:val="ru-RU"/>
        </w:rPr>
        <w:t>»</w:t>
      </w:r>
      <w:r w:rsidR="00AE7025"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Страны имеют сбалансированные показатели, но слабую динамику модернизации человеческого капитала.</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3 </w:t>
      </w:r>
      <w:r w:rsidR="001F2B8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Экономически развитые страны с высокой поддержкой человеческого капитала</w:t>
      </w:r>
      <w:r w:rsidR="002F38E4" w:rsidRPr="000D4FA1">
        <w:rPr>
          <w:rFonts w:ascii="Times New Roman" w:hAnsi="Times New Roman" w:cs="Times New Roman"/>
          <w:sz w:val="28"/>
          <w:szCs w:val="28"/>
          <w:lang w:val="ru-RU"/>
        </w:rPr>
        <w:t>»</w:t>
      </w:r>
      <w:r w:rsidR="00AE7025"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Это наиболее устойчивые государства, обеспечивающие высокий уровень финансирования образования и инновационную ориентацию.</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Кластер 4 </w:t>
      </w:r>
      <w:r w:rsidR="001F2B8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Страны с ограниченными бюджетными возможностями, но умеренным госзаказом</w:t>
      </w:r>
      <w:r w:rsidR="002F38E4" w:rsidRPr="000D4FA1">
        <w:rPr>
          <w:rFonts w:ascii="Times New Roman" w:hAnsi="Times New Roman" w:cs="Times New Roman"/>
          <w:sz w:val="28"/>
          <w:szCs w:val="28"/>
          <w:lang w:val="ru-RU"/>
        </w:rPr>
        <w:t>»</w:t>
      </w:r>
      <w:r w:rsidR="00AE7025"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 xml:space="preserve">Характеризуются точечной поддержкой отдельных </w:t>
      </w:r>
      <w:r w:rsidRPr="000D4FA1">
        <w:rPr>
          <w:rFonts w:ascii="Times New Roman" w:hAnsi="Times New Roman" w:cs="Times New Roman"/>
          <w:sz w:val="28"/>
          <w:szCs w:val="28"/>
          <w:lang w:val="ru-RU"/>
        </w:rPr>
        <w:lastRenderedPageBreak/>
        <w:t>направлений подготовки и высокой неравномерностью распределения ресурсов.</w:t>
      </w:r>
    </w:p>
    <w:p w:rsidR="00F33B4F" w:rsidRPr="000D4FA1" w:rsidRDefault="00F33B4F" w:rsidP="00F33B4F">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Полученные кластеры статистически различимы (подтверждается </w:t>
      </w:r>
      <w:r w:rsidRPr="000D4FA1">
        <w:rPr>
          <w:rFonts w:ascii="Times New Roman" w:hAnsi="Times New Roman" w:cs="Times New Roman"/>
          <w:sz w:val="28"/>
          <w:szCs w:val="28"/>
        </w:rPr>
        <w:t>ANOVA</w:t>
      </w:r>
      <w:r w:rsidRPr="000D4FA1">
        <w:rPr>
          <w:rFonts w:ascii="Times New Roman" w:hAnsi="Times New Roman" w:cs="Times New Roman"/>
          <w:sz w:val="28"/>
          <w:szCs w:val="28"/>
          <w:lang w:val="ru-RU"/>
        </w:rPr>
        <w:t>), что демонстрирует структурные различия в стратегиях стран по управлению человеческим потенциалом.</w:t>
      </w:r>
      <w:r w:rsidR="005B54C2"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lang w:val="ru-RU"/>
        </w:rPr>
        <w:t>В совокупности результаты исследования подтверждают, что устойчивость образовательных организаций ТиПО определяется сочетанием микроэкономических факторов (структура кадров, квалификация, текучесть, качество обучения) и макроэкономических факторов (финансирование, демография, экономический рост, структура рынка труда). Максимального эффекта достигают те страны и организации, которые проводят согласованную политику развития человеческого капитала на обоих уровнях.</w:t>
      </w:r>
    </w:p>
    <w:p w:rsidR="00877F71" w:rsidRPr="000D4FA1" w:rsidRDefault="00877F71" w:rsidP="00877F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На основе проведённого анализа </w:t>
      </w:r>
      <w:r w:rsidR="005B54C2" w:rsidRPr="000D4FA1">
        <w:rPr>
          <w:rFonts w:ascii="Times New Roman" w:hAnsi="Times New Roman" w:cs="Times New Roman"/>
          <w:i/>
          <w:sz w:val="28"/>
          <w:szCs w:val="28"/>
          <w:lang w:val="ru-RU"/>
        </w:rPr>
        <w:t>д</w:t>
      </w:r>
      <w:r w:rsidR="005B54C2" w:rsidRPr="000D4FA1">
        <w:rPr>
          <w:rFonts w:ascii="Times New Roman" w:hAnsi="Times New Roman" w:cs="Times New Roman"/>
          <w:i/>
          <w:iCs/>
          <w:sz w:val="28"/>
          <w:szCs w:val="28"/>
          <w:lang w:val="ru-RU"/>
        </w:rPr>
        <w:t xml:space="preserve">ля Шымкентского высшего медицинского колледжа </w:t>
      </w:r>
      <w:r w:rsidRPr="000D4FA1">
        <w:rPr>
          <w:rFonts w:ascii="Times New Roman" w:hAnsi="Times New Roman" w:cs="Times New Roman"/>
          <w:sz w:val="28"/>
          <w:szCs w:val="28"/>
          <w:lang w:val="ru-RU"/>
        </w:rPr>
        <w:t>предложены следующие рекомендации:</w:t>
      </w:r>
    </w:p>
    <w:p w:rsidR="00877F71" w:rsidRPr="000D4FA1" w:rsidRDefault="00877F71" w:rsidP="00877F71">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Усилить кадровую стратегию за счёт:</w:t>
      </w:r>
    </w:p>
    <w:p w:rsidR="006F1E42"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877F71" w:rsidRPr="000D4FA1">
        <w:rPr>
          <w:rFonts w:ascii="Times New Roman" w:hAnsi="Times New Roman" w:cs="Times New Roman"/>
          <w:sz w:val="28"/>
          <w:szCs w:val="28"/>
          <w:lang w:val="ru-RU"/>
        </w:rPr>
        <w:t>расширения программ повышения квалификации, включая цифровые компетенции;</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877F71" w:rsidRPr="000D4FA1">
        <w:rPr>
          <w:rFonts w:ascii="Times New Roman" w:hAnsi="Times New Roman" w:cs="Times New Roman"/>
          <w:sz w:val="28"/>
          <w:szCs w:val="28"/>
          <w:lang w:val="ru-RU"/>
        </w:rPr>
        <w:t>стимулирования участия преподавателей в исследовательских проектах и сертификационных программах;</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877F71" w:rsidRPr="000D4FA1">
        <w:rPr>
          <w:rFonts w:ascii="Times New Roman" w:hAnsi="Times New Roman" w:cs="Times New Roman"/>
          <w:sz w:val="28"/>
          <w:szCs w:val="28"/>
          <w:lang w:val="ru-RU"/>
        </w:rPr>
        <w:t>развития института наставничества для молодых педагогов</w:t>
      </w:r>
      <w:r w:rsidR="00BD7556"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BD7556" w:rsidRPr="000D4FA1">
        <w:rPr>
          <w:rFonts w:ascii="Times New Roman" w:hAnsi="Times New Roman" w:cs="Times New Roman"/>
          <w:sz w:val="28"/>
          <w:szCs w:val="28"/>
          <w:lang w:val="ru-RU"/>
        </w:rPr>
        <w:t>сокращения</w:t>
      </w:r>
      <w:r w:rsidR="00877F71" w:rsidRPr="000D4FA1">
        <w:rPr>
          <w:rFonts w:ascii="Times New Roman" w:hAnsi="Times New Roman" w:cs="Times New Roman"/>
          <w:sz w:val="28"/>
          <w:szCs w:val="28"/>
          <w:lang w:val="ru-RU"/>
        </w:rPr>
        <w:t xml:space="preserve"> трансакционны</w:t>
      </w:r>
      <w:r w:rsidR="00BD7556" w:rsidRPr="000D4FA1">
        <w:rPr>
          <w:rFonts w:ascii="Times New Roman" w:hAnsi="Times New Roman" w:cs="Times New Roman"/>
          <w:sz w:val="28"/>
          <w:szCs w:val="28"/>
          <w:lang w:val="ru-RU"/>
        </w:rPr>
        <w:t xml:space="preserve">х </w:t>
      </w:r>
      <w:r w:rsidR="00877F71" w:rsidRPr="000D4FA1">
        <w:rPr>
          <w:rFonts w:ascii="Times New Roman" w:hAnsi="Times New Roman" w:cs="Times New Roman"/>
          <w:sz w:val="28"/>
          <w:szCs w:val="28"/>
          <w:lang w:val="ru-RU"/>
        </w:rPr>
        <w:t>издерж</w:t>
      </w:r>
      <w:r w:rsidR="00BD7556" w:rsidRPr="000D4FA1">
        <w:rPr>
          <w:rFonts w:ascii="Times New Roman" w:hAnsi="Times New Roman" w:cs="Times New Roman"/>
          <w:sz w:val="28"/>
          <w:szCs w:val="28"/>
          <w:lang w:val="ru-RU"/>
        </w:rPr>
        <w:t>ек</w:t>
      </w:r>
      <w:r w:rsidR="00877F71" w:rsidRPr="000D4FA1">
        <w:rPr>
          <w:rFonts w:ascii="Times New Roman" w:hAnsi="Times New Roman" w:cs="Times New Roman"/>
          <w:sz w:val="28"/>
          <w:szCs w:val="28"/>
          <w:lang w:val="ru-RU"/>
        </w:rPr>
        <w:t xml:space="preserve"> путём снижения текучести кадров и усиления мер материальной и нематериальной мотивации</w:t>
      </w:r>
      <w:r w:rsidR="00BD7556"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BD7556" w:rsidRPr="000D4FA1">
        <w:rPr>
          <w:rFonts w:ascii="Times New Roman" w:hAnsi="Times New Roman" w:cs="Times New Roman"/>
          <w:sz w:val="28"/>
          <w:szCs w:val="28"/>
          <w:lang w:val="ru-RU"/>
        </w:rPr>
        <w:t>развития инфраструктуры</w:t>
      </w:r>
      <w:r w:rsidR="00877F71" w:rsidRPr="000D4FA1">
        <w:rPr>
          <w:rFonts w:ascii="Times New Roman" w:hAnsi="Times New Roman" w:cs="Times New Roman"/>
          <w:sz w:val="28"/>
          <w:szCs w:val="28"/>
          <w:lang w:val="ru-RU"/>
        </w:rPr>
        <w:t xml:space="preserve"> симуляционного обучения и цифровизации, что соответствует кластеру стран с высокой устойчивостью (кластер 3)</w:t>
      </w:r>
      <w:r w:rsidR="00BD7556"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7775F3" w:rsidRPr="000D4FA1">
        <w:rPr>
          <w:rFonts w:ascii="Times New Roman" w:hAnsi="Times New Roman" w:cs="Times New Roman"/>
          <w:sz w:val="28"/>
          <w:szCs w:val="28"/>
          <w:lang w:val="ru-RU"/>
        </w:rPr>
        <w:t>оптимизации</w:t>
      </w:r>
      <w:r w:rsidR="00877F71" w:rsidRPr="000D4FA1">
        <w:rPr>
          <w:rFonts w:ascii="Times New Roman" w:hAnsi="Times New Roman" w:cs="Times New Roman"/>
          <w:sz w:val="28"/>
          <w:szCs w:val="28"/>
          <w:lang w:val="ru-RU"/>
        </w:rPr>
        <w:t xml:space="preserve"> возрастн</w:t>
      </w:r>
      <w:r w:rsidR="007775F3" w:rsidRPr="000D4FA1">
        <w:rPr>
          <w:rFonts w:ascii="Times New Roman" w:hAnsi="Times New Roman" w:cs="Times New Roman"/>
          <w:sz w:val="28"/>
          <w:szCs w:val="28"/>
          <w:lang w:val="ru-RU"/>
        </w:rPr>
        <w:t>ой</w:t>
      </w:r>
      <w:r w:rsidR="00877F71" w:rsidRPr="000D4FA1">
        <w:rPr>
          <w:rFonts w:ascii="Times New Roman" w:hAnsi="Times New Roman" w:cs="Times New Roman"/>
          <w:sz w:val="28"/>
          <w:szCs w:val="28"/>
          <w:lang w:val="ru-RU"/>
        </w:rPr>
        <w:t xml:space="preserve"> структур</w:t>
      </w:r>
      <w:r w:rsidR="007775F3" w:rsidRPr="000D4FA1">
        <w:rPr>
          <w:rFonts w:ascii="Times New Roman" w:hAnsi="Times New Roman" w:cs="Times New Roman"/>
          <w:sz w:val="28"/>
          <w:szCs w:val="28"/>
          <w:lang w:val="ru-RU"/>
        </w:rPr>
        <w:t>ы</w:t>
      </w:r>
      <w:r w:rsidR="00877F71" w:rsidRPr="000D4FA1">
        <w:rPr>
          <w:rFonts w:ascii="Times New Roman" w:hAnsi="Times New Roman" w:cs="Times New Roman"/>
          <w:sz w:val="28"/>
          <w:szCs w:val="28"/>
          <w:lang w:val="ru-RU"/>
        </w:rPr>
        <w:t xml:space="preserve"> кадров, привлекая молодых специалистов для долгосрочного воспроизводства человеческого капитала</w:t>
      </w:r>
      <w:r w:rsidR="007775F3"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7775F3" w:rsidRPr="000D4FA1">
        <w:rPr>
          <w:rFonts w:ascii="Times New Roman" w:hAnsi="Times New Roman" w:cs="Times New Roman"/>
          <w:sz w:val="28"/>
          <w:szCs w:val="28"/>
          <w:lang w:val="ru-RU"/>
        </w:rPr>
        <w:t>и</w:t>
      </w:r>
      <w:r w:rsidR="00877F71" w:rsidRPr="000D4FA1">
        <w:rPr>
          <w:rFonts w:ascii="Times New Roman" w:hAnsi="Times New Roman" w:cs="Times New Roman"/>
          <w:sz w:val="28"/>
          <w:szCs w:val="28"/>
          <w:lang w:val="ru-RU"/>
        </w:rPr>
        <w:t>спользова</w:t>
      </w:r>
      <w:r w:rsidR="007775F3" w:rsidRPr="000D4FA1">
        <w:rPr>
          <w:rFonts w:ascii="Times New Roman" w:hAnsi="Times New Roman" w:cs="Times New Roman"/>
          <w:sz w:val="28"/>
          <w:szCs w:val="28"/>
          <w:lang w:val="ru-RU"/>
        </w:rPr>
        <w:t>ния</w:t>
      </w:r>
      <w:r w:rsidR="00877F71" w:rsidRPr="000D4FA1">
        <w:rPr>
          <w:rFonts w:ascii="Times New Roman" w:hAnsi="Times New Roman" w:cs="Times New Roman"/>
          <w:sz w:val="28"/>
          <w:szCs w:val="28"/>
          <w:lang w:val="ru-RU"/>
        </w:rPr>
        <w:t xml:space="preserve"> кластерны</w:t>
      </w:r>
      <w:r w:rsidR="007775F3" w:rsidRPr="000D4FA1">
        <w:rPr>
          <w:rFonts w:ascii="Times New Roman" w:hAnsi="Times New Roman" w:cs="Times New Roman"/>
          <w:sz w:val="28"/>
          <w:szCs w:val="28"/>
          <w:lang w:val="ru-RU"/>
        </w:rPr>
        <w:t>х</w:t>
      </w:r>
      <w:r w:rsidR="00877F71" w:rsidRPr="000D4FA1">
        <w:rPr>
          <w:rFonts w:ascii="Times New Roman" w:hAnsi="Times New Roman" w:cs="Times New Roman"/>
          <w:sz w:val="28"/>
          <w:szCs w:val="28"/>
          <w:lang w:val="ru-RU"/>
        </w:rPr>
        <w:t xml:space="preserve"> результат</w:t>
      </w:r>
      <w:r w:rsidR="007775F3" w:rsidRPr="000D4FA1">
        <w:rPr>
          <w:rFonts w:ascii="Times New Roman" w:hAnsi="Times New Roman" w:cs="Times New Roman"/>
          <w:sz w:val="28"/>
          <w:szCs w:val="28"/>
          <w:lang w:val="ru-RU"/>
        </w:rPr>
        <w:t>ов</w:t>
      </w:r>
      <w:r w:rsidR="00877F71" w:rsidRPr="000D4FA1">
        <w:rPr>
          <w:rFonts w:ascii="Times New Roman" w:hAnsi="Times New Roman" w:cs="Times New Roman"/>
          <w:sz w:val="28"/>
          <w:szCs w:val="28"/>
          <w:lang w:val="ru-RU"/>
        </w:rPr>
        <w:t xml:space="preserve"> для адаптации образовательных программ под мировые практики стран</w:t>
      </w:r>
      <w:r w:rsidR="007B767F" w:rsidRPr="000D4FA1">
        <w:rPr>
          <w:rFonts w:ascii="Times New Roman" w:hAnsi="Times New Roman" w:cs="Times New Roman"/>
          <w:sz w:val="28"/>
          <w:szCs w:val="28"/>
          <w:lang w:val="ru-RU"/>
        </w:rPr>
        <w:t>–</w:t>
      </w:r>
      <w:r w:rsidR="00877F71" w:rsidRPr="000D4FA1">
        <w:rPr>
          <w:rFonts w:ascii="Times New Roman" w:hAnsi="Times New Roman" w:cs="Times New Roman"/>
          <w:sz w:val="28"/>
          <w:szCs w:val="28"/>
          <w:lang w:val="ru-RU"/>
        </w:rPr>
        <w:t>лидеров.</w:t>
      </w:r>
    </w:p>
    <w:p w:rsidR="00877F71" w:rsidRPr="000D4FA1" w:rsidRDefault="00877F71" w:rsidP="006F1E42">
      <w:pPr>
        <w:spacing w:after="0" w:line="240" w:lineRule="auto"/>
        <w:jc w:val="both"/>
        <w:rPr>
          <w:rFonts w:ascii="Times New Roman" w:hAnsi="Times New Roman" w:cs="Times New Roman"/>
          <w:i/>
          <w:sz w:val="28"/>
          <w:szCs w:val="28"/>
          <w:lang w:val="ru-RU"/>
        </w:rPr>
      </w:pPr>
      <w:r w:rsidRPr="000D4FA1">
        <w:rPr>
          <w:rFonts w:ascii="Times New Roman" w:hAnsi="Times New Roman" w:cs="Times New Roman"/>
          <w:i/>
          <w:sz w:val="28"/>
          <w:szCs w:val="28"/>
          <w:lang w:val="ru-RU"/>
        </w:rPr>
        <w:t>Для системы ТиПО Казахстана в целом</w:t>
      </w:r>
      <w:r w:rsidR="002F38E4" w:rsidRPr="000D4FA1">
        <w:rPr>
          <w:rFonts w:ascii="Times New Roman" w:hAnsi="Times New Roman" w:cs="Times New Roman"/>
          <w:i/>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р</w:t>
      </w:r>
      <w:r w:rsidR="00877F71" w:rsidRPr="000D4FA1">
        <w:rPr>
          <w:rFonts w:ascii="Times New Roman" w:hAnsi="Times New Roman" w:cs="Times New Roman"/>
          <w:sz w:val="28"/>
          <w:szCs w:val="28"/>
          <w:lang w:val="ru-RU"/>
        </w:rPr>
        <w:t>азработать дифференцированную региональную политику, учитывая различия в демографии и экономическом развитии регионов</w:t>
      </w:r>
      <w:r w:rsidR="002F38E4"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у</w:t>
      </w:r>
      <w:r w:rsidR="00877F71" w:rsidRPr="000D4FA1">
        <w:rPr>
          <w:rFonts w:ascii="Times New Roman" w:hAnsi="Times New Roman" w:cs="Times New Roman"/>
          <w:sz w:val="28"/>
          <w:szCs w:val="28"/>
          <w:lang w:val="ru-RU"/>
        </w:rPr>
        <w:t>силить поддержку северных регионов, где дефицит молодого населения влияет на устойчивость колледжей</w:t>
      </w:r>
      <w:r w:rsidR="002F38E4"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р</w:t>
      </w:r>
      <w:r w:rsidR="00877F71" w:rsidRPr="000D4FA1">
        <w:rPr>
          <w:rFonts w:ascii="Times New Roman" w:hAnsi="Times New Roman" w:cs="Times New Roman"/>
          <w:sz w:val="28"/>
          <w:szCs w:val="28"/>
          <w:lang w:val="ru-RU"/>
        </w:rPr>
        <w:t>асширить финансирование программ дуального образования, особенно в медицинской сфере</w:t>
      </w:r>
      <w:r w:rsidR="002F38E4"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и</w:t>
      </w:r>
      <w:r w:rsidR="00877F71" w:rsidRPr="000D4FA1">
        <w:rPr>
          <w:rFonts w:ascii="Times New Roman" w:hAnsi="Times New Roman" w:cs="Times New Roman"/>
          <w:sz w:val="28"/>
          <w:szCs w:val="28"/>
          <w:lang w:val="ru-RU"/>
        </w:rPr>
        <w:t>спользовать кластерный подход для государственного планирования, включая распределение грантов и госзаказа</w:t>
      </w:r>
      <w:r w:rsidR="002F38E4" w:rsidRPr="000D4FA1">
        <w:rPr>
          <w:rFonts w:ascii="Times New Roman" w:hAnsi="Times New Roman" w:cs="Times New Roman"/>
          <w:sz w:val="28"/>
          <w:szCs w:val="28"/>
          <w:lang w:val="ru-RU"/>
        </w:rPr>
        <w:t>;</w:t>
      </w:r>
    </w:p>
    <w:p w:rsidR="00877F71" w:rsidRPr="000D4FA1" w:rsidRDefault="006F1E42" w:rsidP="006F1E42">
      <w:pPr>
        <w:spacing w:after="0" w:line="240" w:lineRule="auto"/>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 xml:space="preserve">– </w:t>
      </w:r>
      <w:r w:rsidR="002F38E4" w:rsidRPr="000D4FA1">
        <w:rPr>
          <w:rFonts w:ascii="Times New Roman" w:hAnsi="Times New Roman" w:cs="Times New Roman"/>
          <w:sz w:val="28"/>
          <w:szCs w:val="28"/>
          <w:lang w:val="ru-RU"/>
        </w:rPr>
        <w:t>с</w:t>
      </w:r>
      <w:r w:rsidR="00877F71" w:rsidRPr="000D4FA1">
        <w:rPr>
          <w:rFonts w:ascii="Times New Roman" w:hAnsi="Times New Roman" w:cs="Times New Roman"/>
          <w:sz w:val="28"/>
          <w:szCs w:val="28"/>
          <w:lang w:val="ru-RU"/>
        </w:rPr>
        <w:t>оздать систему мониторинга человеческого капитала, основанную на количественных индикаторах (GEE, POP, LIR, DIR, GDP)</w:t>
      </w:r>
      <w:r w:rsidR="002F38E4" w:rsidRPr="000D4FA1">
        <w:rPr>
          <w:rFonts w:ascii="Times New Roman" w:hAnsi="Times New Roman" w:cs="Times New Roman"/>
          <w:sz w:val="28"/>
          <w:szCs w:val="28"/>
          <w:lang w:val="ru-RU"/>
        </w:rPr>
        <w:t>;</w:t>
      </w:r>
    </w:p>
    <w:p w:rsidR="00653F3E" w:rsidRPr="000D4FA1" w:rsidRDefault="00A4535F" w:rsidP="005B54C2">
      <w:pPr>
        <w:spacing w:after="0" w:line="240" w:lineRule="auto"/>
        <w:ind w:firstLine="720"/>
        <w:jc w:val="both"/>
        <w:rPr>
          <w:rFonts w:ascii="Times New Roman" w:hAnsi="Times New Roman" w:cs="Times New Roman"/>
          <w:sz w:val="28"/>
          <w:szCs w:val="28"/>
          <w:lang w:val="ru-RU"/>
        </w:rPr>
      </w:pPr>
      <w:r w:rsidRPr="000D4FA1">
        <w:rPr>
          <w:rFonts w:ascii="Times New Roman" w:hAnsi="Times New Roman" w:cs="Times New Roman"/>
          <w:sz w:val="28"/>
          <w:szCs w:val="28"/>
          <w:lang w:val="ru-RU"/>
        </w:rPr>
        <w:t>Таким образом, результаты исследования подтверждают, что устойчивость организаций ТиПО формируется под влиянием взаимосвязанных микро</w:t>
      </w:r>
      <w:r w:rsidR="005B54C2" w:rsidRPr="000D4FA1">
        <w:rPr>
          <w:rFonts w:ascii="Times New Roman" w:hAnsi="Times New Roman" w:cs="Times New Roman"/>
          <w:sz w:val="28"/>
          <w:szCs w:val="28"/>
          <w:lang w:val="ru-RU"/>
        </w:rPr>
        <w:t xml:space="preserve"> </w:t>
      </w:r>
      <w:r w:rsidR="007B767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и макроэкономических факторов. Комплексный анализ позволил определить ключевые детерминанты развития человеческого потенциала и обосновать необходимость более дифференцированной и стратегически </w:t>
      </w:r>
      <w:r w:rsidRPr="000D4FA1">
        <w:rPr>
          <w:rFonts w:ascii="Times New Roman" w:hAnsi="Times New Roman" w:cs="Times New Roman"/>
          <w:sz w:val="28"/>
          <w:szCs w:val="28"/>
          <w:lang w:val="ru-RU"/>
        </w:rPr>
        <w:lastRenderedPageBreak/>
        <w:t>ориентированной политики в сфере технического и профессионального образования. Реализация предложенных рекомендаций будет способствовать повышению эффективности подготовки кадров и укреплению устойчивости образовательных организаций.</w:t>
      </w: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ED5D01" w:rsidRPr="000D4FA1" w:rsidRDefault="00ED5D01" w:rsidP="005B54C2">
      <w:pPr>
        <w:spacing w:after="0" w:line="240" w:lineRule="auto"/>
        <w:ind w:firstLine="720"/>
        <w:jc w:val="both"/>
        <w:rPr>
          <w:rFonts w:ascii="Times New Roman" w:hAnsi="Times New Roman" w:cs="Times New Roman"/>
          <w:sz w:val="28"/>
          <w:szCs w:val="28"/>
          <w:lang w:val="ru-RU"/>
        </w:rPr>
      </w:pPr>
    </w:p>
    <w:p w:rsidR="00ED5D01" w:rsidRPr="000D4FA1" w:rsidRDefault="00ED5D01" w:rsidP="005B54C2">
      <w:pPr>
        <w:spacing w:after="0" w:line="240" w:lineRule="auto"/>
        <w:ind w:firstLine="720"/>
        <w:jc w:val="both"/>
        <w:rPr>
          <w:rFonts w:ascii="Times New Roman" w:hAnsi="Times New Roman" w:cs="Times New Roman"/>
          <w:sz w:val="28"/>
          <w:szCs w:val="28"/>
          <w:lang w:val="ru-RU"/>
        </w:rPr>
      </w:pPr>
    </w:p>
    <w:p w:rsidR="005B54C2" w:rsidRPr="000D4FA1" w:rsidRDefault="005B54C2" w:rsidP="005B54C2">
      <w:pPr>
        <w:spacing w:after="0" w:line="240" w:lineRule="auto"/>
        <w:ind w:firstLine="720"/>
        <w:jc w:val="both"/>
        <w:rPr>
          <w:rFonts w:ascii="Times New Roman" w:hAnsi="Times New Roman" w:cs="Times New Roman"/>
          <w:sz w:val="28"/>
          <w:szCs w:val="28"/>
          <w:lang w:val="ru-RU"/>
        </w:rPr>
      </w:pPr>
    </w:p>
    <w:p w:rsidR="00653F3E" w:rsidRPr="000D4FA1" w:rsidRDefault="00653F3E" w:rsidP="00653F3E">
      <w:pPr>
        <w:spacing w:after="0" w:line="240" w:lineRule="auto"/>
        <w:ind w:firstLine="360"/>
        <w:jc w:val="center"/>
        <w:rPr>
          <w:rFonts w:ascii="Times New Roman" w:eastAsia="Times New Roman" w:hAnsi="Times New Roman" w:cs="Times New Roman"/>
          <w:b/>
          <w:sz w:val="28"/>
          <w:szCs w:val="28"/>
          <w:lang w:val="kk-KZ" w:eastAsia="ru-RU"/>
        </w:rPr>
      </w:pPr>
      <w:r w:rsidRPr="000D4FA1">
        <w:rPr>
          <w:rFonts w:ascii="Times New Roman" w:eastAsia="Times New Roman" w:hAnsi="Times New Roman" w:cs="Times New Roman"/>
          <w:b/>
          <w:sz w:val="28"/>
          <w:szCs w:val="28"/>
          <w:lang w:val="kk-KZ" w:eastAsia="ru-RU"/>
        </w:rPr>
        <w:lastRenderedPageBreak/>
        <w:t>СПИСОК ИСПОЛЬЗОВАННЫХ ИСТОЧНИКОВ</w:t>
      </w:r>
    </w:p>
    <w:p w:rsidR="00653F3E" w:rsidRPr="000D4FA1" w:rsidRDefault="00653F3E" w:rsidP="00653F3E">
      <w:pPr>
        <w:spacing w:after="0" w:line="240" w:lineRule="auto"/>
        <w:ind w:firstLine="360"/>
        <w:jc w:val="center"/>
        <w:rPr>
          <w:rFonts w:ascii="Times New Roman" w:eastAsia="Times New Roman" w:hAnsi="Times New Roman" w:cs="Times New Roman"/>
          <w:b/>
          <w:sz w:val="28"/>
          <w:szCs w:val="28"/>
          <w:lang w:val="ru-RU" w:eastAsia="ru-RU"/>
        </w:rPr>
      </w:pPr>
    </w:p>
    <w:p w:rsidR="00787A43" w:rsidRPr="000D4FA1" w:rsidRDefault="00432205"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hyperlink r:id="rId56" w:history="1">
        <w:r w:rsidR="00653F3E" w:rsidRPr="000D4FA1">
          <w:rPr>
            <w:rFonts w:ascii="Times New Roman" w:eastAsia="Times New Roman" w:hAnsi="Times New Roman" w:cs="Times New Roman"/>
            <w:sz w:val="28"/>
            <w:szCs w:val="28"/>
            <w:lang w:val="ru-RU" w:eastAsia="ru-RU"/>
          </w:rPr>
          <w:t>Министерство искусственного интеллекта и цифрового развития Республики Казахстан</w:t>
        </w:r>
      </w:hyperlink>
      <w:r w:rsidR="00653F3E" w:rsidRPr="000D4FA1">
        <w:rPr>
          <w:rFonts w:ascii="Times New Roman" w:eastAsia="Times New Roman" w:hAnsi="Times New Roman" w:cs="Times New Roman"/>
          <w:sz w:val="28"/>
          <w:szCs w:val="28"/>
          <w:lang w:val="ru-RU" w:eastAsia="ru-RU"/>
        </w:rPr>
        <w:t xml:space="preserve">. Цифровой Казахстан. </w:t>
      </w:r>
      <w:hyperlink r:id="rId57" w:history="1">
        <w:r w:rsidR="00653F3E" w:rsidRPr="000D4FA1">
          <w:rPr>
            <w:rStyle w:val="af7"/>
            <w:rFonts w:ascii="Times New Roman" w:eastAsia="Times New Roman" w:hAnsi="Times New Roman" w:cs="Times New Roman"/>
            <w:sz w:val="28"/>
            <w:szCs w:val="28"/>
            <w:lang w:val="ru-RU" w:eastAsia="ru-RU"/>
          </w:rPr>
          <w:t>https://www.gov.kz/memleket/entities/maidd/activities/14764</w:t>
        </w:r>
      </w:hyperlink>
      <w:r w:rsidR="00787A43" w:rsidRPr="000D4FA1">
        <w:rPr>
          <w:rStyle w:val="af7"/>
          <w:rFonts w:ascii="Times New Roman" w:eastAsia="Times New Roman" w:hAnsi="Times New Roman" w:cs="Times New Roman"/>
          <w:sz w:val="28"/>
          <w:szCs w:val="28"/>
          <w:lang w:val="ru-RU" w:eastAsia="ru-RU"/>
        </w:rPr>
        <w:t xml:space="preserve"> </w:t>
      </w:r>
      <w:r w:rsidR="00787A43" w:rsidRPr="000D4FA1">
        <w:rPr>
          <w:rFonts w:ascii="Times New Roman" w:eastAsia="Times New Roman" w:hAnsi="Times New Roman" w:cs="Times New Roman"/>
          <w:sz w:val="28"/>
          <w:szCs w:val="28"/>
          <w:lang w:val="ru-RU" w:eastAsia="ru-RU"/>
        </w:rPr>
        <w:t>(дата обращения 10.02.2025).</w:t>
      </w:r>
    </w:p>
    <w:p w:rsidR="00787A43"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hAnsi="Times New Roman" w:cs="Times New Roman"/>
          <w:color w:val="000000" w:themeColor="text1"/>
          <w:sz w:val="28"/>
          <w:szCs w:val="28"/>
          <w:lang w:val="ru-RU"/>
        </w:rPr>
        <w:t xml:space="preserve">Концепция развития дошкольного, среднего, технического и профессионального образования Республики Казахстан на 2023 – 2029 годы Постановление Правительства Республики Казахстан от 28 марта 2023 года № 249 </w:t>
      </w:r>
      <w:hyperlink r:id="rId58" w:anchor="z156"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adilet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P</w:t>
        </w:r>
        <w:r w:rsidRPr="000D4FA1">
          <w:rPr>
            <w:rStyle w:val="af7"/>
            <w:rFonts w:ascii="Times New Roman" w:hAnsi="Times New Roman" w:cs="Times New Roman"/>
            <w:sz w:val="28"/>
            <w:szCs w:val="28"/>
            <w:lang w:val="ru-RU"/>
          </w:rPr>
          <w:t>2300000249#</w:t>
        </w:r>
        <w:r w:rsidRPr="000D4FA1">
          <w:rPr>
            <w:rStyle w:val="af7"/>
            <w:rFonts w:ascii="Times New Roman" w:hAnsi="Times New Roman" w:cs="Times New Roman"/>
            <w:sz w:val="28"/>
            <w:szCs w:val="28"/>
          </w:rPr>
          <w:t>z</w:t>
        </w:r>
        <w:r w:rsidRPr="000D4FA1">
          <w:rPr>
            <w:rStyle w:val="af7"/>
            <w:rFonts w:ascii="Times New Roman" w:hAnsi="Times New Roman" w:cs="Times New Roman"/>
            <w:sz w:val="28"/>
            <w:szCs w:val="28"/>
            <w:lang w:val="ru-RU"/>
          </w:rPr>
          <w:t>156</w:t>
        </w:r>
      </w:hyperlink>
      <w:r w:rsidRPr="000D4FA1">
        <w:rPr>
          <w:rFonts w:ascii="Times New Roman" w:hAnsi="Times New Roman" w:cs="Times New Roman"/>
          <w:lang w:val="ru-RU"/>
        </w:rPr>
        <w:t xml:space="preserve"> </w:t>
      </w:r>
      <w:r w:rsidR="00787A43" w:rsidRPr="000D4FA1">
        <w:rPr>
          <w:rFonts w:ascii="Times New Roman" w:hAnsi="Times New Roman" w:cs="Times New Roman"/>
          <w:lang w:val="ru-RU"/>
        </w:rPr>
        <w:t xml:space="preserve"> </w:t>
      </w:r>
      <w:r w:rsidR="00787A43" w:rsidRPr="000D4FA1">
        <w:rPr>
          <w:rFonts w:ascii="Times New Roman" w:eastAsia="Times New Roman" w:hAnsi="Times New Roman" w:cs="Times New Roman"/>
          <w:sz w:val="28"/>
          <w:szCs w:val="28"/>
          <w:lang w:val="ru-RU" w:eastAsia="ru-RU"/>
        </w:rPr>
        <w:t>(дата обращения 02.11.2024).</w:t>
      </w:r>
    </w:p>
    <w:p w:rsidR="00787A43"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Официальный сайт </w:t>
      </w:r>
      <w:r w:rsidRPr="000D4FA1">
        <w:rPr>
          <w:rStyle w:val="a5"/>
          <w:rFonts w:ascii="Times New Roman" w:hAnsi="Times New Roman" w:cs="Times New Roman"/>
          <w:b w:val="0"/>
          <w:sz w:val="28"/>
          <w:szCs w:val="28"/>
          <w:bdr w:val="none" w:sz="0" w:space="0" w:color="auto" w:frame="1"/>
          <w:shd w:val="clear" w:color="auto" w:fill="FFFFFF"/>
          <w:lang w:val="ru-RU"/>
        </w:rPr>
        <w:t>ГКП на ПХВ «Высший медицинский колледж»</w:t>
      </w:r>
      <w:r w:rsidRPr="000D4FA1">
        <w:rPr>
          <w:rStyle w:val="a5"/>
          <w:rFonts w:ascii="Times New Roman" w:hAnsi="Times New Roman" w:cs="Times New Roman"/>
          <w:sz w:val="28"/>
          <w:szCs w:val="28"/>
          <w:bdr w:val="none" w:sz="0" w:space="0" w:color="auto" w:frame="1"/>
          <w:shd w:val="clear" w:color="auto" w:fill="FFFFFF"/>
          <w:lang w:val="ru-RU"/>
        </w:rPr>
        <w:t xml:space="preserve"> </w:t>
      </w:r>
      <w:r w:rsidRPr="000D4FA1">
        <w:rPr>
          <w:rFonts w:ascii="Times New Roman" w:hAnsi="Times New Roman" w:cs="Times New Roman"/>
          <w:sz w:val="28"/>
          <w:szCs w:val="28"/>
          <w:shd w:val="clear" w:color="auto" w:fill="FFFFFF"/>
          <w:lang w:val="ru-RU"/>
        </w:rPr>
        <w:t xml:space="preserve">управления здравоохранения </w:t>
      </w:r>
      <w:proofErr w:type="gramStart"/>
      <w:r w:rsidRPr="000D4FA1">
        <w:rPr>
          <w:rFonts w:ascii="Times New Roman" w:hAnsi="Times New Roman" w:cs="Times New Roman"/>
          <w:sz w:val="28"/>
          <w:szCs w:val="28"/>
          <w:shd w:val="clear" w:color="auto" w:fill="FFFFFF"/>
          <w:lang w:val="ru-RU"/>
        </w:rPr>
        <w:t>г</w:t>
      </w:r>
      <w:proofErr w:type="gramEnd"/>
      <w:r w:rsidRPr="000D4FA1">
        <w:rPr>
          <w:rFonts w:ascii="Times New Roman" w:hAnsi="Times New Roman" w:cs="Times New Roman"/>
          <w:sz w:val="28"/>
          <w:szCs w:val="28"/>
          <w:shd w:val="clear" w:color="auto" w:fill="FFFFFF"/>
          <w:lang w:val="ru-RU"/>
        </w:rPr>
        <w:t>. Шымкент</w:t>
      </w:r>
      <w:r w:rsidRPr="000D4FA1">
        <w:rPr>
          <w:rFonts w:ascii="Times New Roman" w:eastAsia="Times New Roman" w:hAnsi="Times New Roman" w:cs="Times New Roman"/>
          <w:sz w:val="28"/>
          <w:szCs w:val="28"/>
          <w:lang w:val="ru-RU" w:eastAsia="ru-RU"/>
        </w:rPr>
        <w:t xml:space="preserve">  </w:t>
      </w:r>
      <w:hyperlink r:id="rId59" w:history="1">
        <w:r w:rsidRPr="000D4FA1">
          <w:rPr>
            <w:rStyle w:val="af7"/>
            <w:rFonts w:ascii="Times New Roman" w:eastAsia="Times New Roman" w:hAnsi="Times New Roman" w:cs="Times New Roman"/>
            <w:sz w:val="28"/>
            <w:szCs w:val="28"/>
            <w:lang w:val="ru-RU" w:eastAsia="ru-RU"/>
          </w:rPr>
          <w:t>https://shmk.edu.kz/about</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us/</w:t>
        </w:r>
      </w:hyperlink>
      <w:r w:rsidRPr="000D4FA1">
        <w:rPr>
          <w:rFonts w:ascii="Times New Roman" w:eastAsia="Times New Roman" w:hAnsi="Times New Roman" w:cs="Times New Roman"/>
          <w:sz w:val="28"/>
          <w:szCs w:val="28"/>
          <w:lang w:val="ru-RU" w:eastAsia="ru-RU"/>
        </w:rPr>
        <w:t xml:space="preserve">  </w:t>
      </w:r>
      <w:r w:rsidR="00787A43" w:rsidRPr="000D4FA1">
        <w:rPr>
          <w:rFonts w:ascii="Times New Roman" w:eastAsia="Times New Roman" w:hAnsi="Times New Roman" w:cs="Times New Roman"/>
          <w:sz w:val="28"/>
          <w:szCs w:val="28"/>
          <w:lang w:val="ru-RU" w:eastAsia="ru-RU"/>
        </w:rPr>
        <w:t xml:space="preserve"> (дата обращения 15.1</w:t>
      </w:r>
      <w:r w:rsidR="00000457" w:rsidRPr="000D4FA1">
        <w:rPr>
          <w:rFonts w:ascii="Times New Roman" w:eastAsia="Times New Roman" w:hAnsi="Times New Roman" w:cs="Times New Roman"/>
          <w:sz w:val="28"/>
          <w:szCs w:val="28"/>
          <w:lang w:val="ru-RU" w:eastAsia="ru-RU"/>
        </w:rPr>
        <w:t>0</w:t>
      </w:r>
      <w:r w:rsidR="00787A43" w:rsidRPr="000D4FA1">
        <w:rPr>
          <w:rFonts w:ascii="Times New Roman" w:eastAsia="Times New Roman" w:hAnsi="Times New Roman" w:cs="Times New Roman"/>
          <w:sz w:val="28"/>
          <w:szCs w:val="28"/>
          <w:lang w:val="ru-RU" w:eastAsia="ru-RU"/>
        </w:rPr>
        <w:t>.202</w:t>
      </w:r>
      <w:r w:rsidR="00000457" w:rsidRPr="000D4FA1">
        <w:rPr>
          <w:rFonts w:ascii="Times New Roman" w:eastAsia="Times New Roman" w:hAnsi="Times New Roman" w:cs="Times New Roman"/>
          <w:sz w:val="28"/>
          <w:szCs w:val="28"/>
          <w:lang w:val="ru-RU" w:eastAsia="ru-RU"/>
        </w:rPr>
        <w:t>4</w:t>
      </w:r>
      <w:r w:rsidR="00787A43" w:rsidRPr="000D4FA1">
        <w:rPr>
          <w:rFonts w:ascii="Times New Roman" w:eastAsia="Times New Roman" w:hAnsi="Times New Roman" w:cs="Times New Roman"/>
          <w:sz w:val="28"/>
          <w:szCs w:val="28"/>
          <w:lang w:val="ru-RU" w:eastAsia="ru-RU"/>
        </w:rPr>
        <w:t>).</w:t>
      </w:r>
    </w:p>
    <w:p w:rsidR="00787A43"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Статистика образования, науки и инноваций. Техническое и профессиональное, послесреднее образование в Республике Казахстан (На начало 2024</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2025 учебного года) </w:t>
      </w:r>
      <w:hyperlink r:id="rId60" w:history="1">
        <w:r w:rsidRPr="000D4FA1">
          <w:rPr>
            <w:rStyle w:val="af7"/>
            <w:rFonts w:ascii="Times New Roman" w:eastAsia="Times New Roman" w:hAnsi="Times New Roman" w:cs="Times New Roman"/>
            <w:sz w:val="28"/>
            <w:szCs w:val="28"/>
            <w:lang w:val="ru-RU" w:eastAsia="ru-RU"/>
          </w:rPr>
          <w:t>https://stat.gov.kz/ru/industries/social</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statistics/stat</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edu</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science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inno/publications/282704/</w:t>
        </w:r>
      </w:hyperlink>
      <w:r w:rsidRPr="000D4FA1">
        <w:rPr>
          <w:rFonts w:ascii="Times New Roman" w:eastAsia="Times New Roman" w:hAnsi="Times New Roman" w:cs="Times New Roman"/>
          <w:sz w:val="28"/>
          <w:szCs w:val="28"/>
          <w:lang w:val="ru-RU" w:eastAsia="ru-RU"/>
        </w:rPr>
        <w:t xml:space="preserve"> </w:t>
      </w:r>
      <w:r w:rsidR="00787A43" w:rsidRPr="000D4FA1">
        <w:rPr>
          <w:rFonts w:ascii="Times New Roman" w:eastAsia="Times New Roman" w:hAnsi="Times New Roman" w:cs="Times New Roman"/>
          <w:sz w:val="28"/>
          <w:szCs w:val="28"/>
          <w:lang w:val="ru-RU" w:eastAsia="ru-RU"/>
        </w:rPr>
        <w:t>(дата обращения 10.</w:t>
      </w:r>
      <w:r w:rsidR="00481714" w:rsidRPr="000D4FA1">
        <w:rPr>
          <w:rFonts w:ascii="Times New Roman" w:eastAsia="Times New Roman" w:hAnsi="Times New Roman" w:cs="Times New Roman"/>
          <w:sz w:val="28"/>
          <w:szCs w:val="28"/>
          <w:lang w:val="ru-RU" w:eastAsia="ru-RU"/>
        </w:rPr>
        <w:t>11</w:t>
      </w:r>
      <w:r w:rsidR="00787A43" w:rsidRPr="000D4FA1">
        <w:rPr>
          <w:rFonts w:ascii="Times New Roman" w:eastAsia="Times New Roman" w:hAnsi="Times New Roman" w:cs="Times New Roman"/>
          <w:sz w:val="28"/>
          <w:szCs w:val="28"/>
          <w:lang w:val="ru-RU" w:eastAsia="ru-RU"/>
        </w:rPr>
        <w:t>.202</w:t>
      </w:r>
      <w:r w:rsidR="00481714" w:rsidRPr="000D4FA1">
        <w:rPr>
          <w:rFonts w:ascii="Times New Roman" w:eastAsia="Times New Roman" w:hAnsi="Times New Roman" w:cs="Times New Roman"/>
          <w:sz w:val="28"/>
          <w:szCs w:val="28"/>
          <w:lang w:val="ru-RU" w:eastAsia="ru-RU"/>
        </w:rPr>
        <w:t>4</w:t>
      </w:r>
      <w:r w:rsidR="00787A43" w:rsidRPr="000D4FA1">
        <w:rPr>
          <w:rFonts w:ascii="Times New Roman" w:eastAsia="Times New Roman" w:hAnsi="Times New Roman" w:cs="Times New Roman"/>
          <w:sz w:val="28"/>
          <w:szCs w:val="28"/>
          <w:lang w:val="ru-RU" w:eastAsia="ru-RU"/>
        </w:rPr>
        <w:t>).</w:t>
      </w:r>
    </w:p>
    <w:p w:rsidR="00787A43"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Официальный сайт </w:t>
      </w:r>
      <w:r w:rsidRPr="000D4FA1">
        <w:rPr>
          <w:rStyle w:val="a5"/>
          <w:rFonts w:ascii="Times New Roman" w:hAnsi="Times New Roman" w:cs="Times New Roman"/>
          <w:b w:val="0"/>
          <w:sz w:val="28"/>
          <w:szCs w:val="28"/>
          <w:bdr w:val="none" w:sz="0" w:space="0" w:color="auto" w:frame="1"/>
          <w:shd w:val="clear" w:color="auto" w:fill="FFFFFF"/>
          <w:lang w:val="ru-RU"/>
        </w:rPr>
        <w:t>ГКП на ПХВ «Высший медицинский колледж»</w:t>
      </w:r>
      <w:r w:rsidRPr="000D4FA1">
        <w:rPr>
          <w:rFonts w:ascii="Times New Roman" w:hAnsi="Times New Roman" w:cs="Times New Roman"/>
          <w:b/>
          <w:sz w:val="28"/>
          <w:szCs w:val="28"/>
          <w:lang w:val="ru-RU"/>
        </w:rPr>
        <w:br/>
      </w:r>
      <w:r w:rsidRPr="000D4FA1">
        <w:rPr>
          <w:rFonts w:ascii="Times New Roman" w:hAnsi="Times New Roman" w:cs="Times New Roman"/>
          <w:sz w:val="28"/>
          <w:szCs w:val="28"/>
          <w:shd w:val="clear" w:color="auto" w:fill="FFFFFF"/>
          <w:lang w:val="ru-RU"/>
        </w:rPr>
        <w:t xml:space="preserve">управления здравоохранения </w:t>
      </w:r>
      <w:proofErr w:type="gramStart"/>
      <w:r w:rsidRPr="000D4FA1">
        <w:rPr>
          <w:rFonts w:ascii="Times New Roman" w:hAnsi="Times New Roman" w:cs="Times New Roman"/>
          <w:sz w:val="28"/>
          <w:szCs w:val="28"/>
          <w:shd w:val="clear" w:color="auto" w:fill="FFFFFF"/>
          <w:lang w:val="ru-RU"/>
        </w:rPr>
        <w:t>г</w:t>
      </w:r>
      <w:proofErr w:type="gramEnd"/>
      <w:r w:rsidRPr="000D4FA1">
        <w:rPr>
          <w:rFonts w:ascii="Times New Roman" w:hAnsi="Times New Roman" w:cs="Times New Roman"/>
          <w:sz w:val="28"/>
          <w:szCs w:val="28"/>
          <w:shd w:val="clear" w:color="auto" w:fill="FFFFFF"/>
          <w:lang w:val="ru-RU"/>
        </w:rPr>
        <w:t>. Шымкент</w:t>
      </w:r>
      <w:r w:rsidRPr="000D4FA1">
        <w:rPr>
          <w:rFonts w:ascii="Times New Roman" w:eastAsia="Times New Roman" w:hAnsi="Times New Roman" w:cs="Times New Roman"/>
          <w:sz w:val="28"/>
          <w:szCs w:val="28"/>
          <w:lang w:val="ru-RU" w:eastAsia="ru-RU"/>
        </w:rPr>
        <w:t xml:space="preserve">  </w:t>
      </w:r>
      <w:hyperlink r:id="rId61" w:history="1">
        <w:r w:rsidRPr="000D4FA1">
          <w:rPr>
            <w:rStyle w:val="af7"/>
            <w:rFonts w:ascii="Times New Roman" w:eastAsia="Times New Roman" w:hAnsi="Times New Roman" w:cs="Times New Roman"/>
            <w:sz w:val="28"/>
            <w:szCs w:val="28"/>
            <w:lang w:val="ru-RU" w:eastAsia="ru-RU"/>
          </w:rPr>
          <w:t>https://shmk.edu.kz/media/</w:t>
        </w:r>
      </w:hyperlink>
      <w:r w:rsidRPr="000D4FA1">
        <w:rPr>
          <w:rFonts w:ascii="Times New Roman" w:eastAsia="Times New Roman" w:hAnsi="Times New Roman" w:cs="Times New Roman"/>
          <w:sz w:val="28"/>
          <w:szCs w:val="28"/>
          <w:lang w:val="ru-RU" w:eastAsia="ru-RU"/>
        </w:rPr>
        <w:t xml:space="preserve"> </w:t>
      </w:r>
      <w:r w:rsidR="00787A43" w:rsidRPr="000D4FA1">
        <w:rPr>
          <w:rFonts w:ascii="Times New Roman" w:eastAsia="Times New Roman" w:hAnsi="Times New Roman" w:cs="Times New Roman"/>
          <w:sz w:val="28"/>
          <w:szCs w:val="28"/>
          <w:lang w:val="ru-RU" w:eastAsia="ru-RU"/>
        </w:rPr>
        <w:t xml:space="preserve"> (дата обращения 15.</w:t>
      </w:r>
      <w:r w:rsidR="00481714" w:rsidRPr="000D4FA1">
        <w:rPr>
          <w:rFonts w:ascii="Times New Roman" w:eastAsia="Times New Roman" w:hAnsi="Times New Roman" w:cs="Times New Roman"/>
          <w:sz w:val="28"/>
          <w:szCs w:val="28"/>
          <w:lang w:val="ru-RU" w:eastAsia="ru-RU"/>
        </w:rPr>
        <w:t>02</w:t>
      </w:r>
      <w:r w:rsidR="00787A43" w:rsidRPr="000D4FA1">
        <w:rPr>
          <w:rFonts w:ascii="Times New Roman" w:eastAsia="Times New Roman" w:hAnsi="Times New Roman" w:cs="Times New Roman"/>
          <w:sz w:val="28"/>
          <w:szCs w:val="28"/>
          <w:lang w:val="ru-RU" w:eastAsia="ru-RU"/>
        </w:rPr>
        <w:t>.202</w:t>
      </w:r>
      <w:r w:rsidR="00481714" w:rsidRPr="000D4FA1">
        <w:rPr>
          <w:rFonts w:ascii="Times New Roman" w:eastAsia="Times New Roman" w:hAnsi="Times New Roman" w:cs="Times New Roman"/>
          <w:sz w:val="28"/>
          <w:szCs w:val="28"/>
          <w:lang w:val="ru-RU" w:eastAsia="ru-RU"/>
        </w:rPr>
        <w:t>5</w:t>
      </w:r>
      <w:r w:rsidR="00787A43" w:rsidRPr="000D4FA1">
        <w:rPr>
          <w:rFonts w:ascii="Times New Roman" w:eastAsia="Times New Roman" w:hAnsi="Times New Roman" w:cs="Times New Roman"/>
          <w:sz w:val="28"/>
          <w:szCs w:val="28"/>
          <w:lang w:val="ru-RU" w:eastAsia="ru-RU"/>
        </w:rPr>
        <w:t>).</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Сарсембаева К., Жусупова А. Развитие кадрового потенциала как фактор повышения конкурентоспособности учебных заведений Республики Казахстан. Журнал научных исследований в образовании</w:t>
      </w:r>
      <w:r w:rsidR="004344F5" w:rsidRPr="000D4FA1">
        <w:rPr>
          <w:rFonts w:ascii="Times New Roman" w:eastAsia="Times New Roman" w:hAnsi="Times New Roman" w:cs="Times New Roman"/>
          <w:sz w:val="28"/>
          <w:szCs w:val="28"/>
          <w:lang w:val="ru-RU" w:eastAsia="ru-RU"/>
        </w:rPr>
        <w:t xml:space="preserve">. 2020. </w:t>
      </w:r>
      <w:r w:rsidRPr="000D4FA1">
        <w:rPr>
          <w:rFonts w:ascii="Times New Roman" w:eastAsia="Times New Roman" w:hAnsi="Times New Roman" w:cs="Times New Roman"/>
          <w:sz w:val="28"/>
          <w:szCs w:val="28"/>
          <w:lang w:val="ru-RU" w:eastAsia="ru-RU"/>
        </w:rPr>
        <w:t xml:space="preserve">12(3), </w:t>
      </w:r>
      <w:r w:rsidR="004344F5" w:rsidRPr="000D4FA1">
        <w:rPr>
          <w:rFonts w:ascii="Times New Roman" w:eastAsia="Times New Roman" w:hAnsi="Times New Roman" w:cs="Times New Roman"/>
          <w:sz w:val="28"/>
          <w:szCs w:val="28"/>
          <w:lang w:val="ru-RU" w:eastAsia="ru-RU"/>
        </w:rPr>
        <w:t xml:space="preserve">с. </w:t>
      </w:r>
      <w:r w:rsidRPr="000D4FA1">
        <w:rPr>
          <w:rFonts w:ascii="Times New Roman" w:eastAsia="Times New Roman" w:hAnsi="Times New Roman" w:cs="Times New Roman"/>
          <w:sz w:val="28"/>
          <w:szCs w:val="28"/>
          <w:lang w:val="ru-RU" w:eastAsia="ru-RU"/>
        </w:rPr>
        <w:t>45</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58.</w:t>
      </w:r>
      <w:r w:rsidR="000E2F77" w:rsidRPr="000D4FA1">
        <w:rPr>
          <w:rFonts w:ascii="Times New Roman" w:eastAsia="Times New Roman" w:hAnsi="Times New Roman" w:cs="Times New Roman"/>
          <w:sz w:val="28"/>
          <w:szCs w:val="28"/>
          <w:lang w:val="ru-RU" w:eastAsia="ru-RU"/>
        </w:rPr>
        <w:t xml:space="preserve"> </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Тургунова Л. Повышение квалификации преподавателей как основа для улучшения качества образования в Казахстане. Педагогические науки Казахстана</w:t>
      </w:r>
      <w:r w:rsidR="004344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w:t>
      </w:r>
      <w:r w:rsidR="004344F5" w:rsidRPr="000D4FA1">
        <w:rPr>
          <w:rFonts w:ascii="Times New Roman" w:eastAsia="Times New Roman" w:hAnsi="Times New Roman" w:cs="Times New Roman"/>
          <w:sz w:val="28"/>
          <w:szCs w:val="28"/>
          <w:lang w:val="ru-RU" w:eastAsia="ru-RU"/>
        </w:rPr>
        <w:t xml:space="preserve">2018. </w:t>
      </w:r>
      <w:r w:rsidRPr="000D4FA1">
        <w:rPr>
          <w:rFonts w:ascii="Times New Roman" w:eastAsia="Times New Roman" w:hAnsi="Times New Roman" w:cs="Times New Roman"/>
          <w:sz w:val="28"/>
          <w:szCs w:val="28"/>
          <w:lang w:val="ru-RU" w:eastAsia="ru-RU"/>
        </w:rPr>
        <w:t xml:space="preserve">10(4), </w:t>
      </w:r>
      <w:r w:rsidR="004344F5" w:rsidRPr="000D4FA1">
        <w:rPr>
          <w:rFonts w:ascii="Times New Roman" w:eastAsia="Times New Roman" w:hAnsi="Times New Roman" w:cs="Times New Roman"/>
          <w:sz w:val="28"/>
          <w:szCs w:val="28"/>
          <w:lang w:val="ru-RU" w:eastAsia="ru-RU"/>
        </w:rPr>
        <w:t xml:space="preserve">с. </w:t>
      </w:r>
      <w:r w:rsidRPr="000D4FA1">
        <w:rPr>
          <w:rFonts w:ascii="Times New Roman" w:eastAsia="Times New Roman" w:hAnsi="Times New Roman" w:cs="Times New Roman"/>
          <w:sz w:val="28"/>
          <w:szCs w:val="28"/>
          <w:lang w:val="ru-RU" w:eastAsia="ru-RU"/>
        </w:rPr>
        <w:t>25</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39.</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Жукенова Л. Устойчивое развитие профессиональных колледжей Казахстана: вызовы и перспективы. Вестник педагогических наук</w:t>
      </w:r>
      <w:r w:rsidR="004344F5" w:rsidRPr="000D4FA1">
        <w:rPr>
          <w:rFonts w:ascii="Times New Roman" w:eastAsia="Times New Roman" w:hAnsi="Times New Roman" w:cs="Times New Roman"/>
          <w:sz w:val="28"/>
          <w:szCs w:val="28"/>
          <w:lang w:val="ru-RU" w:eastAsia="ru-RU"/>
        </w:rPr>
        <w:t>. 2021.</w:t>
      </w:r>
      <w:r w:rsidRPr="000D4FA1">
        <w:rPr>
          <w:rFonts w:ascii="Times New Roman" w:eastAsia="Times New Roman" w:hAnsi="Times New Roman" w:cs="Times New Roman"/>
          <w:sz w:val="28"/>
          <w:szCs w:val="28"/>
          <w:lang w:val="ru-RU" w:eastAsia="ru-RU"/>
        </w:rPr>
        <w:t xml:space="preserve"> 7(2)</w:t>
      </w:r>
      <w:r w:rsidR="004344F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 </w:t>
      </w:r>
      <w:r w:rsidR="004344F5" w:rsidRPr="000D4FA1">
        <w:rPr>
          <w:rFonts w:ascii="Times New Roman" w:eastAsia="Times New Roman" w:hAnsi="Times New Roman" w:cs="Times New Roman"/>
          <w:sz w:val="28"/>
          <w:szCs w:val="28"/>
          <w:lang w:val="ru-RU" w:eastAsia="ru-RU"/>
        </w:rPr>
        <w:t xml:space="preserve">С. </w:t>
      </w:r>
      <w:r w:rsidRPr="000D4FA1">
        <w:rPr>
          <w:rFonts w:ascii="Times New Roman" w:eastAsia="Times New Roman" w:hAnsi="Times New Roman" w:cs="Times New Roman"/>
          <w:sz w:val="28"/>
          <w:szCs w:val="28"/>
          <w:lang w:val="ru-RU" w:eastAsia="ru-RU"/>
        </w:rPr>
        <w:t>33</w:t>
      </w:r>
      <w:r w:rsidR="004344F5" w:rsidRPr="000D4FA1">
        <w:rPr>
          <w:rFonts w:ascii="Times New Roman" w:eastAsia="Times New Roman" w:hAnsi="Times New Roman" w:cs="Times New Roman"/>
          <w:sz w:val="28"/>
          <w:szCs w:val="28"/>
          <w:lang w:val="ru-RU" w:eastAsia="ru-RU"/>
        </w:rPr>
        <w:t xml:space="preserve"> </w:t>
      </w:r>
      <w:r w:rsidR="007B767F" w:rsidRPr="000D4FA1">
        <w:rPr>
          <w:rFonts w:ascii="Times New Roman" w:eastAsia="Times New Roman" w:hAnsi="Times New Roman" w:cs="Times New Roman"/>
          <w:sz w:val="28"/>
          <w:szCs w:val="28"/>
          <w:lang w:val="ru-RU" w:eastAsia="ru-RU"/>
        </w:rPr>
        <w:t>–</w:t>
      </w:r>
      <w:r w:rsidR="004344F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44.</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Davidson, R., Hopkins, L. Human Resource Management in Higher Education: A Study of the Impact on Academic Performance. International Journal of Educational Development</w:t>
      </w:r>
      <w:r w:rsidR="00481714"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 xml:space="preserve">2019. </w:t>
      </w:r>
      <w:r w:rsidRPr="000D4FA1">
        <w:rPr>
          <w:rFonts w:ascii="Times New Roman" w:eastAsia="Times New Roman" w:hAnsi="Times New Roman" w:cs="Times New Roman"/>
          <w:sz w:val="28"/>
          <w:szCs w:val="28"/>
          <w:lang w:eastAsia="ru-RU"/>
        </w:rPr>
        <w:t>42</w:t>
      </w:r>
      <w:r w:rsidR="004344F5" w:rsidRPr="000D4FA1">
        <w:rPr>
          <w:rFonts w:ascii="Times New Roman" w:eastAsia="Times New Roman" w:hAnsi="Times New Roman" w:cs="Times New Roman"/>
          <w:sz w:val="28"/>
          <w:szCs w:val="28"/>
          <w:lang w:eastAsia="ru-RU"/>
        </w:rPr>
        <w:t xml:space="preserve">. – </w:t>
      </w:r>
      <w:r w:rsidR="004344F5" w:rsidRPr="000D4FA1">
        <w:rPr>
          <w:rFonts w:ascii="Times New Roman" w:eastAsia="Times New Roman" w:hAnsi="Times New Roman" w:cs="Times New Roman"/>
          <w:sz w:val="28"/>
          <w:szCs w:val="28"/>
          <w:lang w:val="ru-RU" w:eastAsia="ru-RU"/>
        </w:rPr>
        <w:t>С</w:t>
      </w:r>
      <w:r w:rsidR="004344F5"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 23</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34.</w:t>
      </w:r>
    </w:p>
    <w:p w:rsidR="004344F5" w:rsidRPr="000D4FA1" w:rsidRDefault="004344F5"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 </w:t>
      </w:r>
      <w:r w:rsidR="00653F3E" w:rsidRPr="000D4FA1">
        <w:rPr>
          <w:rFonts w:ascii="Times New Roman" w:eastAsia="Times New Roman" w:hAnsi="Times New Roman" w:cs="Times New Roman"/>
          <w:sz w:val="28"/>
          <w:szCs w:val="28"/>
          <w:lang w:eastAsia="ru-RU"/>
        </w:rPr>
        <w:t>Smith, J., Johnson, M. Vocational Education and Human Resources: Global Perspectives on Workforce Sustainability. Journal of Vocational Education Research</w:t>
      </w:r>
      <w:r w:rsidRPr="000D4FA1">
        <w:rPr>
          <w:rFonts w:ascii="Times New Roman" w:eastAsia="Times New Roman" w:hAnsi="Times New Roman" w:cs="Times New Roman"/>
          <w:sz w:val="28"/>
          <w:szCs w:val="28"/>
          <w:lang w:val="ru-RU" w:eastAsia="ru-RU"/>
        </w:rPr>
        <w:t>.</w:t>
      </w:r>
      <w:r w:rsidR="00653F3E"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sz w:val="28"/>
          <w:szCs w:val="28"/>
          <w:lang w:eastAsia="ru-RU"/>
        </w:rPr>
        <w:t>2020</w:t>
      </w:r>
      <w:r w:rsidRPr="000D4FA1">
        <w:rPr>
          <w:rFonts w:ascii="Times New Roman" w:eastAsia="Times New Roman" w:hAnsi="Times New Roman" w:cs="Times New Roman"/>
          <w:sz w:val="28"/>
          <w:szCs w:val="28"/>
          <w:lang w:val="ru-RU" w:eastAsia="ru-RU"/>
        </w:rPr>
        <w:t xml:space="preserve">. </w:t>
      </w:r>
      <w:r w:rsidR="00653F3E" w:rsidRPr="000D4FA1">
        <w:rPr>
          <w:rFonts w:ascii="Times New Roman" w:eastAsia="Times New Roman" w:hAnsi="Times New Roman" w:cs="Times New Roman"/>
          <w:sz w:val="28"/>
          <w:szCs w:val="28"/>
          <w:lang w:eastAsia="ru-RU"/>
        </w:rPr>
        <w:t>28(1)</w:t>
      </w:r>
      <w:r w:rsidRPr="000D4FA1">
        <w:rPr>
          <w:rFonts w:ascii="Times New Roman" w:eastAsia="Times New Roman" w:hAnsi="Times New Roman" w:cs="Times New Roman"/>
          <w:sz w:val="28"/>
          <w:szCs w:val="28"/>
          <w:lang w:val="ru-RU" w:eastAsia="ru-RU"/>
        </w:rPr>
        <w:t>. – С.</w:t>
      </w:r>
      <w:r w:rsidR="00653F3E" w:rsidRPr="000D4FA1">
        <w:rPr>
          <w:rFonts w:ascii="Times New Roman" w:eastAsia="Times New Roman" w:hAnsi="Times New Roman" w:cs="Times New Roman"/>
          <w:sz w:val="28"/>
          <w:szCs w:val="28"/>
          <w:lang w:eastAsia="ru-RU"/>
        </w:rPr>
        <w:t xml:space="preserve"> 13</w:t>
      </w:r>
      <w:r w:rsidR="007B767F" w:rsidRPr="000D4FA1">
        <w:rPr>
          <w:rFonts w:ascii="Times New Roman" w:eastAsia="Times New Roman" w:hAnsi="Times New Roman" w:cs="Times New Roman"/>
          <w:sz w:val="28"/>
          <w:szCs w:val="28"/>
          <w:lang w:eastAsia="ru-RU"/>
        </w:rPr>
        <w:t>–</w:t>
      </w:r>
      <w:r w:rsidR="00653F3E" w:rsidRPr="000D4FA1">
        <w:rPr>
          <w:rFonts w:ascii="Times New Roman" w:eastAsia="Times New Roman" w:hAnsi="Times New Roman" w:cs="Times New Roman"/>
          <w:sz w:val="28"/>
          <w:szCs w:val="28"/>
          <w:lang w:eastAsia="ru-RU"/>
        </w:rPr>
        <w:t>27.</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Reynolds, P. Teacher Training as a Key to Educational Program Sustainability: A Global Review. Journal of Global Education</w:t>
      </w:r>
      <w:r w:rsidR="004344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4344F5" w:rsidRPr="000D4FA1">
        <w:rPr>
          <w:rFonts w:ascii="Times New Roman" w:eastAsia="Times New Roman" w:hAnsi="Times New Roman" w:cs="Times New Roman"/>
          <w:sz w:val="28"/>
          <w:szCs w:val="28"/>
          <w:lang w:eastAsia="ru-RU"/>
        </w:rPr>
        <w:t>2017</w:t>
      </w:r>
      <w:r w:rsidR="004344F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34(2)</w:t>
      </w:r>
      <w:r w:rsidR="004344F5" w:rsidRPr="000D4FA1">
        <w:rPr>
          <w:rFonts w:ascii="Times New Roman" w:eastAsia="Times New Roman" w:hAnsi="Times New Roman" w:cs="Times New Roman"/>
          <w:sz w:val="28"/>
          <w:szCs w:val="28"/>
          <w:lang w:val="ru-RU" w:eastAsia="ru-RU"/>
        </w:rPr>
        <w:t xml:space="preserve">. – С. </w:t>
      </w:r>
      <w:r w:rsidRPr="000D4FA1">
        <w:rPr>
          <w:rFonts w:ascii="Times New Roman" w:eastAsia="Times New Roman" w:hAnsi="Times New Roman" w:cs="Times New Roman"/>
          <w:sz w:val="28"/>
          <w:szCs w:val="28"/>
          <w:lang w:eastAsia="ru-RU"/>
        </w:rPr>
        <w:t>56</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72.</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Wang, X., Li, M. Human Capital Development in Developing Economies: The Role of Vocational Education. Educational Review</w:t>
      </w:r>
      <w:r w:rsidR="004344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4344F5" w:rsidRPr="000D4FA1">
        <w:rPr>
          <w:rFonts w:ascii="Times New Roman" w:eastAsia="Times New Roman" w:hAnsi="Times New Roman" w:cs="Times New Roman"/>
          <w:sz w:val="28"/>
          <w:szCs w:val="28"/>
          <w:lang w:eastAsia="ru-RU"/>
        </w:rPr>
        <w:t>2018</w:t>
      </w:r>
      <w:r w:rsidR="004344F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58(3)</w:t>
      </w:r>
      <w:r w:rsidR="004344F5"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105</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120.</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Carroll, J., &amp; Reid, M. Integrating Pedagogy and Management: A Framework for Educational Effectiveness. </w:t>
      </w:r>
      <w:r w:rsidRPr="000D4FA1">
        <w:rPr>
          <w:rFonts w:ascii="Times New Roman" w:eastAsia="Times New Roman" w:hAnsi="Times New Roman" w:cs="Times New Roman"/>
          <w:iCs/>
          <w:sz w:val="28"/>
          <w:szCs w:val="28"/>
          <w:lang w:eastAsia="ru-RU"/>
        </w:rPr>
        <w:t>Educational Leadership Journal</w:t>
      </w:r>
      <w:r w:rsidR="004344F5" w:rsidRPr="000D4FA1">
        <w:rPr>
          <w:rFonts w:ascii="Times New Roman" w:eastAsia="Times New Roman" w:hAnsi="Times New Roman" w:cs="Times New Roman"/>
          <w:i/>
          <w:iCs/>
          <w:sz w:val="28"/>
          <w:szCs w:val="28"/>
          <w:lang w:val="ru-RU" w:eastAsia="ru-RU"/>
        </w:rPr>
        <w:t xml:space="preserve">. </w:t>
      </w:r>
      <w:r w:rsidR="004344F5" w:rsidRPr="000D4FA1">
        <w:rPr>
          <w:rFonts w:ascii="Times New Roman" w:eastAsia="Times New Roman" w:hAnsi="Times New Roman" w:cs="Times New Roman"/>
          <w:sz w:val="28"/>
          <w:szCs w:val="28"/>
          <w:lang w:eastAsia="ru-RU"/>
        </w:rPr>
        <w:t>2016</w:t>
      </w:r>
      <w:r w:rsidR="004344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29(2)</w:t>
      </w:r>
      <w:r w:rsidR="004344F5" w:rsidRPr="000D4FA1">
        <w:rPr>
          <w:rFonts w:ascii="Times New Roman" w:eastAsia="Times New Roman" w:hAnsi="Times New Roman" w:cs="Times New Roman"/>
          <w:sz w:val="28"/>
          <w:szCs w:val="28"/>
          <w:lang w:val="ru-RU" w:eastAsia="ru-RU"/>
        </w:rPr>
        <w:t>. С–</w:t>
      </w:r>
      <w:r w:rsidRPr="000D4FA1">
        <w:rPr>
          <w:rFonts w:ascii="Times New Roman" w:eastAsia="Times New Roman" w:hAnsi="Times New Roman" w:cs="Times New Roman"/>
          <w:sz w:val="28"/>
          <w:szCs w:val="28"/>
          <w:lang w:eastAsia="ru-RU"/>
        </w:rPr>
        <w:t xml:space="preserve"> 45</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59.</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lastRenderedPageBreak/>
        <w:t xml:space="preserve">Freeman, S. Economics of Education: A Policy Perspective on Resource Allocation and Organizational Sustainability. </w:t>
      </w:r>
      <w:r w:rsidRPr="000D4FA1">
        <w:rPr>
          <w:rFonts w:ascii="Times New Roman" w:eastAsia="Times New Roman" w:hAnsi="Times New Roman" w:cs="Times New Roman"/>
          <w:iCs/>
          <w:sz w:val="28"/>
          <w:szCs w:val="28"/>
          <w:lang w:eastAsia="ru-RU"/>
        </w:rPr>
        <w:t>International Journal of Education Economics</w:t>
      </w:r>
      <w:r w:rsidR="004344F5" w:rsidRPr="000D4FA1">
        <w:rPr>
          <w:rFonts w:ascii="Times New Roman" w:eastAsia="Times New Roman" w:hAnsi="Times New Roman" w:cs="Times New Roman"/>
          <w:iCs/>
          <w:sz w:val="28"/>
          <w:szCs w:val="28"/>
          <w:lang w:val="ru-RU" w:eastAsia="ru-RU"/>
        </w:rPr>
        <w:t xml:space="preserve">. </w:t>
      </w:r>
      <w:r w:rsidR="004344F5" w:rsidRPr="000D4FA1">
        <w:rPr>
          <w:rFonts w:ascii="Times New Roman" w:eastAsia="Times New Roman" w:hAnsi="Times New Roman" w:cs="Times New Roman"/>
          <w:sz w:val="28"/>
          <w:szCs w:val="28"/>
          <w:lang w:eastAsia="ru-RU"/>
        </w:rPr>
        <w:t>2018</w:t>
      </w:r>
      <w:r w:rsidR="004344F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22(3)</w:t>
      </w:r>
      <w:r w:rsidR="004344F5"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67</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80.</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Hines, P., &amp; Barton, R. Cross</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Disciplinary Approaches in Vocational Education: Human Resource Management, Pedagogy, and Economics. </w:t>
      </w:r>
      <w:r w:rsidRPr="000D4FA1">
        <w:rPr>
          <w:rFonts w:ascii="Times New Roman" w:eastAsia="Times New Roman" w:hAnsi="Times New Roman" w:cs="Times New Roman"/>
          <w:iCs/>
          <w:sz w:val="28"/>
          <w:szCs w:val="28"/>
          <w:lang w:eastAsia="ru-RU"/>
        </w:rPr>
        <w:t>Journal of Vocational Education Research</w:t>
      </w:r>
      <w:r w:rsidR="004344F5" w:rsidRPr="000D4FA1">
        <w:rPr>
          <w:rFonts w:ascii="Times New Roman" w:eastAsia="Times New Roman" w:hAnsi="Times New Roman" w:cs="Times New Roman"/>
          <w:i/>
          <w:iCs/>
          <w:sz w:val="28"/>
          <w:szCs w:val="28"/>
          <w:lang w:eastAsia="ru-RU"/>
        </w:rPr>
        <w:t xml:space="preserve">. </w:t>
      </w:r>
      <w:r w:rsidR="004344F5" w:rsidRPr="000D4FA1">
        <w:rPr>
          <w:rFonts w:ascii="Times New Roman" w:eastAsia="Times New Roman" w:hAnsi="Times New Roman" w:cs="Times New Roman"/>
          <w:sz w:val="28"/>
          <w:szCs w:val="28"/>
          <w:lang w:eastAsia="ru-RU"/>
        </w:rPr>
        <w:t>2019.</w:t>
      </w:r>
      <w:r w:rsidRPr="000D4FA1">
        <w:rPr>
          <w:rFonts w:ascii="Times New Roman" w:eastAsia="Times New Roman" w:hAnsi="Times New Roman" w:cs="Times New Roman"/>
          <w:sz w:val="28"/>
          <w:szCs w:val="28"/>
          <w:lang w:eastAsia="ru-RU"/>
        </w:rPr>
        <w:t xml:space="preserve"> 34(1)</w:t>
      </w:r>
      <w:r w:rsidR="004344F5" w:rsidRPr="000D4FA1">
        <w:rPr>
          <w:rFonts w:ascii="Times New Roman" w:eastAsia="Times New Roman" w:hAnsi="Times New Roman" w:cs="Times New Roman"/>
          <w:sz w:val="28"/>
          <w:szCs w:val="28"/>
          <w:lang w:eastAsia="ru-RU"/>
        </w:rPr>
        <w:t xml:space="preserve">. – </w:t>
      </w:r>
      <w:r w:rsidR="004344F5" w:rsidRPr="000D4FA1">
        <w:rPr>
          <w:rFonts w:ascii="Times New Roman" w:eastAsia="Times New Roman" w:hAnsi="Times New Roman" w:cs="Times New Roman"/>
          <w:sz w:val="28"/>
          <w:szCs w:val="28"/>
          <w:lang w:val="ru-RU" w:eastAsia="ru-RU"/>
        </w:rPr>
        <w:t>С</w:t>
      </w:r>
      <w:r w:rsidR="004344F5"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 15</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29.</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Barney, J. Firm Resources and Sustained Competitive Advantage. </w:t>
      </w:r>
      <w:r w:rsidRPr="000D4FA1">
        <w:rPr>
          <w:rFonts w:ascii="Times New Roman" w:eastAsia="Times New Roman" w:hAnsi="Times New Roman" w:cs="Times New Roman"/>
          <w:i/>
          <w:iCs/>
          <w:sz w:val="28"/>
          <w:szCs w:val="28"/>
          <w:lang w:eastAsia="ru-RU"/>
        </w:rPr>
        <w:t>Journal of Management</w:t>
      </w:r>
      <w:r w:rsidRPr="000D4FA1">
        <w:rPr>
          <w:rFonts w:ascii="Times New Roman" w:eastAsia="Times New Roman" w:hAnsi="Times New Roman" w:cs="Times New Roman"/>
          <w:sz w:val="28"/>
          <w:szCs w:val="28"/>
          <w:lang w:eastAsia="ru-RU"/>
        </w:rPr>
        <w:t xml:space="preserve">, </w:t>
      </w:r>
      <w:r w:rsidR="004344F5" w:rsidRPr="000D4FA1">
        <w:rPr>
          <w:rFonts w:ascii="Times New Roman" w:eastAsia="Times New Roman" w:hAnsi="Times New Roman" w:cs="Times New Roman"/>
          <w:sz w:val="28"/>
          <w:szCs w:val="28"/>
          <w:lang w:eastAsia="ru-RU"/>
        </w:rPr>
        <w:t>1991</w:t>
      </w:r>
      <w:r w:rsidR="004344F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17(1)</w:t>
      </w:r>
      <w:r w:rsidR="004344F5"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99</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120.</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 xml:space="preserve">Becker G.S. </w:t>
      </w:r>
      <w:r w:rsidRPr="000D4FA1">
        <w:rPr>
          <w:rStyle w:val="a7"/>
          <w:rFonts w:ascii="Times New Roman" w:hAnsi="Times New Roman" w:cs="Times New Roman"/>
          <w:i w:val="0"/>
          <w:sz w:val="28"/>
          <w:szCs w:val="28"/>
        </w:rPr>
        <w:t>Human Capital: A Theoretical and Empirical Analysis, with Special Reference to Education</w:t>
      </w:r>
      <w:r w:rsidRPr="000D4FA1">
        <w:rPr>
          <w:rFonts w:ascii="Times New Roman" w:hAnsi="Times New Roman" w:cs="Times New Roman"/>
          <w:sz w:val="28"/>
          <w:szCs w:val="28"/>
        </w:rPr>
        <w:t xml:space="preserve">. New York: National Bureau of Economic Research. </w:t>
      </w:r>
      <w:r w:rsidR="00481714" w:rsidRPr="000D4FA1">
        <w:rPr>
          <w:rFonts w:ascii="Times New Roman" w:hAnsi="Times New Roman" w:cs="Times New Roman"/>
          <w:sz w:val="28"/>
          <w:szCs w:val="28"/>
        </w:rPr>
        <w:t>1964.</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Schultz, T.W. Investment in Human Capital. American Economic Review</w:t>
      </w:r>
      <w:r w:rsidR="00481714"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 xml:space="preserve">1961. </w:t>
      </w:r>
      <w:r w:rsidRPr="000D4FA1">
        <w:rPr>
          <w:rFonts w:ascii="Times New Roman" w:eastAsia="Times New Roman" w:hAnsi="Times New Roman" w:cs="Times New Roman"/>
          <w:sz w:val="28"/>
          <w:szCs w:val="28"/>
          <w:lang w:eastAsia="ru-RU"/>
        </w:rPr>
        <w:t>51</w:t>
      </w:r>
      <w:r w:rsidR="00481714" w:rsidRPr="000D4FA1">
        <w:rPr>
          <w:rFonts w:ascii="Times New Roman" w:eastAsia="Times New Roman" w:hAnsi="Times New Roman" w:cs="Times New Roman"/>
          <w:sz w:val="28"/>
          <w:szCs w:val="28"/>
          <w:lang w:eastAsia="ru-RU"/>
        </w:rPr>
        <w:t xml:space="preserve">. – </w:t>
      </w:r>
      <w:r w:rsidR="00481714" w:rsidRPr="000D4FA1">
        <w:rPr>
          <w:rFonts w:ascii="Times New Roman" w:eastAsia="Times New Roman" w:hAnsi="Times New Roman" w:cs="Times New Roman"/>
          <w:sz w:val="28"/>
          <w:szCs w:val="28"/>
          <w:lang w:val="ru-RU" w:eastAsia="ru-RU"/>
        </w:rPr>
        <w:t>С</w:t>
      </w:r>
      <w:r w:rsidR="00481714"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17. </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Kaplan, R. S., &amp; Norton, D. P. </w:t>
      </w:r>
      <w:r w:rsidRPr="000D4FA1">
        <w:rPr>
          <w:rFonts w:ascii="Times New Roman" w:eastAsia="Times New Roman" w:hAnsi="Times New Roman" w:cs="Times New Roman"/>
          <w:iCs/>
          <w:sz w:val="28"/>
          <w:szCs w:val="28"/>
          <w:lang w:eastAsia="ru-RU"/>
        </w:rPr>
        <w:t>Strategy Maps: Converting Intangible Assets into Tangible Outcomes</w:t>
      </w:r>
      <w:r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sz w:val="28"/>
          <w:szCs w:val="28"/>
          <w:lang w:val="ru-RU" w:eastAsia="ru-RU"/>
        </w:rPr>
        <w:t>Harvard Business Press.</w:t>
      </w:r>
      <w:r w:rsidR="00481714" w:rsidRPr="000D4FA1">
        <w:rPr>
          <w:rFonts w:ascii="Times New Roman" w:eastAsia="Times New Roman" w:hAnsi="Times New Roman" w:cs="Times New Roman"/>
          <w:sz w:val="28"/>
          <w:szCs w:val="28"/>
          <w:lang w:eastAsia="ru-RU"/>
        </w:rPr>
        <w:t xml:space="preserve"> 2004</w:t>
      </w:r>
      <w:r w:rsidR="00481714" w:rsidRPr="000D4FA1">
        <w:rPr>
          <w:rFonts w:ascii="Times New Roman" w:eastAsia="Times New Roman" w:hAnsi="Times New Roman" w:cs="Times New Roman"/>
          <w:sz w:val="28"/>
          <w:szCs w:val="28"/>
          <w:lang w:val="ru-RU" w:eastAsia="ru-RU"/>
        </w:rPr>
        <w:t>.</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Becker, G. </w:t>
      </w:r>
      <w:r w:rsidRPr="000D4FA1">
        <w:rPr>
          <w:rFonts w:ascii="Times New Roman" w:eastAsia="Times New Roman" w:hAnsi="Times New Roman" w:cs="Times New Roman"/>
          <w:iCs/>
          <w:sz w:val="28"/>
          <w:szCs w:val="28"/>
          <w:lang w:eastAsia="ru-RU"/>
        </w:rPr>
        <w:t>Human Capital: A Theoretical and Empirical Analysis with Special Reference to Education</w:t>
      </w:r>
      <w:r w:rsidRPr="000D4FA1">
        <w:rPr>
          <w:rFonts w:ascii="Times New Roman" w:eastAsia="Times New Roman" w:hAnsi="Times New Roman" w:cs="Times New Roman"/>
          <w:sz w:val="28"/>
          <w:szCs w:val="28"/>
          <w:lang w:eastAsia="ru-RU"/>
        </w:rPr>
        <w:t>. University of Chicago Press.</w:t>
      </w:r>
      <w:r w:rsidR="00481714" w:rsidRPr="000D4FA1">
        <w:rPr>
          <w:rFonts w:ascii="Times New Roman" w:eastAsia="Times New Roman" w:hAnsi="Times New Roman" w:cs="Times New Roman"/>
          <w:sz w:val="28"/>
          <w:szCs w:val="28"/>
          <w:lang w:eastAsia="ru-RU"/>
        </w:rPr>
        <w:t xml:space="preserve"> 1993</w:t>
      </w:r>
      <w:r w:rsidR="00481714" w:rsidRPr="000D4FA1">
        <w:rPr>
          <w:rFonts w:ascii="Times New Roman" w:eastAsia="Times New Roman" w:hAnsi="Times New Roman" w:cs="Times New Roman"/>
          <w:sz w:val="28"/>
          <w:szCs w:val="28"/>
          <w:lang w:val="ru-RU" w:eastAsia="ru-RU"/>
        </w:rPr>
        <w:t>.</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Amabile, T. M. Creativity and Innovation in Organizations. </w:t>
      </w:r>
      <w:r w:rsidRPr="000D4FA1">
        <w:rPr>
          <w:rFonts w:ascii="Times New Roman" w:eastAsia="Times New Roman" w:hAnsi="Times New Roman" w:cs="Times New Roman"/>
          <w:iCs/>
          <w:sz w:val="28"/>
          <w:szCs w:val="28"/>
          <w:lang w:eastAsia="ru-RU"/>
        </w:rPr>
        <w:t>Harvard Business School Publishing</w:t>
      </w:r>
      <w:r w:rsidR="00481714" w:rsidRPr="000D4FA1">
        <w:rPr>
          <w:rFonts w:ascii="Times New Roman" w:eastAsia="Times New Roman" w:hAnsi="Times New Roman" w:cs="Times New Roman"/>
          <w:iCs/>
          <w:sz w:val="28"/>
          <w:szCs w:val="28"/>
          <w:lang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 xml:space="preserve">1996. </w:t>
      </w:r>
      <w:r w:rsidRPr="000D4FA1">
        <w:rPr>
          <w:rFonts w:ascii="Times New Roman" w:eastAsia="Times New Roman" w:hAnsi="Times New Roman" w:cs="Times New Roman"/>
          <w:sz w:val="28"/>
          <w:szCs w:val="28"/>
          <w:lang w:eastAsia="ru-RU"/>
        </w:rPr>
        <w:t>4(2)</w:t>
      </w:r>
      <w:r w:rsidR="00481714" w:rsidRPr="000D4FA1">
        <w:rPr>
          <w:rFonts w:ascii="Times New Roman" w:eastAsia="Times New Roman" w:hAnsi="Times New Roman" w:cs="Times New Roman"/>
          <w:sz w:val="28"/>
          <w:szCs w:val="28"/>
          <w:lang w:eastAsia="ru-RU"/>
        </w:rPr>
        <w:t xml:space="preserve">. – </w:t>
      </w:r>
      <w:r w:rsidR="00481714" w:rsidRPr="000D4FA1">
        <w:rPr>
          <w:rFonts w:ascii="Times New Roman" w:eastAsia="Times New Roman" w:hAnsi="Times New Roman" w:cs="Times New Roman"/>
          <w:sz w:val="28"/>
          <w:szCs w:val="28"/>
          <w:lang w:val="ru-RU" w:eastAsia="ru-RU"/>
        </w:rPr>
        <w:t>С</w:t>
      </w:r>
      <w:r w:rsidRPr="000D4FA1">
        <w:rPr>
          <w:rFonts w:ascii="Times New Roman" w:eastAsia="Times New Roman" w:hAnsi="Times New Roman" w:cs="Times New Roman"/>
          <w:sz w:val="28"/>
          <w:szCs w:val="28"/>
          <w:lang w:eastAsia="ru-RU"/>
        </w:rPr>
        <w:t xml:space="preserve"> 19</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32.</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Deci, E. L., &amp; Ryan, R. M. </w:t>
      </w:r>
      <w:r w:rsidRPr="000D4FA1">
        <w:rPr>
          <w:rFonts w:ascii="Times New Roman" w:eastAsia="Times New Roman" w:hAnsi="Times New Roman" w:cs="Times New Roman"/>
          <w:iCs/>
          <w:sz w:val="28"/>
          <w:szCs w:val="28"/>
          <w:lang w:eastAsia="ru-RU"/>
        </w:rPr>
        <w:t>Self</w:t>
      </w:r>
      <w:r w:rsidR="007B767F" w:rsidRPr="000D4FA1">
        <w:rPr>
          <w:rFonts w:ascii="Times New Roman" w:eastAsia="Times New Roman" w:hAnsi="Times New Roman" w:cs="Times New Roman"/>
          <w:iCs/>
          <w:sz w:val="28"/>
          <w:szCs w:val="28"/>
          <w:lang w:eastAsia="ru-RU"/>
        </w:rPr>
        <w:t>–</w:t>
      </w:r>
      <w:r w:rsidRPr="000D4FA1">
        <w:rPr>
          <w:rFonts w:ascii="Times New Roman" w:eastAsia="Times New Roman" w:hAnsi="Times New Roman" w:cs="Times New Roman"/>
          <w:iCs/>
          <w:sz w:val="28"/>
          <w:szCs w:val="28"/>
          <w:lang w:eastAsia="ru-RU"/>
        </w:rPr>
        <w:t>Determination Theory: Motivation, Development, and Wellness</w:t>
      </w:r>
      <w:r w:rsidRPr="000D4FA1">
        <w:rPr>
          <w:rFonts w:ascii="Times New Roman" w:eastAsia="Times New Roman" w:hAnsi="Times New Roman" w:cs="Times New Roman"/>
          <w:sz w:val="28"/>
          <w:szCs w:val="28"/>
          <w:lang w:eastAsia="ru-RU"/>
        </w:rPr>
        <w:t>. Yale University Press.</w:t>
      </w:r>
      <w:r w:rsidR="00481714" w:rsidRPr="000D4FA1">
        <w:rPr>
          <w:rFonts w:ascii="Times New Roman" w:eastAsia="Times New Roman" w:hAnsi="Times New Roman" w:cs="Times New Roman"/>
          <w:sz w:val="28"/>
          <w:szCs w:val="28"/>
          <w:lang w:eastAsia="ru-RU"/>
        </w:rPr>
        <w:t xml:space="preserve"> 2000</w:t>
      </w:r>
      <w:r w:rsidR="00481714" w:rsidRPr="000D4FA1">
        <w:rPr>
          <w:rFonts w:ascii="Times New Roman" w:eastAsia="Times New Roman" w:hAnsi="Times New Roman" w:cs="Times New Roman"/>
          <w:sz w:val="28"/>
          <w:szCs w:val="28"/>
          <w:lang w:val="ru-RU" w:eastAsia="ru-RU"/>
        </w:rPr>
        <w:t xml:space="preserve">. </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Robertson, I. T., &amp; Cooper, C. L.</w:t>
      </w:r>
      <w:r w:rsidR="00481714"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sz w:val="28"/>
          <w:szCs w:val="28"/>
          <w:lang w:eastAsia="ru-RU"/>
        </w:rPr>
        <w:t>Full engagement: The integration of employee engagement and psychological well</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being. </w:t>
      </w:r>
      <w:r w:rsidRPr="000D4FA1">
        <w:rPr>
          <w:rFonts w:ascii="Times New Roman" w:eastAsia="Times New Roman" w:hAnsi="Times New Roman" w:cs="Times New Roman"/>
          <w:iCs/>
          <w:sz w:val="28"/>
          <w:szCs w:val="28"/>
          <w:lang w:eastAsia="ru-RU"/>
        </w:rPr>
        <w:t>Leadership &amp; Organization Development Journal</w:t>
      </w:r>
      <w:r w:rsidR="00481714" w:rsidRPr="000D4FA1">
        <w:rPr>
          <w:rFonts w:ascii="Times New Roman" w:eastAsia="Times New Roman" w:hAnsi="Times New Roman" w:cs="Times New Roman"/>
          <w:iCs/>
          <w:sz w:val="28"/>
          <w:szCs w:val="28"/>
          <w:lang w:val="ru-RU"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2010</w:t>
      </w:r>
      <w:r w:rsidR="00481714"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31(4)</w:t>
      </w:r>
      <w:r w:rsidR="00481714"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324</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336.</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Pfeffer, J. </w:t>
      </w:r>
      <w:r w:rsidRPr="000D4FA1">
        <w:rPr>
          <w:rFonts w:ascii="Times New Roman" w:eastAsia="Times New Roman" w:hAnsi="Times New Roman" w:cs="Times New Roman"/>
          <w:iCs/>
          <w:sz w:val="28"/>
          <w:szCs w:val="28"/>
          <w:lang w:eastAsia="ru-RU"/>
        </w:rPr>
        <w:t>The Human Equation: Building Profits by Putting People First</w:t>
      </w:r>
      <w:r w:rsidRPr="000D4FA1">
        <w:rPr>
          <w:rFonts w:ascii="Times New Roman" w:eastAsia="Times New Roman" w:hAnsi="Times New Roman" w:cs="Times New Roman"/>
          <w:sz w:val="28"/>
          <w:szCs w:val="28"/>
          <w:lang w:eastAsia="ru-RU"/>
        </w:rPr>
        <w:t>. Harvard Business School Press.</w:t>
      </w:r>
      <w:r w:rsidR="00481714" w:rsidRPr="000D4FA1">
        <w:rPr>
          <w:rFonts w:ascii="Times New Roman" w:eastAsia="Times New Roman" w:hAnsi="Times New Roman" w:cs="Times New Roman"/>
          <w:sz w:val="28"/>
          <w:szCs w:val="28"/>
          <w:lang w:eastAsia="ru-RU"/>
        </w:rPr>
        <w:t xml:space="preserve"> 1998</w:t>
      </w:r>
      <w:r w:rsidR="00481714" w:rsidRPr="000D4FA1">
        <w:rPr>
          <w:rFonts w:ascii="Times New Roman" w:eastAsia="Times New Roman" w:hAnsi="Times New Roman" w:cs="Times New Roman"/>
          <w:sz w:val="28"/>
          <w:szCs w:val="28"/>
          <w:lang w:val="ru-RU" w:eastAsia="ru-RU"/>
        </w:rPr>
        <w:t>.</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Armstrong, M. </w:t>
      </w:r>
      <w:r w:rsidRPr="000D4FA1">
        <w:rPr>
          <w:rFonts w:ascii="Times New Roman" w:eastAsia="Times New Roman" w:hAnsi="Times New Roman" w:cs="Times New Roman"/>
          <w:iCs/>
          <w:sz w:val="28"/>
          <w:szCs w:val="28"/>
          <w:lang w:eastAsia="ru-RU"/>
        </w:rPr>
        <w:t>Armstrong's Handbook of Human Resource Management Practice</w:t>
      </w:r>
      <w:r w:rsidRPr="000D4FA1">
        <w:rPr>
          <w:rFonts w:ascii="Times New Roman" w:eastAsia="Times New Roman" w:hAnsi="Times New Roman" w:cs="Times New Roman"/>
          <w:sz w:val="28"/>
          <w:szCs w:val="28"/>
          <w:lang w:eastAsia="ru-RU"/>
        </w:rPr>
        <w:t>. Kogan Page Publishers.</w:t>
      </w:r>
      <w:r w:rsidR="00481714" w:rsidRPr="000D4FA1">
        <w:rPr>
          <w:rFonts w:ascii="Times New Roman" w:eastAsia="Times New Roman" w:hAnsi="Times New Roman" w:cs="Times New Roman"/>
          <w:sz w:val="28"/>
          <w:szCs w:val="28"/>
          <w:lang w:eastAsia="ru-RU"/>
        </w:rPr>
        <w:t xml:space="preserve"> 2012</w:t>
      </w:r>
      <w:r w:rsidR="00481714" w:rsidRPr="000D4FA1">
        <w:rPr>
          <w:rFonts w:ascii="Times New Roman" w:eastAsia="Times New Roman" w:hAnsi="Times New Roman" w:cs="Times New Roman"/>
          <w:sz w:val="28"/>
          <w:szCs w:val="28"/>
          <w:lang w:val="ru-RU" w:eastAsia="ru-RU"/>
        </w:rPr>
        <w:t xml:space="preserve">. </w:t>
      </w:r>
    </w:p>
    <w:p w:rsidR="004344F5"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Barney, J.</w:t>
      </w:r>
      <w:r w:rsidR="00481714"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sz w:val="28"/>
          <w:szCs w:val="28"/>
          <w:lang w:eastAsia="ru-RU"/>
        </w:rPr>
        <w:t>Firm Resources and Sustained Competitive Advantage. Journal of Management</w:t>
      </w:r>
      <w:r w:rsidR="00481714"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1991</w:t>
      </w:r>
      <w:r w:rsidR="00481714"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17(1)</w:t>
      </w:r>
      <w:r w:rsidR="00481714"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99</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120.</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Abishev G.</w:t>
      </w:r>
      <w:r w:rsidRPr="000D4FA1">
        <w:rPr>
          <w:rFonts w:ascii="Times New Roman" w:eastAsia="Times New Roman" w:hAnsi="Times New Roman" w:cs="Times New Roman"/>
          <w:sz w:val="28"/>
          <w:szCs w:val="28"/>
          <w:lang w:eastAsia="ru-RU"/>
        </w:rPr>
        <w:t xml:space="preserve"> &amp;</w:t>
      </w:r>
      <w:r w:rsidRPr="000D4FA1">
        <w:rPr>
          <w:rFonts w:ascii="Times New Roman" w:hAnsi="Times New Roman" w:cs="Times New Roman"/>
          <w:sz w:val="28"/>
          <w:szCs w:val="28"/>
        </w:rPr>
        <w:t xml:space="preserve"> Zhakenova K. Human resources as a strategic factor of adaptation and resilience of medical colleges to external challenges. The scientific heritage</w:t>
      </w:r>
      <w:r w:rsidR="00FB27FF" w:rsidRPr="000D4FA1">
        <w:rPr>
          <w:rFonts w:ascii="Times New Roman" w:hAnsi="Times New Roman" w:cs="Times New Roman"/>
          <w:sz w:val="28"/>
          <w:szCs w:val="28"/>
        </w:rPr>
        <w:t>. 2025.</w:t>
      </w:r>
      <w:r w:rsidRPr="000D4FA1">
        <w:rPr>
          <w:rFonts w:ascii="Times New Roman" w:hAnsi="Times New Roman" w:cs="Times New Roman"/>
          <w:sz w:val="28"/>
          <w:szCs w:val="28"/>
        </w:rPr>
        <w:t xml:space="preserve"> No 167</w:t>
      </w:r>
      <w:r w:rsidR="00FB27FF" w:rsidRPr="000D4FA1">
        <w:rPr>
          <w:rFonts w:ascii="Times New Roman" w:hAnsi="Times New Roman" w:cs="Times New Roman"/>
          <w:sz w:val="28"/>
          <w:szCs w:val="28"/>
        </w:rPr>
        <w:t>.</w:t>
      </w:r>
      <w:r w:rsidRPr="000D4FA1">
        <w:rPr>
          <w:rFonts w:ascii="Times New Roman" w:hAnsi="Times New Roman" w:cs="Times New Roman"/>
          <w:sz w:val="28"/>
          <w:szCs w:val="28"/>
        </w:rPr>
        <w:t xml:space="preserve"> 41</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 xml:space="preserve">46 p. </w:t>
      </w:r>
      <w:hyperlink r:id="rId62" w:history="1">
        <w:r w:rsidRPr="000D4FA1">
          <w:rPr>
            <w:rStyle w:val="af7"/>
            <w:rFonts w:ascii="Times New Roman" w:hAnsi="Times New Roman" w:cs="Times New Roman"/>
            <w:sz w:val="28"/>
            <w:szCs w:val="28"/>
          </w:rPr>
          <w:t>https://www.scientific</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heritage.com/wp</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content/uploads/2025/08/The</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scientific</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heritage</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No</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167</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167</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2025.pdf</w:t>
        </w:r>
      </w:hyperlink>
      <w:r w:rsidRPr="000D4FA1">
        <w:rPr>
          <w:rFonts w:ascii="Times New Roman" w:hAnsi="Times New Roman" w:cs="Times New Roman"/>
          <w:sz w:val="28"/>
          <w:szCs w:val="28"/>
        </w:rPr>
        <w:t xml:space="preserve"> </w:t>
      </w:r>
      <w:r w:rsidR="004344F5" w:rsidRPr="000D4FA1">
        <w:rPr>
          <w:rFonts w:ascii="Times New Roman" w:hAnsi="Times New Roman" w:cs="Times New Roman"/>
          <w:sz w:val="28"/>
          <w:szCs w:val="28"/>
        </w:rPr>
        <w:t xml:space="preserve"> </w:t>
      </w:r>
      <w:r w:rsidR="004344F5" w:rsidRPr="000D4FA1">
        <w:rPr>
          <w:rFonts w:ascii="Times New Roman" w:eastAsia="Times New Roman" w:hAnsi="Times New Roman" w:cs="Times New Roman"/>
          <w:sz w:val="28"/>
          <w:szCs w:val="28"/>
          <w:lang w:eastAsia="ru-RU"/>
        </w:rPr>
        <w:t>(</w:t>
      </w:r>
      <w:r w:rsidR="004344F5" w:rsidRPr="000D4FA1">
        <w:rPr>
          <w:rFonts w:ascii="Times New Roman" w:eastAsia="Times New Roman" w:hAnsi="Times New Roman" w:cs="Times New Roman"/>
          <w:sz w:val="28"/>
          <w:szCs w:val="28"/>
          <w:lang w:val="ru-RU" w:eastAsia="ru-RU"/>
        </w:rPr>
        <w:t>дата</w:t>
      </w:r>
      <w:r w:rsidR="004344F5" w:rsidRPr="000D4FA1">
        <w:rPr>
          <w:rFonts w:ascii="Times New Roman" w:eastAsia="Times New Roman" w:hAnsi="Times New Roman" w:cs="Times New Roman"/>
          <w:sz w:val="28"/>
          <w:szCs w:val="28"/>
          <w:lang w:eastAsia="ru-RU"/>
        </w:rPr>
        <w:t xml:space="preserve"> </w:t>
      </w:r>
      <w:r w:rsidR="004344F5" w:rsidRPr="000D4FA1">
        <w:rPr>
          <w:rFonts w:ascii="Times New Roman" w:eastAsia="Times New Roman" w:hAnsi="Times New Roman" w:cs="Times New Roman"/>
          <w:sz w:val="28"/>
          <w:szCs w:val="28"/>
          <w:lang w:val="ru-RU" w:eastAsia="ru-RU"/>
        </w:rPr>
        <w:t>обращения</w:t>
      </w:r>
      <w:r w:rsidR="004344F5" w:rsidRPr="000D4FA1">
        <w:rPr>
          <w:rFonts w:ascii="Times New Roman" w:eastAsia="Times New Roman" w:hAnsi="Times New Roman" w:cs="Times New Roman"/>
          <w:sz w:val="28"/>
          <w:szCs w:val="28"/>
          <w:lang w:eastAsia="ru-RU"/>
        </w:rPr>
        <w:t xml:space="preserve"> 0</w:t>
      </w:r>
      <w:r w:rsidR="00FB27FF" w:rsidRPr="000D4FA1">
        <w:rPr>
          <w:rFonts w:ascii="Times New Roman" w:eastAsia="Times New Roman" w:hAnsi="Times New Roman" w:cs="Times New Roman"/>
          <w:sz w:val="28"/>
          <w:szCs w:val="28"/>
          <w:lang w:eastAsia="ru-RU"/>
        </w:rPr>
        <w:t>8</w:t>
      </w:r>
      <w:r w:rsidR="004344F5" w:rsidRPr="000D4FA1">
        <w:rPr>
          <w:rFonts w:ascii="Times New Roman" w:eastAsia="Times New Roman" w:hAnsi="Times New Roman" w:cs="Times New Roman"/>
          <w:sz w:val="28"/>
          <w:szCs w:val="28"/>
          <w:lang w:eastAsia="ru-RU"/>
        </w:rPr>
        <w:t>.01.2026).</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Berger, D., &amp; Lux, C. The Role of Adaptability in Organizational Sustainability: Lessons from Educational Institutions. Journal of Organizational Change Management</w:t>
      </w:r>
      <w:r w:rsidR="00481714"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2015</w:t>
      </w:r>
      <w:r w:rsidR="00481714"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28(5)</w:t>
      </w:r>
      <w:r w:rsidR="00481714"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754</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770.</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Mitchell, J., &amp; Hall, G. Organizational Sustainability in Higher and Vocational Education. Sustainability Journal</w:t>
      </w:r>
      <w:r w:rsidR="00481714"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481714" w:rsidRPr="000D4FA1">
        <w:rPr>
          <w:rFonts w:ascii="Times New Roman" w:eastAsia="Times New Roman" w:hAnsi="Times New Roman" w:cs="Times New Roman"/>
          <w:sz w:val="28"/>
          <w:szCs w:val="28"/>
          <w:lang w:eastAsia="ru-RU"/>
        </w:rPr>
        <w:t>2018</w:t>
      </w:r>
      <w:r w:rsidR="00481714"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10(7)</w:t>
      </w:r>
      <w:r w:rsidR="00481714" w:rsidRPr="000D4FA1">
        <w:rPr>
          <w:rFonts w:ascii="Times New Roman" w:eastAsia="Times New Roman" w:hAnsi="Times New Roman" w:cs="Times New Roman"/>
          <w:sz w:val="28"/>
          <w:szCs w:val="28"/>
          <w:lang w:val="ru-RU" w:eastAsia="ru-RU"/>
        </w:rPr>
        <w:t xml:space="preserve">. – С. </w:t>
      </w:r>
      <w:r w:rsidRPr="000D4FA1">
        <w:rPr>
          <w:rFonts w:ascii="Times New Roman" w:eastAsia="Times New Roman" w:hAnsi="Times New Roman" w:cs="Times New Roman"/>
          <w:sz w:val="28"/>
          <w:szCs w:val="28"/>
          <w:lang w:eastAsia="ru-RU"/>
        </w:rPr>
        <w:t>10</w:t>
      </w:r>
      <w:r w:rsidR="00481714"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19.</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val="ru-RU" w:eastAsia="ru-RU"/>
        </w:rPr>
        <w:t>Гарипов Р.И.</w:t>
      </w:r>
      <w:r w:rsidRPr="000D4FA1">
        <w:rPr>
          <w:rFonts w:ascii="Times New Roman" w:eastAsia="Times New Roman" w:hAnsi="Times New Roman" w:cs="Times New Roman"/>
          <w:b/>
          <w:bCs/>
          <w:sz w:val="28"/>
          <w:szCs w:val="28"/>
          <w:lang w:val="ru-RU" w:eastAsia="ru-RU"/>
        </w:rPr>
        <w:t xml:space="preserve"> </w:t>
      </w:r>
      <w:r w:rsidRPr="000D4FA1">
        <w:rPr>
          <w:rFonts w:ascii="Times New Roman" w:eastAsia="Times New Roman" w:hAnsi="Times New Roman" w:cs="Times New Roman"/>
          <w:iCs/>
          <w:sz w:val="28"/>
          <w:szCs w:val="28"/>
          <w:lang w:val="ru-RU" w:eastAsia="ru-RU"/>
        </w:rPr>
        <w:t>Устойчивое развитие образовательной организации на основе управления стратегическим потенциалом</w:t>
      </w:r>
      <w:r w:rsidRPr="000D4FA1">
        <w:rPr>
          <w:rFonts w:ascii="Times New Roman" w:eastAsia="Times New Roman" w:hAnsi="Times New Roman" w:cs="Times New Roman"/>
          <w:sz w:val="28"/>
          <w:szCs w:val="28"/>
          <w:lang w:val="ru-RU" w:eastAsia="ru-RU"/>
        </w:rPr>
        <w:br/>
      </w:r>
      <w:hyperlink r:id="rId63" w:history="1">
        <w:r w:rsidRPr="000D4FA1">
          <w:rPr>
            <w:rStyle w:val="af7"/>
            <w:rFonts w:ascii="Times New Roman" w:eastAsia="Times New Roman" w:hAnsi="Times New Roman" w:cs="Times New Roman"/>
            <w:sz w:val="28"/>
            <w:szCs w:val="28"/>
            <w:lang w:val="ru-RU" w:eastAsia="ru-RU"/>
          </w:rPr>
          <w:t>https://cyberleninka.ru/article/n/ustoychivoe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razvitie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obrazovatelnoy</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organizatsii</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lastRenderedPageBreak/>
          <w:t>na</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osnove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upravleniya</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strategicheskim</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potentsialom/viewer</w:t>
        </w:r>
      </w:hyperlink>
      <w:r w:rsidR="00FB27FF" w:rsidRPr="000D4FA1">
        <w:rPr>
          <w:rStyle w:val="af7"/>
          <w:rFonts w:ascii="Times New Roman" w:eastAsia="Times New Roman" w:hAnsi="Times New Roman" w:cs="Times New Roman"/>
          <w:sz w:val="28"/>
          <w:szCs w:val="28"/>
          <w:lang w:val="ru-RU" w:eastAsia="ru-RU"/>
        </w:rPr>
        <w:t xml:space="preserve"> </w:t>
      </w:r>
      <w:r w:rsidR="00FB27FF" w:rsidRPr="000D4FA1">
        <w:rPr>
          <w:rFonts w:ascii="Times New Roman" w:eastAsia="Times New Roman" w:hAnsi="Times New Roman" w:cs="Times New Roman"/>
          <w:sz w:val="28"/>
          <w:szCs w:val="28"/>
          <w:lang w:val="ru-RU" w:eastAsia="ru-RU"/>
        </w:rPr>
        <w:t>(дата обращения 10.03.2025).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iCs/>
          <w:sz w:val="28"/>
          <w:szCs w:val="28"/>
          <w:lang w:val="ru-RU" w:eastAsia="ru-RU"/>
        </w:rPr>
        <w:t>Котлярова И.О. Устойчивость развития непрерывного образования: тенденция и проблемы // Вестник ЮУрГУ. Серия «Образование. Педагогические науки». 2024. Т. 16, № 2. С. 5–16. DOI: 10.14529/ped240201</w:t>
      </w:r>
      <w:r w:rsidR="00DF600D" w:rsidRPr="000D4FA1">
        <w:rPr>
          <w:rFonts w:ascii="Times New Roman" w:eastAsia="Times New Roman" w:hAnsi="Times New Roman" w:cs="Times New Roman"/>
          <w:iCs/>
          <w:sz w:val="28"/>
          <w:szCs w:val="28"/>
          <w:lang w:val="ru-RU" w:eastAsia="ru-RU"/>
        </w:rPr>
        <w:t xml:space="preserve">  </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iCs/>
          <w:sz w:val="28"/>
          <w:szCs w:val="28"/>
          <w:lang w:val="ru-RU" w:eastAsia="ru-RU"/>
        </w:rPr>
        <w:t>Михайлов, А. А. Адаптация системы образования Российской Федерации к современным вызовам / А. А. Михайлов. – Текст: непосредственный // Молодой ученый. – 2025. — № 5 (556). – С. 165</w:t>
      </w:r>
      <w:r w:rsidR="007B767F" w:rsidRPr="000D4FA1">
        <w:rPr>
          <w:rFonts w:ascii="Times New Roman" w:eastAsia="Times New Roman" w:hAnsi="Times New Roman" w:cs="Times New Roman"/>
          <w:iCs/>
          <w:sz w:val="28"/>
          <w:szCs w:val="28"/>
          <w:lang w:val="ru-RU" w:eastAsia="ru-RU"/>
        </w:rPr>
        <w:t>–</w:t>
      </w:r>
      <w:r w:rsidRPr="000D4FA1">
        <w:rPr>
          <w:rFonts w:ascii="Times New Roman" w:eastAsia="Times New Roman" w:hAnsi="Times New Roman" w:cs="Times New Roman"/>
          <w:iCs/>
          <w:sz w:val="28"/>
          <w:szCs w:val="28"/>
          <w:lang w:val="ru-RU" w:eastAsia="ru-RU"/>
        </w:rPr>
        <w:t xml:space="preserve">171. – URL: </w:t>
      </w:r>
      <w:hyperlink r:id="rId64" w:history="1">
        <w:r w:rsidRPr="000D4FA1">
          <w:rPr>
            <w:rStyle w:val="af7"/>
            <w:rFonts w:ascii="Times New Roman" w:eastAsia="Times New Roman" w:hAnsi="Times New Roman" w:cs="Times New Roman"/>
            <w:iCs/>
            <w:sz w:val="28"/>
            <w:szCs w:val="28"/>
            <w:lang w:val="ru-RU" w:eastAsia="ru-RU"/>
          </w:rPr>
          <w:t>https://moluch.ru/archive/556/122269</w:t>
        </w:r>
      </w:hyperlink>
      <w:r w:rsidRPr="000D4FA1">
        <w:rPr>
          <w:rFonts w:ascii="Times New Roman" w:eastAsia="Times New Roman" w:hAnsi="Times New Roman" w:cs="Times New Roman"/>
          <w:iCs/>
          <w:sz w:val="28"/>
          <w:szCs w:val="28"/>
          <w:lang w:val="ru-RU" w:eastAsia="ru-RU"/>
        </w:rPr>
        <w:t xml:space="preserve"> </w:t>
      </w:r>
      <w:r w:rsidR="00FB27FF" w:rsidRPr="000D4FA1">
        <w:rPr>
          <w:rFonts w:ascii="Times New Roman" w:eastAsia="Times New Roman" w:hAnsi="Times New Roman" w:cs="Times New Roman"/>
          <w:iCs/>
          <w:sz w:val="28"/>
          <w:szCs w:val="28"/>
          <w:lang w:val="ru-RU" w:eastAsia="ru-RU"/>
        </w:rPr>
        <w:t xml:space="preserve"> </w:t>
      </w:r>
      <w:r w:rsidR="00FB27FF" w:rsidRPr="000D4FA1">
        <w:rPr>
          <w:rFonts w:ascii="Times New Roman" w:eastAsia="Times New Roman" w:hAnsi="Times New Roman" w:cs="Times New Roman"/>
          <w:sz w:val="28"/>
          <w:szCs w:val="28"/>
          <w:lang w:val="ru-RU" w:eastAsia="ru-RU"/>
        </w:rPr>
        <w:t>(дата обращения 18.05.2025).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iCs/>
          <w:sz w:val="28"/>
          <w:szCs w:val="28"/>
          <w:lang w:eastAsia="ru-RU"/>
        </w:rPr>
        <w:t xml:space="preserve">Mykola Kovalenko, Oksana Lomonosova, Alla Rusnak. Strategies and technologies of adaptive management of higher education institutions in a rapidly changing external environment. Baltic Journal of Economic Studies. Vol. 7 No. 2, 2021 DOI: </w:t>
      </w:r>
      <w:hyperlink r:id="rId65" w:history="1">
        <w:r w:rsidRPr="000D4FA1">
          <w:rPr>
            <w:rStyle w:val="af7"/>
            <w:rFonts w:ascii="Times New Roman" w:eastAsia="Times New Roman" w:hAnsi="Times New Roman" w:cs="Times New Roman"/>
            <w:iCs/>
            <w:sz w:val="28"/>
            <w:szCs w:val="28"/>
            <w:lang w:eastAsia="ru-RU"/>
          </w:rPr>
          <w:t>https://doi.org/10.30525/2256</w:t>
        </w:r>
        <w:r w:rsidR="007B767F" w:rsidRPr="000D4FA1">
          <w:rPr>
            <w:rStyle w:val="af7"/>
            <w:rFonts w:ascii="Times New Roman" w:eastAsia="Times New Roman" w:hAnsi="Times New Roman" w:cs="Times New Roman"/>
            <w:iCs/>
            <w:sz w:val="28"/>
            <w:szCs w:val="28"/>
            <w:lang w:eastAsia="ru-RU"/>
          </w:rPr>
          <w:t>–</w:t>
        </w:r>
        <w:r w:rsidRPr="000D4FA1">
          <w:rPr>
            <w:rStyle w:val="af7"/>
            <w:rFonts w:ascii="Times New Roman" w:eastAsia="Times New Roman" w:hAnsi="Times New Roman" w:cs="Times New Roman"/>
            <w:iCs/>
            <w:sz w:val="28"/>
            <w:szCs w:val="28"/>
            <w:lang w:eastAsia="ru-RU"/>
          </w:rPr>
          <w:t>0742/2021</w:t>
        </w:r>
        <w:r w:rsidR="007B767F" w:rsidRPr="000D4FA1">
          <w:rPr>
            <w:rStyle w:val="af7"/>
            <w:rFonts w:ascii="Times New Roman" w:eastAsia="Times New Roman" w:hAnsi="Times New Roman" w:cs="Times New Roman"/>
            <w:iCs/>
            <w:sz w:val="28"/>
            <w:szCs w:val="28"/>
            <w:lang w:eastAsia="ru-RU"/>
          </w:rPr>
          <w:t>–</w:t>
        </w:r>
        <w:r w:rsidRPr="000D4FA1">
          <w:rPr>
            <w:rStyle w:val="af7"/>
            <w:rFonts w:ascii="Times New Roman" w:eastAsia="Times New Roman" w:hAnsi="Times New Roman" w:cs="Times New Roman"/>
            <w:iCs/>
            <w:sz w:val="28"/>
            <w:szCs w:val="28"/>
            <w:lang w:eastAsia="ru-RU"/>
          </w:rPr>
          <w:t>7</w:t>
        </w:r>
        <w:r w:rsidR="007B767F" w:rsidRPr="000D4FA1">
          <w:rPr>
            <w:rStyle w:val="af7"/>
            <w:rFonts w:ascii="Times New Roman" w:eastAsia="Times New Roman" w:hAnsi="Times New Roman" w:cs="Times New Roman"/>
            <w:iCs/>
            <w:sz w:val="28"/>
            <w:szCs w:val="28"/>
            <w:lang w:eastAsia="ru-RU"/>
          </w:rPr>
          <w:t>–</w:t>
        </w:r>
        <w:r w:rsidRPr="000D4FA1">
          <w:rPr>
            <w:rStyle w:val="af7"/>
            <w:rFonts w:ascii="Times New Roman" w:eastAsia="Times New Roman" w:hAnsi="Times New Roman" w:cs="Times New Roman"/>
            <w:iCs/>
            <w:sz w:val="28"/>
            <w:szCs w:val="28"/>
            <w:lang w:eastAsia="ru-RU"/>
          </w:rPr>
          <w:t>2</w:t>
        </w:r>
        <w:r w:rsidR="007B767F" w:rsidRPr="000D4FA1">
          <w:rPr>
            <w:rStyle w:val="af7"/>
            <w:rFonts w:ascii="Times New Roman" w:eastAsia="Times New Roman" w:hAnsi="Times New Roman" w:cs="Times New Roman"/>
            <w:iCs/>
            <w:sz w:val="28"/>
            <w:szCs w:val="28"/>
            <w:lang w:eastAsia="ru-RU"/>
          </w:rPr>
          <w:t>–</w:t>
        </w:r>
        <w:r w:rsidRPr="000D4FA1">
          <w:rPr>
            <w:rStyle w:val="af7"/>
            <w:rFonts w:ascii="Times New Roman" w:eastAsia="Times New Roman" w:hAnsi="Times New Roman" w:cs="Times New Roman"/>
            <w:iCs/>
            <w:sz w:val="28"/>
            <w:szCs w:val="28"/>
            <w:lang w:eastAsia="ru-RU"/>
          </w:rPr>
          <w:t>118</w:t>
        </w:r>
        <w:r w:rsidR="007B767F" w:rsidRPr="000D4FA1">
          <w:rPr>
            <w:rStyle w:val="af7"/>
            <w:rFonts w:ascii="Times New Roman" w:eastAsia="Times New Roman" w:hAnsi="Times New Roman" w:cs="Times New Roman"/>
            <w:iCs/>
            <w:sz w:val="28"/>
            <w:szCs w:val="28"/>
            <w:lang w:eastAsia="ru-RU"/>
          </w:rPr>
          <w:t>–</w:t>
        </w:r>
        <w:r w:rsidRPr="000D4FA1">
          <w:rPr>
            <w:rStyle w:val="af7"/>
            <w:rFonts w:ascii="Times New Roman" w:eastAsia="Times New Roman" w:hAnsi="Times New Roman" w:cs="Times New Roman"/>
            <w:iCs/>
            <w:sz w:val="28"/>
            <w:szCs w:val="28"/>
            <w:lang w:eastAsia="ru-RU"/>
          </w:rPr>
          <w:t>128</w:t>
        </w:r>
      </w:hyperlink>
      <w:r w:rsidR="00FB27FF" w:rsidRPr="000D4FA1">
        <w:rPr>
          <w:rStyle w:val="af7"/>
          <w:rFonts w:ascii="Times New Roman" w:eastAsia="Times New Roman" w:hAnsi="Times New Roman" w:cs="Times New Roman"/>
          <w:iCs/>
          <w:sz w:val="28"/>
          <w:szCs w:val="28"/>
          <w:lang w:eastAsia="ru-RU"/>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11.11.2024).</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Ge Zhang,</w:t>
      </w:r>
      <w:r w:rsidRPr="000D4FA1">
        <w:rPr>
          <w:rFonts w:ascii="Times New Roman" w:eastAsia="Times New Roman" w:hAnsi="Times New Roman" w:cs="Times New Roman"/>
          <w:sz w:val="28"/>
          <w:szCs w:val="28"/>
          <w:lang w:eastAsia="ru-RU"/>
        </w:rPr>
        <w:t xml:space="preserve"> </w:t>
      </w:r>
      <w:r w:rsidRPr="000D4FA1">
        <w:rPr>
          <w:rFonts w:ascii="Times New Roman" w:hAnsi="Times New Roman" w:cs="Times New Roman"/>
          <w:sz w:val="28"/>
          <w:szCs w:val="28"/>
        </w:rPr>
        <w:t>Pengfei Chen, Si Xu. Sustainability of Higher Education Institutions and Sustainable Leadership of Higher Education Teachers: A Literature Review</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 xml:space="preserve">Based Exploration. Journal of Educational and Social Research. Vol 14 No3. 2024 </w:t>
      </w:r>
      <w:hyperlink r:id="rId66" w:history="1">
        <w:r w:rsidR="00FB27FF" w:rsidRPr="000D4FA1">
          <w:rPr>
            <w:rStyle w:val="af7"/>
            <w:rFonts w:ascii="Times New Roman" w:hAnsi="Times New Roman" w:cs="Times New Roman"/>
            <w:sz w:val="28"/>
            <w:szCs w:val="28"/>
          </w:rPr>
          <w:t>https://pdfs.semanticscholar.org/7245/f29632c546435bb7f07523ccf6357ff48383.pdf</w:t>
        </w:r>
      </w:hyperlink>
      <w:r w:rsidR="00FB27FF" w:rsidRPr="000D4FA1">
        <w:rPr>
          <w:rStyle w:val="af7"/>
          <w:rFonts w:ascii="Times New Roman" w:hAnsi="Times New Roman" w:cs="Times New Roman"/>
          <w:sz w:val="28"/>
          <w:szCs w:val="28"/>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eastAsia="ru-RU"/>
        </w:rPr>
        <w:t xml:space="preserve"> Lewis, J., &amp; Taylor, M. Public</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Private Partnerships in Education: A Key to Sustainability. </w:t>
      </w:r>
      <w:r w:rsidRPr="000D4FA1">
        <w:rPr>
          <w:rFonts w:ascii="Times New Roman" w:eastAsia="Times New Roman" w:hAnsi="Times New Roman" w:cs="Times New Roman"/>
          <w:iCs/>
          <w:sz w:val="28"/>
          <w:szCs w:val="28"/>
          <w:lang w:eastAsia="ru-RU"/>
        </w:rPr>
        <w:t>Journal of Educational Management</w:t>
      </w:r>
      <w:r w:rsidR="008F09A5" w:rsidRPr="000D4FA1">
        <w:rPr>
          <w:rFonts w:ascii="Times New Roman" w:eastAsia="Times New Roman" w:hAnsi="Times New Roman" w:cs="Times New Roman"/>
          <w:iCs/>
          <w:sz w:val="28"/>
          <w:szCs w:val="28"/>
          <w:lang w:val="ru-RU" w:eastAsia="ru-RU"/>
        </w:rPr>
        <w:t xml:space="preserve">. </w:t>
      </w:r>
      <w:r w:rsidR="008F09A5" w:rsidRPr="000D4FA1">
        <w:rPr>
          <w:rFonts w:ascii="Times New Roman" w:eastAsia="Times New Roman" w:hAnsi="Times New Roman" w:cs="Times New Roman"/>
          <w:sz w:val="28"/>
          <w:szCs w:val="28"/>
          <w:lang w:eastAsia="ru-RU"/>
        </w:rPr>
        <w:t>2019</w:t>
      </w:r>
      <w:r w:rsidR="008F09A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42(3)</w:t>
      </w:r>
      <w:r w:rsidR="008F09A5"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125</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140.</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 xml:space="preserve">Becker, G. </w:t>
      </w:r>
      <w:r w:rsidRPr="000D4FA1">
        <w:rPr>
          <w:rFonts w:ascii="Times New Roman" w:eastAsia="Times New Roman" w:hAnsi="Times New Roman" w:cs="Times New Roman"/>
          <w:iCs/>
          <w:sz w:val="28"/>
          <w:szCs w:val="28"/>
          <w:lang w:eastAsia="ru-RU"/>
        </w:rPr>
        <w:t>Human Capital: A Theoretical and Empirical Analysis with Special Reference to Education</w:t>
      </w:r>
      <w:r w:rsidRPr="000D4FA1">
        <w:rPr>
          <w:rFonts w:ascii="Times New Roman" w:eastAsia="Times New Roman" w:hAnsi="Times New Roman" w:cs="Times New Roman"/>
          <w:sz w:val="28"/>
          <w:szCs w:val="28"/>
          <w:lang w:eastAsia="ru-RU"/>
        </w:rPr>
        <w:t>. University of Chicago Press.</w:t>
      </w:r>
      <w:r w:rsidR="008F09A5" w:rsidRPr="000D4FA1">
        <w:rPr>
          <w:rFonts w:ascii="Times New Roman" w:eastAsia="Times New Roman" w:hAnsi="Times New Roman" w:cs="Times New Roman"/>
          <w:sz w:val="28"/>
          <w:szCs w:val="28"/>
          <w:lang w:eastAsia="ru-RU"/>
        </w:rPr>
        <w:t xml:space="preserve"> 1993</w:t>
      </w:r>
      <w:r w:rsidR="008F09A5" w:rsidRPr="000D4FA1">
        <w:rPr>
          <w:rFonts w:ascii="Times New Roman" w:eastAsia="Times New Roman" w:hAnsi="Times New Roman" w:cs="Times New Roman"/>
          <w:sz w:val="28"/>
          <w:szCs w:val="28"/>
          <w:lang w:val="ru-RU" w:eastAsia="ru-RU"/>
        </w:rPr>
        <w:t>.</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Gray A. The Financial Stability of Vocational Colleges. Finance and Education</w:t>
      </w:r>
      <w:r w:rsidR="008F09A5"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 xml:space="preserve"> </w:t>
      </w:r>
      <w:r w:rsidR="008F09A5" w:rsidRPr="000D4FA1">
        <w:rPr>
          <w:rFonts w:ascii="Times New Roman" w:eastAsia="Times New Roman" w:hAnsi="Times New Roman" w:cs="Times New Roman"/>
          <w:sz w:val="28"/>
          <w:szCs w:val="28"/>
          <w:lang w:eastAsia="ru-RU"/>
        </w:rPr>
        <w:t>2018</w:t>
      </w:r>
      <w:r w:rsidR="008F09A5"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eastAsia="ru-RU"/>
        </w:rPr>
        <w:t>13(3)</w:t>
      </w:r>
      <w:r w:rsidR="008F09A5" w:rsidRPr="000D4FA1">
        <w:rPr>
          <w:rFonts w:ascii="Times New Roman" w:eastAsia="Times New Roman" w:hAnsi="Times New Roman" w:cs="Times New Roman"/>
          <w:sz w:val="28"/>
          <w:szCs w:val="28"/>
          <w:lang w:val="ru-RU" w:eastAsia="ru-RU"/>
        </w:rPr>
        <w:t>. – С.</w:t>
      </w:r>
      <w:r w:rsidRPr="000D4FA1">
        <w:rPr>
          <w:rFonts w:ascii="Times New Roman" w:eastAsia="Times New Roman" w:hAnsi="Times New Roman" w:cs="Times New Roman"/>
          <w:sz w:val="28"/>
          <w:szCs w:val="28"/>
          <w:lang w:eastAsia="ru-RU"/>
        </w:rPr>
        <w:t xml:space="preserve"> 89</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102.</w:t>
      </w:r>
    </w:p>
    <w:p w:rsidR="00FB27FF"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eastAsia="Times New Roman" w:hAnsi="Times New Roman" w:cs="Times New Roman"/>
          <w:sz w:val="28"/>
          <w:szCs w:val="28"/>
          <w:lang w:val="ru-RU" w:eastAsia="ru-RU"/>
        </w:rPr>
        <w:t>М.М. Абдусаламов. Инновационные образовательные технологии в университетах и колледжах: транснациональный тренд мир науки, культуры, образования. № 6 (73) 2018. 346</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347 с.</w:t>
      </w:r>
      <w:r w:rsidRPr="000D4FA1">
        <w:rPr>
          <w:rFonts w:ascii="Times New Roman" w:hAnsi="Times New Roman" w:cs="Times New Roman"/>
          <w:lang w:val="ru-RU"/>
        </w:rPr>
        <w:t xml:space="preserve"> </w:t>
      </w:r>
      <w:hyperlink r:id="rId67"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cyberleninka</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ru</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article</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n</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innovatsionnye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obrazovatelnye</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tehnologii</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v</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universitetah</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i</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kolledzhah</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transnatsionalnyy</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trend</w:t>
        </w:r>
      </w:hyperlink>
      <w:r w:rsidR="00F377FC" w:rsidRPr="000D4FA1">
        <w:rPr>
          <w:rStyle w:val="af7"/>
          <w:rFonts w:ascii="Times New Roman" w:eastAsia="Times New Roman" w:hAnsi="Times New Roman" w:cs="Times New Roman"/>
          <w:sz w:val="28"/>
          <w:szCs w:val="28"/>
          <w:lang w:val="ru-RU" w:eastAsia="ru-RU"/>
        </w:rPr>
        <w:t xml:space="preserve"> </w:t>
      </w:r>
      <w:r w:rsidR="00F377FC" w:rsidRPr="000D4FA1">
        <w:rPr>
          <w:rFonts w:ascii="Times New Roman" w:eastAsia="Times New Roman" w:hAnsi="Times New Roman" w:cs="Times New Roman"/>
          <w:sz w:val="28"/>
          <w:szCs w:val="28"/>
          <w:lang w:val="ru-RU" w:eastAsia="ru-RU"/>
        </w:rPr>
        <w:t>(дата обращения 17.12.2024).</w:t>
      </w:r>
    </w:p>
    <w:p w:rsidR="00FB27FF"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hAnsi="Times New Roman" w:cs="Times New Roman"/>
          <w:sz w:val="28"/>
          <w:szCs w:val="28"/>
        </w:rPr>
        <w:t>World</w:t>
      </w:r>
      <w:r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Bank</w:t>
      </w:r>
      <w:r w:rsidRPr="000D4FA1">
        <w:rPr>
          <w:rFonts w:ascii="Times New Roman" w:hAnsi="Times New Roman" w:cs="Times New Roman"/>
          <w:sz w:val="28"/>
          <w:szCs w:val="28"/>
          <w:lang w:val="ru-RU"/>
        </w:rPr>
        <w:t>, 2018</w:t>
      </w:r>
      <w:r w:rsidR="0032401F" w:rsidRPr="000D4FA1">
        <w:rPr>
          <w:rFonts w:ascii="Times New Roman" w:hAnsi="Times New Roman" w:cs="Times New Roman"/>
          <w:sz w:val="28"/>
          <w:szCs w:val="28"/>
          <w:lang w:val="ru-RU"/>
        </w:rPr>
        <w:t>.</w:t>
      </w:r>
      <w:r w:rsidRPr="000D4FA1">
        <w:rPr>
          <w:rFonts w:ascii="Times New Roman" w:hAnsi="Times New Roman" w:cs="Times New Roman"/>
          <w:sz w:val="28"/>
          <w:szCs w:val="28"/>
          <w:lang w:val="ru-RU"/>
        </w:rPr>
        <w:t xml:space="preserve"> </w:t>
      </w:r>
      <w:hyperlink r:id="rId68"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action</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education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org</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wp</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content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uploads</w:t>
        </w:r>
        <w:r w:rsidRPr="000D4FA1">
          <w:rPr>
            <w:rStyle w:val="af7"/>
            <w:rFonts w:ascii="Times New Roman" w:hAnsi="Times New Roman" w:cs="Times New Roman"/>
            <w:sz w:val="28"/>
            <w:szCs w:val="28"/>
            <w:lang w:val="ru-RU"/>
          </w:rPr>
          <w:t>/2017/09/</w:t>
        </w:r>
        <w:r w:rsidRPr="000D4FA1">
          <w:rPr>
            <w:rStyle w:val="af7"/>
            <w:rFonts w:ascii="Times New Roman" w:hAnsi="Times New Roman" w:cs="Times New Roman"/>
            <w:sz w:val="28"/>
            <w:szCs w:val="28"/>
          </w:rPr>
          <w:t>Rapport</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BanqueMondiale</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Education</w:t>
        </w:r>
        <w:r w:rsidRPr="000D4FA1">
          <w:rPr>
            <w:rStyle w:val="af7"/>
            <w:rFonts w:ascii="Times New Roman" w:hAnsi="Times New Roman" w:cs="Times New Roman"/>
            <w:sz w:val="28"/>
            <w:szCs w:val="28"/>
            <w:lang w:val="ru-RU"/>
          </w:rPr>
          <w:t>_2017.</w:t>
        </w:r>
        <w:r w:rsidRPr="000D4FA1">
          <w:rPr>
            <w:rStyle w:val="af7"/>
            <w:rFonts w:ascii="Times New Roman" w:hAnsi="Times New Roman" w:cs="Times New Roman"/>
            <w:sz w:val="28"/>
            <w:szCs w:val="28"/>
          </w:rPr>
          <w:t>pdf</w:t>
        </w:r>
      </w:hyperlink>
      <w:r w:rsidR="00F377FC" w:rsidRPr="000D4FA1">
        <w:rPr>
          <w:rStyle w:val="af7"/>
          <w:rFonts w:ascii="Times New Roman" w:hAnsi="Times New Roman" w:cs="Times New Roman"/>
          <w:sz w:val="28"/>
          <w:szCs w:val="28"/>
          <w:lang w:val="ru-RU"/>
        </w:rPr>
        <w:t xml:space="preserve"> </w:t>
      </w:r>
      <w:r w:rsidR="00F377FC" w:rsidRPr="000D4FA1">
        <w:rPr>
          <w:rFonts w:ascii="Times New Roman" w:eastAsia="Times New Roman" w:hAnsi="Times New Roman" w:cs="Times New Roman"/>
          <w:sz w:val="28"/>
          <w:szCs w:val="28"/>
          <w:lang w:val="ru-RU" w:eastAsia="ru-RU"/>
        </w:rPr>
        <w:t>(дата обращения 17.12.2024).</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lang w:val="ru-RU"/>
        </w:rPr>
        <w:t>Антюхов А.В.,Фомин Н.В. Государственная политика профессионального образования.</w:t>
      </w:r>
      <w:r w:rsidRPr="000D4FA1">
        <w:rPr>
          <w:rFonts w:ascii="Times New Roman" w:hAnsi="Times New Roman" w:cs="Times New Roman"/>
          <w:lang w:val="ru-RU"/>
        </w:rPr>
        <w:t xml:space="preserve"> </w:t>
      </w:r>
      <w:r w:rsidR="0032401F" w:rsidRPr="000D4FA1">
        <w:rPr>
          <w:rFonts w:ascii="Times New Roman" w:hAnsi="Times New Roman" w:cs="Times New Roman"/>
          <w:sz w:val="28"/>
          <w:szCs w:val="28"/>
        </w:rPr>
        <w:t xml:space="preserve">2013. </w:t>
      </w:r>
      <w:hyperlink r:id="rId69" w:history="1">
        <w:r w:rsidR="0032401F" w:rsidRPr="000D4FA1">
          <w:rPr>
            <w:rStyle w:val="af7"/>
            <w:rFonts w:ascii="Times New Roman" w:hAnsi="Times New Roman" w:cs="Times New Roman"/>
            <w:sz w:val="28"/>
            <w:szCs w:val="28"/>
          </w:rPr>
          <w:t>file:///C:/Users/Admin/Downloads/osnovnye–napravleniya–gosudarstvennoy–politiki–v–professionalnom–obrazovanii–i–puti–ih–realizatsii.pdf</w:t>
        </w:r>
      </w:hyperlink>
      <w:r w:rsidRPr="000D4FA1">
        <w:rPr>
          <w:rFonts w:ascii="Times New Roman" w:hAnsi="Times New Roman" w:cs="Times New Roman"/>
          <w:sz w:val="28"/>
          <w:szCs w:val="28"/>
        </w:rPr>
        <w:t xml:space="preserve"> </w:t>
      </w:r>
      <w:r w:rsidR="00FB27FF" w:rsidRPr="000D4FA1">
        <w:rPr>
          <w:rFonts w:ascii="Times New Roman" w:hAnsi="Times New Roman" w:cs="Times New Roman"/>
          <w:sz w:val="28"/>
          <w:szCs w:val="28"/>
        </w:rPr>
        <w:t xml:space="preserve"> </w:t>
      </w:r>
      <w:r w:rsidR="00F377FC"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 xml:space="preserve">World Bank. </w:t>
      </w:r>
      <w:r w:rsidRPr="000D4FA1">
        <w:rPr>
          <w:rFonts w:ascii="Times New Roman" w:hAnsi="Times New Roman" w:cs="Times New Roman"/>
          <w:iCs/>
          <w:sz w:val="28"/>
          <w:szCs w:val="28"/>
        </w:rPr>
        <w:t>Doing Business in Kazakhstan</w:t>
      </w:r>
      <w:r w:rsidRPr="000D4FA1">
        <w:rPr>
          <w:rFonts w:ascii="Times New Roman" w:hAnsi="Times New Roman" w:cs="Times New Roman"/>
          <w:sz w:val="28"/>
          <w:szCs w:val="28"/>
        </w:rPr>
        <w:t xml:space="preserve">. </w:t>
      </w:r>
      <w:r w:rsidRPr="000D4FA1">
        <w:rPr>
          <w:rFonts w:ascii="Times New Roman" w:hAnsi="Times New Roman" w:cs="Times New Roman"/>
          <w:iCs/>
          <w:sz w:val="28"/>
          <w:szCs w:val="28"/>
        </w:rPr>
        <w:t>Technical and Vocational Education Modernization Project – Kazakhstan</w:t>
      </w:r>
      <w:r w:rsidR="00F377FC" w:rsidRPr="000D4FA1">
        <w:rPr>
          <w:rFonts w:ascii="Times New Roman" w:hAnsi="Times New Roman" w:cs="Times New Roman"/>
          <w:iCs/>
          <w:sz w:val="28"/>
          <w:szCs w:val="28"/>
        </w:rPr>
        <w:t>.</w:t>
      </w:r>
      <w:r w:rsidRPr="000D4FA1">
        <w:rPr>
          <w:rFonts w:ascii="Times New Roman" w:hAnsi="Times New Roman" w:cs="Times New Roman"/>
          <w:sz w:val="28"/>
          <w:szCs w:val="28"/>
        </w:rPr>
        <w:t xml:space="preserve"> </w:t>
      </w:r>
      <w:r w:rsidR="00F377FC" w:rsidRPr="000D4FA1">
        <w:rPr>
          <w:rFonts w:ascii="Times New Roman" w:hAnsi="Times New Roman" w:cs="Times New Roman"/>
          <w:sz w:val="28"/>
          <w:szCs w:val="28"/>
        </w:rPr>
        <w:t>2019</w:t>
      </w:r>
      <w:r w:rsidR="00F377FC"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 xml:space="preserve">URL: </w:t>
      </w:r>
      <w:hyperlink r:id="rId70" w:history="1">
        <w:r w:rsidRPr="000D4FA1">
          <w:rPr>
            <w:rStyle w:val="af7"/>
            <w:rFonts w:ascii="Times New Roman" w:hAnsi="Times New Roman" w:cs="Times New Roman"/>
            <w:sz w:val="28"/>
            <w:szCs w:val="28"/>
          </w:rPr>
          <w:t>https://www.worldbank.org</w:t>
        </w:r>
      </w:hyperlink>
      <w:r w:rsidRPr="000D4FA1">
        <w:rPr>
          <w:rFonts w:ascii="Times New Roman" w:hAnsi="Times New Roman" w:cs="Times New Roman"/>
          <w:sz w:val="28"/>
          <w:szCs w:val="28"/>
        </w:rPr>
        <w:t xml:space="preserve"> </w:t>
      </w:r>
      <w:r w:rsidRPr="000D4FA1">
        <w:rPr>
          <w:rStyle w:val="af7"/>
          <w:rFonts w:ascii="Times New Roman" w:hAnsi="Times New Roman" w:cs="Times New Roman"/>
          <w:sz w:val="28"/>
          <w:szCs w:val="28"/>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r w:rsidRPr="000D4FA1">
        <w:rPr>
          <w:rFonts w:ascii="Times New Roman" w:hAnsi="Times New Roman" w:cs="Times New Roman"/>
          <w:sz w:val="28"/>
          <w:szCs w:val="28"/>
        </w:rPr>
        <w:t xml:space="preserve"> </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eastAsia="Times New Roman" w:hAnsi="Times New Roman" w:cs="Times New Roman"/>
          <w:sz w:val="28"/>
          <w:szCs w:val="28"/>
          <w:lang w:eastAsia="ru-RU"/>
        </w:rPr>
        <w:t>Bolli</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Kemper, J. M., Au Yong Lyn, A., McDonald, P., &amp; Renold, U. </w:t>
      </w:r>
      <w:r w:rsidRPr="000D4FA1">
        <w:rPr>
          <w:rFonts w:ascii="Times New Roman" w:eastAsia="Times New Roman" w:hAnsi="Times New Roman" w:cs="Times New Roman"/>
          <w:iCs/>
          <w:sz w:val="28"/>
          <w:szCs w:val="28"/>
          <w:lang w:eastAsia="ru-RU"/>
        </w:rPr>
        <w:t>Labor market outcomes of formal vocational education and training: a meta</w:t>
      </w:r>
      <w:r w:rsidR="007B767F" w:rsidRPr="000D4FA1">
        <w:rPr>
          <w:rFonts w:ascii="Times New Roman" w:eastAsia="Times New Roman" w:hAnsi="Times New Roman" w:cs="Times New Roman"/>
          <w:iCs/>
          <w:sz w:val="28"/>
          <w:szCs w:val="28"/>
          <w:lang w:eastAsia="ru-RU"/>
        </w:rPr>
        <w:t>–</w:t>
      </w:r>
      <w:r w:rsidRPr="000D4FA1">
        <w:rPr>
          <w:rFonts w:ascii="Times New Roman" w:eastAsia="Times New Roman" w:hAnsi="Times New Roman" w:cs="Times New Roman"/>
          <w:iCs/>
          <w:sz w:val="28"/>
          <w:szCs w:val="28"/>
          <w:lang w:eastAsia="ru-RU"/>
        </w:rPr>
        <w:t>analysis</w:t>
      </w:r>
      <w:r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iCs/>
          <w:sz w:val="28"/>
          <w:szCs w:val="28"/>
          <w:lang w:eastAsia="ru-RU"/>
        </w:rPr>
        <w:t>Education Economics</w:t>
      </w:r>
      <w:r w:rsidR="00F377FC" w:rsidRPr="000D4FA1">
        <w:rPr>
          <w:rFonts w:ascii="Times New Roman" w:eastAsia="Times New Roman" w:hAnsi="Times New Roman" w:cs="Times New Roman"/>
          <w:iCs/>
          <w:sz w:val="28"/>
          <w:szCs w:val="28"/>
          <w:lang w:eastAsia="ru-RU"/>
        </w:rPr>
        <w:t xml:space="preserve">. </w:t>
      </w:r>
      <w:r w:rsidR="00F377FC" w:rsidRPr="000D4FA1">
        <w:rPr>
          <w:rFonts w:ascii="Times New Roman" w:eastAsia="Times New Roman" w:hAnsi="Times New Roman" w:cs="Times New Roman"/>
          <w:sz w:val="28"/>
          <w:szCs w:val="28"/>
          <w:lang w:eastAsia="ru-RU"/>
        </w:rPr>
        <w:t>2025</w:t>
      </w:r>
      <w:r w:rsidRPr="000D4FA1">
        <w:rPr>
          <w:rFonts w:ascii="Times New Roman" w:eastAsia="Times New Roman" w:hAnsi="Times New Roman" w:cs="Times New Roman"/>
          <w:sz w:val="28"/>
          <w:szCs w:val="28"/>
          <w:lang w:eastAsia="ru-RU"/>
        </w:rPr>
        <w:t>.</w:t>
      </w:r>
      <w:r w:rsidRPr="000D4FA1">
        <w:rPr>
          <w:rFonts w:ascii="Times New Roman" w:hAnsi="Times New Roman" w:cs="Times New Roman"/>
          <w:sz w:val="28"/>
          <w:szCs w:val="28"/>
        </w:rPr>
        <w:t xml:space="preserve"> </w:t>
      </w:r>
      <w:hyperlink r:id="rId71" w:history="1">
        <w:r w:rsidRPr="000D4FA1">
          <w:rPr>
            <w:rStyle w:val="af7"/>
            <w:rFonts w:ascii="Times New Roman" w:hAnsi="Times New Roman" w:cs="Times New Roman"/>
            <w:sz w:val="28"/>
            <w:szCs w:val="28"/>
          </w:rPr>
          <w:t>https://www.research</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lastRenderedPageBreak/>
          <w:t>collection.ethz.ch/server/api/core/bitstreams/e7019191</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63d7</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40fe</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8402</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3b4a0023b952/content</w:t>
        </w:r>
      </w:hyperlink>
      <w:r w:rsidRPr="000D4FA1">
        <w:rPr>
          <w:rFonts w:ascii="Times New Roman" w:hAnsi="Times New Roman" w:cs="Times New Roman"/>
          <w:sz w:val="28"/>
          <w:szCs w:val="28"/>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sz w:val="28"/>
          <w:szCs w:val="28"/>
          <w:lang w:val="ru-RU" w:eastAsia="ru-RU"/>
        </w:rPr>
        <w:t xml:space="preserve">Ребрикова Н. В. </w:t>
      </w:r>
      <w:r w:rsidRPr="000D4FA1">
        <w:rPr>
          <w:rFonts w:ascii="Times New Roman" w:eastAsia="Times New Roman" w:hAnsi="Times New Roman" w:cs="Times New Roman"/>
          <w:iCs/>
          <w:sz w:val="28"/>
          <w:szCs w:val="28"/>
          <w:lang w:val="ru-RU" w:eastAsia="ru-RU"/>
        </w:rPr>
        <w:t>Образовательные технологии как потенциал роста адаптации выпускников к требованиям работодателей</w:t>
      </w:r>
      <w:r w:rsidRPr="000D4FA1">
        <w:rPr>
          <w:rFonts w:ascii="Times New Roman" w:eastAsia="Times New Roman" w:hAnsi="Times New Roman" w:cs="Times New Roman"/>
          <w:sz w:val="28"/>
          <w:szCs w:val="28"/>
          <w:lang w:val="ru-RU" w:eastAsia="ru-RU"/>
        </w:rPr>
        <w:t>.</w:t>
      </w:r>
      <w:r w:rsidRPr="000D4FA1">
        <w:rPr>
          <w:rFonts w:ascii="Times New Roman" w:hAnsi="Times New Roman" w:cs="Times New Roman"/>
          <w:sz w:val="28"/>
          <w:szCs w:val="28"/>
          <w:lang w:val="ru-RU"/>
        </w:rPr>
        <w:t xml:space="preserve"> </w:t>
      </w:r>
      <w:r w:rsidR="00F377FC" w:rsidRPr="000D4FA1">
        <w:rPr>
          <w:rFonts w:ascii="Times New Roman" w:eastAsia="Times New Roman" w:hAnsi="Times New Roman" w:cs="Times New Roman"/>
          <w:sz w:val="28"/>
          <w:szCs w:val="28"/>
          <w:lang w:val="ru-RU" w:eastAsia="ru-RU"/>
        </w:rPr>
        <w:t xml:space="preserve">2022. </w:t>
      </w:r>
      <w:hyperlink r:id="rId72" w:history="1">
        <w:r w:rsidR="00F377FC" w:rsidRPr="000D4FA1">
          <w:rPr>
            <w:rStyle w:val="af7"/>
            <w:rFonts w:ascii="Times New Roman" w:hAnsi="Times New Roman" w:cs="Times New Roman"/>
            <w:sz w:val="28"/>
            <w:szCs w:val="28"/>
          </w:rPr>
          <w:t>https</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cyberleninka</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ru</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article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n</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obrazovatelnye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tehnologii</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kak</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potentsial</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rosta</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adaptatsii</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vypusknikov</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vuzov</w:t>
        </w:r>
      </w:hyperlink>
      <w:r w:rsidR="00FB27FF" w:rsidRPr="000D4FA1">
        <w:rPr>
          <w:rStyle w:val="af7"/>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Ye, J.</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H., He, Z., Bai, B., &amp; Wu, Y.</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 xml:space="preserve">F. </w:t>
      </w:r>
      <w:r w:rsidRPr="000D4FA1">
        <w:rPr>
          <w:rStyle w:val="a7"/>
          <w:rFonts w:ascii="Times New Roman" w:hAnsi="Times New Roman" w:cs="Times New Roman"/>
          <w:i w:val="0"/>
          <w:sz w:val="28"/>
          <w:szCs w:val="28"/>
        </w:rPr>
        <w:t>Sustainability of Technical and Vocational Education and Training (TVET) along with Vocational Psychology</w:t>
      </w:r>
      <w:r w:rsidRPr="000D4FA1">
        <w:rPr>
          <w:rFonts w:ascii="Times New Roman" w:hAnsi="Times New Roman" w:cs="Times New Roman"/>
          <w:i/>
          <w:sz w:val="28"/>
          <w:szCs w:val="28"/>
        </w:rPr>
        <w:t xml:space="preserve">. </w:t>
      </w:r>
      <w:r w:rsidRPr="000D4FA1">
        <w:rPr>
          <w:rStyle w:val="a7"/>
          <w:rFonts w:ascii="Times New Roman" w:hAnsi="Times New Roman" w:cs="Times New Roman"/>
          <w:i w:val="0"/>
          <w:sz w:val="28"/>
          <w:szCs w:val="28"/>
        </w:rPr>
        <w:t>Behavioral Sciences</w:t>
      </w:r>
      <w:r w:rsidRPr="000D4FA1">
        <w:rPr>
          <w:rFonts w:ascii="Times New Roman" w:hAnsi="Times New Roman" w:cs="Times New Roman"/>
          <w:i/>
          <w:sz w:val="28"/>
          <w:szCs w:val="28"/>
        </w:rPr>
        <w:t xml:space="preserve">, </w:t>
      </w:r>
      <w:r w:rsidR="00F377FC" w:rsidRPr="000D4FA1">
        <w:rPr>
          <w:rFonts w:ascii="Times New Roman" w:hAnsi="Times New Roman" w:cs="Times New Roman"/>
          <w:sz w:val="28"/>
          <w:szCs w:val="28"/>
        </w:rPr>
        <w:t>2024</w:t>
      </w:r>
      <w:r w:rsidR="00F377FC"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 xml:space="preserve">14(10), 859. </w:t>
      </w:r>
      <w:hyperlink r:id="rId73" w:history="1">
        <w:r w:rsidRPr="000D4FA1">
          <w:rPr>
            <w:rStyle w:val="af7"/>
            <w:rFonts w:ascii="Times New Roman" w:hAnsi="Times New Roman" w:cs="Times New Roman"/>
            <w:sz w:val="28"/>
            <w:szCs w:val="28"/>
          </w:rPr>
          <w:t>https://www.mdpi.com/2076</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328X/14/10/859</w:t>
        </w:r>
      </w:hyperlink>
      <w:r w:rsidRPr="000D4FA1">
        <w:rPr>
          <w:rFonts w:ascii="Times New Roman" w:hAnsi="Times New Roman" w:cs="Times New Roman"/>
          <w:sz w:val="28"/>
          <w:szCs w:val="28"/>
        </w:rPr>
        <w:t xml:space="preserve"> </w:t>
      </w:r>
    </w:p>
    <w:p w:rsidR="00FB27FF"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hAnsi="Times New Roman" w:cs="Times New Roman"/>
          <w:sz w:val="28"/>
          <w:szCs w:val="28"/>
        </w:rPr>
        <w:t xml:space="preserve">Dougherty, S. M. </w:t>
      </w:r>
      <w:r w:rsidRPr="000D4FA1">
        <w:rPr>
          <w:rStyle w:val="a7"/>
          <w:rFonts w:ascii="Times New Roman" w:hAnsi="Times New Roman" w:cs="Times New Roman"/>
          <w:i w:val="0"/>
          <w:sz w:val="28"/>
          <w:szCs w:val="28"/>
        </w:rPr>
        <w:t>From Vocational Education to Career Readiness</w:t>
      </w:r>
      <w:r w:rsidRPr="000D4FA1">
        <w:rPr>
          <w:rFonts w:ascii="Times New Roman" w:hAnsi="Times New Roman" w:cs="Times New Roman"/>
          <w:i/>
          <w:sz w:val="28"/>
          <w:szCs w:val="28"/>
        </w:rPr>
        <w:t xml:space="preserve">. </w:t>
      </w:r>
      <w:r w:rsidRPr="000D4FA1">
        <w:rPr>
          <w:rStyle w:val="a7"/>
          <w:rFonts w:ascii="Times New Roman" w:hAnsi="Times New Roman" w:cs="Times New Roman"/>
          <w:i w:val="0"/>
          <w:sz w:val="28"/>
          <w:szCs w:val="28"/>
        </w:rPr>
        <w:t>Educational Researcher</w:t>
      </w:r>
      <w:r w:rsidRPr="000D4FA1">
        <w:rPr>
          <w:rFonts w:ascii="Times New Roman" w:hAnsi="Times New Roman" w:cs="Times New Roman"/>
          <w:i/>
          <w:sz w:val="28"/>
          <w:szCs w:val="28"/>
        </w:rPr>
        <w:t>.</w:t>
      </w:r>
      <w:r w:rsidRPr="000D4FA1">
        <w:rPr>
          <w:rFonts w:ascii="Times New Roman" w:hAnsi="Times New Roman" w:cs="Times New Roman"/>
          <w:sz w:val="28"/>
          <w:szCs w:val="28"/>
        </w:rPr>
        <w:t xml:space="preserve"> </w:t>
      </w:r>
      <w:r w:rsidR="00F377FC" w:rsidRPr="000D4FA1">
        <w:rPr>
          <w:rFonts w:ascii="Times New Roman" w:hAnsi="Times New Roman" w:cs="Times New Roman"/>
          <w:sz w:val="28"/>
          <w:szCs w:val="28"/>
        </w:rPr>
        <w:t xml:space="preserve">2016. </w:t>
      </w:r>
      <w:hyperlink r:id="rId74" w:history="1">
        <w:r w:rsidR="00F377FC" w:rsidRPr="000D4FA1">
          <w:rPr>
            <w:rStyle w:val="af7"/>
            <w:rFonts w:ascii="Times New Roman" w:hAnsi="Times New Roman" w:cs="Times New Roman"/>
            <w:sz w:val="28"/>
            <w:szCs w:val="28"/>
          </w:rPr>
          <w:t>https://journals.sagepub.com/doi/abs/10.3102/0091732X16678602</w:t>
        </w:r>
      </w:hyperlink>
      <w:r w:rsidR="00F377FC" w:rsidRPr="000D4FA1">
        <w:rPr>
          <w:rFonts w:ascii="Times New Roman" w:hAnsi="Times New Roman" w:cs="Times New Roman"/>
          <w:sz w:val="28"/>
          <w:szCs w:val="28"/>
        </w:rPr>
        <w:t xml:space="preserve"> </w:t>
      </w:r>
      <w:r w:rsidR="00F377FC" w:rsidRPr="000D4FA1">
        <w:rPr>
          <w:rFonts w:ascii="Times New Roman" w:eastAsia="Times New Roman" w:hAnsi="Times New Roman" w:cs="Times New Roman"/>
          <w:sz w:val="28"/>
          <w:szCs w:val="28"/>
          <w:lang w:eastAsia="ru-RU"/>
        </w:rPr>
        <w:t>(</w:t>
      </w:r>
      <w:r w:rsidR="00F377FC" w:rsidRPr="000D4FA1">
        <w:rPr>
          <w:rFonts w:ascii="Times New Roman" w:eastAsia="Times New Roman" w:hAnsi="Times New Roman" w:cs="Times New Roman"/>
          <w:sz w:val="28"/>
          <w:szCs w:val="28"/>
          <w:lang w:val="ru-RU" w:eastAsia="ru-RU"/>
        </w:rPr>
        <w:t>дата</w:t>
      </w:r>
      <w:r w:rsidR="00F377FC" w:rsidRPr="000D4FA1">
        <w:rPr>
          <w:rFonts w:ascii="Times New Roman" w:eastAsia="Times New Roman" w:hAnsi="Times New Roman" w:cs="Times New Roman"/>
          <w:sz w:val="28"/>
          <w:szCs w:val="28"/>
          <w:lang w:eastAsia="ru-RU"/>
        </w:rPr>
        <w:t xml:space="preserve"> </w:t>
      </w:r>
      <w:r w:rsidR="00F377FC" w:rsidRPr="000D4FA1">
        <w:rPr>
          <w:rFonts w:ascii="Times New Roman" w:eastAsia="Times New Roman" w:hAnsi="Times New Roman" w:cs="Times New Roman"/>
          <w:sz w:val="28"/>
          <w:szCs w:val="28"/>
          <w:lang w:val="ru-RU" w:eastAsia="ru-RU"/>
        </w:rPr>
        <w:t>обращения</w:t>
      </w:r>
      <w:r w:rsidR="00F377FC" w:rsidRPr="000D4FA1">
        <w:rPr>
          <w:rFonts w:ascii="Times New Roman" w:eastAsia="Times New Roman" w:hAnsi="Times New Roman" w:cs="Times New Roman"/>
          <w:sz w:val="28"/>
          <w:szCs w:val="28"/>
          <w:lang w:eastAsia="ru-RU"/>
        </w:rPr>
        <w:t xml:space="preserve"> 11.02.2025).</w:t>
      </w:r>
    </w:p>
    <w:p w:rsidR="00FB27FF" w:rsidRPr="000D4FA1" w:rsidRDefault="00653F3E" w:rsidP="006C0BBD">
      <w:pPr>
        <w:pStyle w:val="a6"/>
        <w:numPr>
          <w:ilvl w:val="0"/>
          <w:numId w:val="12"/>
        </w:numPr>
        <w:spacing w:after="0" w:line="240" w:lineRule="auto"/>
        <w:ind w:left="0" w:firstLine="360"/>
        <w:jc w:val="both"/>
        <w:rPr>
          <w:rStyle w:val="af7"/>
          <w:rFonts w:ascii="Times New Roman" w:eastAsia="Times New Roman" w:hAnsi="Times New Roman" w:cs="Times New Roman"/>
          <w:color w:val="auto"/>
          <w:sz w:val="28"/>
          <w:szCs w:val="28"/>
          <w:u w:val="none"/>
          <w:lang w:eastAsia="ru-RU"/>
        </w:rPr>
      </w:pPr>
      <w:r w:rsidRPr="000D4FA1">
        <w:rPr>
          <w:rFonts w:ascii="Times New Roman" w:hAnsi="Times New Roman" w:cs="Times New Roman"/>
          <w:sz w:val="28"/>
          <w:szCs w:val="28"/>
        </w:rPr>
        <w:t>Remington T. F.</w:t>
      </w:r>
      <w:r w:rsidR="00F377FC" w:rsidRPr="000D4FA1">
        <w:rPr>
          <w:rFonts w:ascii="Times New Roman" w:hAnsi="Times New Roman" w:cs="Times New Roman"/>
          <w:sz w:val="28"/>
          <w:szCs w:val="28"/>
        </w:rPr>
        <w:t xml:space="preserve"> </w:t>
      </w:r>
      <w:r w:rsidRPr="000D4FA1">
        <w:rPr>
          <w:rFonts w:ascii="Times New Roman" w:hAnsi="Times New Roman" w:cs="Times New Roman"/>
          <w:sz w:val="28"/>
          <w:szCs w:val="28"/>
        </w:rPr>
        <w:t xml:space="preserve">Public–private partnerships in TVET: Adapting the dual system in the United States. </w:t>
      </w:r>
      <w:r w:rsidRPr="000D4FA1">
        <w:rPr>
          <w:rFonts w:ascii="Times New Roman" w:hAnsi="Times New Roman" w:cs="Times New Roman"/>
          <w:iCs/>
          <w:sz w:val="28"/>
          <w:szCs w:val="28"/>
        </w:rPr>
        <w:t>Journal of Vocational Education &amp; Training</w:t>
      </w:r>
      <w:r w:rsidR="00F377FC" w:rsidRPr="000D4FA1">
        <w:rPr>
          <w:rFonts w:ascii="Times New Roman" w:hAnsi="Times New Roman" w:cs="Times New Roman"/>
          <w:iCs/>
          <w:sz w:val="28"/>
          <w:szCs w:val="28"/>
          <w:lang w:val="ru-RU"/>
        </w:rPr>
        <w:t xml:space="preserve">. </w:t>
      </w:r>
      <w:r w:rsidR="00F377FC" w:rsidRPr="000D4FA1">
        <w:rPr>
          <w:rFonts w:ascii="Times New Roman" w:hAnsi="Times New Roman" w:cs="Times New Roman"/>
          <w:sz w:val="28"/>
          <w:szCs w:val="28"/>
        </w:rPr>
        <w:t>2018</w:t>
      </w:r>
      <w:r w:rsidR="00F377FC" w:rsidRPr="000D4FA1">
        <w:rPr>
          <w:rFonts w:ascii="Times New Roman" w:hAnsi="Times New Roman" w:cs="Times New Roman"/>
          <w:sz w:val="28"/>
          <w:szCs w:val="28"/>
          <w:lang w:val="ru-RU"/>
        </w:rPr>
        <w:t>.</w:t>
      </w:r>
      <w:r w:rsidRPr="000D4FA1">
        <w:rPr>
          <w:rFonts w:ascii="Times New Roman" w:hAnsi="Times New Roman" w:cs="Times New Roman"/>
          <w:sz w:val="28"/>
          <w:szCs w:val="28"/>
        </w:rPr>
        <w:t xml:space="preserve"> 70(4)</w:t>
      </w:r>
      <w:r w:rsidR="00F377FC" w:rsidRPr="000D4FA1">
        <w:rPr>
          <w:rFonts w:ascii="Times New Roman" w:hAnsi="Times New Roman" w:cs="Times New Roman"/>
          <w:sz w:val="28"/>
          <w:szCs w:val="28"/>
          <w:lang w:val="ru-RU"/>
        </w:rPr>
        <w:t>. – С.</w:t>
      </w:r>
      <w:r w:rsidRPr="000D4FA1">
        <w:rPr>
          <w:rFonts w:ascii="Times New Roman" w:hAnsi="Times New Roman" w:cs="Times New Roman"/>
          <w:sz w:val="28"/>
          <w:szCs w:val="28"/>
        </w:rPr>
        <w:t xml:space="preserve">497–523. </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Radkevych V.</w:t>
      </w:r>
      <w:r w:rsidR="00F377FC" w:rsidRPr="000D4FA1">
        <w:rPr>
          <w:rFonts w:ascii="Times New Roman" w:hAnsi="Times New Roman" w:cs="Times New Roman"/>
          <w:sz w:val="28"/>
          <w:szCs w:val="28"/>
        </w:rPr>
        <w:t xml:space="preserve"> </w:t>
      </w:r>
      <w:r w:rsidRPr="000D4FA1">
        <w:rPr>
          <w:rFonts w:ascii="Times New Roman" w:hAnsi="Times New Roman" w:cs="Times New Roman"/>
          <w:sz w:val="28"/>
          <w:szCs w:val="28"/>
        </w:rPr>
        <w:t>Modern models of public</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 xml:space="preserve">private partnership in the field of vocational education and training in the European Union. </w:t>
      </w:r>
      <w:r w:rsidRPr="000D4FA1">
        <w:rPr>
          <w:rFonts w:ascii="Times New Roman" w:hAnsi="Times New Roman" w:cs="Times New Roman"/>
          <w:iCs/>
          <w:sz w:val="28"/>
          <w:szCs w:val="28"/>
        </w:rPr>
        <w:t>Profesijna pedagogika</w:t>
      </w:r>
      <w:r w:rsidR="00F377FC" w:rsidRPr="000D4FA1">
        <w:rPr>
          <w:rFonts w:ascii="Times New Roman" w:hAnsi="Times New Roman" w:cs="Times New Roman"/>
          <w:iCs/>
          <w:sz w:val="28"/>
          <w:szCs w:val="28"/>
          <w:lang w:val="ru-RU"/>
        </w:rPr>
        <w:t>.</w:t>
      </w:r>
      <w:r w:rsidRPr="000D4FA1">
        <w:rPr>
          <w:rFonts w:ascii="Times New Roman" w:hAnsi="Times New Roman" w:cs="Times New Roman"/>
          <w:sz w:val="28"/>
          <w:szCs w:val="28"/>
        </w:rPr>
        <w:t xml:space="preserve"> </w:t>
      </w:r>
      <w:r w:rsidR="00F377FC" w:rsidRPr="000D4FA1">
        <w:rPr>
          <w:rFonts w:ascii="Times New Roman" w:hAnsi="Times New Roman" w:cs="Times New Roman"/>
          <w:sz w:val="28"/>
          <w:szCs w:val="28"/>
        </w:rPr>
        <w:t>2023</w:t>
      </w:r>
      <w:r w:rsidR="00F377FC" w:rsidRPr="000D4FA1">
        <w:rPr>
          <w:rFonts w:ascii="Times New Roman" w:hAnsi="Times New Roman" w:cs="Times New Roman"/>
          <w:sz w:val="28"/>
          <w:szCs w:val="28"/>
          <w:lang w:val="ru-RU"/>
        </w:rPr>
        <w:t xml:space="preserve">. </w:t>
      </w:r>
      <w:r w:rsidRPr="000D4FA1">
        <w:rPr>
          <w:rFonts w:ascii="Times New Roman" w:hAnsi="Times New Roman" w:cs="Times New Roman"/>
          <w:sz w:val="28"/>
          <w:szCs w:val="28"/>
        </w:rPr>
        <w:t>1(26)</w:t>
      </w:r>
      <w:r w:rsidR="00F377FC" w:rsidRPr="000D4FA1">
        <w:rPr>
          <w:rFonts w:ascii="Times New Roman" w:hAnsi="Times New Roman" w:cs="Times New Roman"/>
          <w:sz w:val="28"/>
          <w:szCs w:val="28"/>
          <w:lang w:val="ru-RU"/>
        </w:rPr>
        <w:t>. – С.</w:t>
      </w:r>
      <w:r w:rsidRPr="000D4FA1">
        <w:rPr>
          <w:rFonts w:ascii="Times New Roman" w:hAnsi="Times New Roman" w:cs="Times New Roman"/>
          <w:sz w:val="28"/>
          <w:szCs w:val="28"/>
        </w:rPr>
        <w:t xml:space="preserve"> 4–14.</w:t>
      </w:r>
    </w:p>
    <w:p w:rsidR="00FB27FF"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hAnsi="Times New Roman" w:cs="Times New Roman"/>
          <w:sz w:val="28"/>
          <w:szCs w:val="28"/>
        </w:rPr>
        <w:t xml:space="preserve">Smak M. Models of Private Sector Involvement in Vocational Education and Training. </w:t>
      </w:r>
      <w:r w:rsidRPr="000D4FA1">
        <w:rPr>
          <w:rFonts w:ascii="Times New Roman" w:hAnsi="Times New Roman" w:cs="Times New Roman"/>
          <w:iCs/>
          <w:sz w:val="28"/>
          <w:szCs w:val="28"/>
        </w:rPr>
        <w:t>European Journal of Teaching and Education</w:t>
      </w:r>
      <w:r w:rsidR="00F377FC" w:rsidRPr="000D4FA1">
        <w:rPr>
          <w:rFonts w:ascii="Times New Roman" w:hAnsi="Times New Roman" w:cs="Times New Roman"/>
          <w:iCs/>
          <w:sz w:val="28"/>
          <w:szCs w:val="28"/>
        </w:rPr>
        <w:t xml:space="preserve">. </w:t>
      </w:r>
      <w:r w:rsidR="00F377FC" w:rsidRPr="000D4FA1">
        <w:rPr>
          <w:rFonts w:ascii="Times New Roman" w:hAnsi="Times New Roman" w:cs="Times New Roman"/>
          <w:sz w:val="28"/>
          <w:szCs w:val="28"/>
        </w:rPr>
        <w:t>2022.</w:t>
      </w:r>
      <w:r w:rsidRPr="000D4FA1">
        <w:rPr>
          <w:rFonts w:ascii="Times New Roman" w:hAnsi="Times New Roman" w:cs="Times New Roman"/>
          <w:sz w:val="28"/>
          <w:szCs w:val="28"/>
        </w:rPr>
        <w:t xml:space="preserve"> 4(1), 37</w:t>
      </w:r>
      <w:r w:rsidR="00FB27FF" w:rsidRPr="000D4FA1">
        <w:rPr>
          <w:rFonts w:ascii="Times New Roman" w:hAnsi="Times New Roman" w:cs="Times New Roman"/>
          <w:sz w:val="28"/>
          <w:szCs w:val="28"/>
        </w:rPr>
        <w:t xml:space="preserve"> </w:t>
      </w:r>
      <w:hyperlink r:id="rId75" w:history="1">
        <w:r w:rsidR="00F377FC" w:rsidRPr="000D4FA1">
          <w:rPr>
            <w:rStyle w:val="af7"/>
            <w:rFonts w:ascii="Times New Roman" w:hAnsi="Times New Roman" w:cs="Times New Roman"/>
            <w:sz w:val="28"/>
            <w:szCs w:val="28"/>
          </w:rPr>
          <w:t>https://www.researchgate.net/publication/362471192_Models_of_private_sector_involvement_in_vocational_education_and_training</w:t>
        </w:r>
      </w:hyperlink>
      <w:r w:rsidR="00F377FC" w:rsidRPr="000D4FA1">
        <w:rPr>
          <w:rFonts w:ascii="Times New Roman" w:hAnsi="Times New Roman" w:cs="Times New Roman"/>
          <w:sz w:val="28"/>
          <w:szCs w:val="28"/>
        </w:rPr>
        <w:t xml:space="preserve"> </w:t>
      </w:r>
      <w:r w:rsidR="00F377FC" w:rsidRPr="000D4FA1">
        <w:rPr>
          <w:rFonts w:ascii="Times New Roman" w:eastAsia="Times New Roman" w:hAnsi="Times New Roman" w:cs="Times New Roman"/>
          <w:sz w:val="28"/>
          <w:szCs w:val="28"/>
          <w:lang w:eastAsia="ru-RU"/>
        </w:rPr>
        <w:t>(</w:t>
      </w:r>
      <w:r w:rsidR="00F377FC" w:rsidRPr="000D4FA1">
        <w:rPr>
          <w:rFonts w:ascii="Times New Roman" w:eastAsia="Times New Roman" w:hAnsi="Times New Roman" w:cs="Times New Roman"/>
          <w:sz w:val="28"/>
          <w:szCs w:val="28"/>
          <w:lang w:val="ru-RU" w:eastAsia="ru-RU"/>
        </w:rPr>
        <w:t>дата</w:t>
      </w:r>
      <w:r w:rsidR="00F377FC" w:rsidRPr="000D4FA1">
        <w:rPr>
          <w:rFonts w:ascii="Times New Roman" w:eastAsia="Times New Roman" w:hAnsi="Times New Roman" w:cs="Times New Roman"/>
          <w:sz w:val="28"/>
          <w:szCs w:val="28"/>
          <w:lang w:eastAsia="ru-RU"/>
        </w:rPr>
        <w:t xml:space="preserve"> </w:t>
      </w:r>
      <w:r w:rsidR="00F377FC" w:rsidRPr="000D4FA1">
        <w:rPr>
          <w:rFonts w:ascii="Times New Roman" w:eastAsia="Times New Roman" w:hAnsi="Times New Roman" w:cs="Times New Roman"/>
          <w:sz w:val="28"/>
          <w:szCs w:val="28"/>
          <w:lang w:val="ru-RU" w:eastAsia="ru-RU"/>
        </w:rPr>
        <w:t>обращения</w:t>
      </w:r>
      <w:r w:rsidR="00F377FC" w:rsidRPr="000D4FA1">
        <w:rPr>
          <w:rFonts w:ascii="Times New Roman" w:eastAsia="Times New Roman" w:hAnsi="Times New Roman" w:cs="Times New Roman"/>
          <w:sz w:val="28"/>
          <w:szCs w:val="28"/>
          <w:lang w:eastAsia="ru-RU"/>
        </w:rPr>
        <w:t xml:space="preserve"> 07.03.2025).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Beka A., &amp; Stublla P.</w:t>
      </w:r>
      <w:r w:rsidR="00F377FC" w:rsidRPr="000D4FA1">
        <w:rPr>
          <w:rFonts w:ascii="Times New Roman" w:hAnsi="Times New Roman" w:cs="Times New Roman"/>
          <w:sz w:val="28"/>
          <w:szCs w:val="28"/>
        </w:rPr>
        <w:t xml:space="preserve"> </w:t>
      </w:r>
      <w:r w:rsidRPr="000D4FA1">
        <w:rPr>
          <w:rFonts w:ascii="Times New Roman" w:hAnsi="Times New Roman" w:cs="Times New Roman"/>
          <w:sz w:val="28"/>
          <w:szCs w:val="28"/>
        </w:rPr>
        <w:t>Comparing public</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 xml:space="preserve">private partnership of vocational education and training schools and centres of competence in Kosovo. </w:t>
      </w:r>
      <w:r w:rsidRPr="000D4FA1">
        <w:rPr>
          <w:rFonts w:ascii="Times New Roman" w:hAnsi="Times New Roman" w:cs="Times New Roman"/>
          <w:iCs/>
          <w:sz w:val="28"/>
          <w:szCs w:val="28"/>
        </w:rPr>
        <w:t>European Journal of Educational Research</w:t>
      </w:r>
      <w:r w:rsidR="00F377FC" w:rsidRPr="000D4FA1">
        <w:rPr>
          <w:rFonts w:ascii="Times New Roman" w:hAnsi="Times New Roman" w:cs="Times New Roman"/>
          <w:sz w:val="28"/>
          <w:szCs w:val="28"/>
          <w:lang w:val="ru-RU"/>
        </w:rPr>
        <w:t xml:space="preserve">. </w:t>
      </w:r>
      <w:r w:rsidR="00F377FC" w:rsidRPr="000D4FA1">
        <w:rPr>
          <w:rFonts w:ascii="Times New Roman" w:hAnsi="Times New Roman" w:cs="Times New Roman"/>
          <w:sz w:val="28"/>
          <w:szCs w:val="28"/>
        </w:rPr>
        <w:t>2022</w:t>
      </w:r>
      <w:r w:rsidR="00F377FC" w:rsidRPr="000D4FA1">
        <w:rPr>
          <w:rFonts w:ascii="Times New Roman" w:hAnsi="Times New Roman" w:cs="Times New Roman"/>
          <w:sz w:val="28"/>
          <w:szCs w:val="28"/>
          <w:lang w:val="ru-RU"/>
        </w:rPr>
        <w:t>.</w:t>
      </w:r>
      <w:r w:rsidRPr="000D4FA1">
        <w:rPr>
          <w:rFonts w:ascii="Times New Roman" w:hAnsi="Times New Roman" w:cs="Times New Roman"/>
          <w:sz w:val="28"/>
          <w:szCs w:val="28"/>
        </w:rPr>
        <w:t xml:space="preserve"> 11(4)</w:t>
      </w:r>
      <w:r w:rsidR="00F377FC" w:rsidRPr="000D4FA1">
        <w:rPr>
          <w:rFonts w:ascii="Times New Roman" w:hAnsi="Times New Roman" w:cs="Times New Roman"/>
          <w:sz w:val="28"/>
          <w:szCs w:val="28"/>
          <w:lang w:val="ru-RU"/>
        </w:rPr>
        <w:t xml:space="preserve">. – С. </w:t>
      </w:r>
      <w:r w:rsidRPr="000D4FA1">
        <w:rPr>
          <w:rFonts w:ascii="Times New Roman" w:hAnsi="Times New Roman" w:cs="Times New Roman"/>
          <w:sz w:val="28"/>
          <w:szCs w:val="28"/>
        </w:rPr>
        <w:t>1981</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1995.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Fonts w:ascii="Times New Roman" w:hAnsi="Times New Roman" w:cs="Times New Roman"/>
          <w:sz w:val="28"/>
          <w:szCs w:val="28"/>
        </w:rPr>
        <w:t>Popova, V.</w:t>
      </w:r>
      <w:r w:rsidR="00F377FC" w:rsidRPr="000D4FA1">
        <w:rPr>
          <w:rFonts w:ascii="Times New Roman" w:hAnsi="Times New Roman" w:cs="Times New Roman"/>
          <w:sz w:val="28"/>
          <w:szCs w:val="28"/>
        </w:rPr>
        <w:t xml:space="preserve"> </w:t>
      </w:r>
      <w:r w:rsidRPr="000D4FA1">
        <w:rPr>
          <w:rStyle w:val="a7"/>
          <w:rFonts w:ascii="Times New Roman" w:hAnsi="Times New Roman" w:cs="Times New Roman"/>
          <w:i w:val="0"/>
          <w:sz w:val="28"/>
          <w:szCs w:val="28"/>
        </w:rPr>
        <w:t>The public</w:t>
      </w:r>
      <w:r w:rsidR="007B767F" w:rsidRPr="000D4FA1">
        <w:rPr>
          <w:rStyle w:val="a7"/>
          <w:rFonts w:ascii="Times New Roman" w:hAnsi="Times New Roman" w:cs="Times New Roman"/>
          <w:i w:val="0"/>
          <w:sz w:val="28"/>
          <w:szCs w:val="28"/>
        </w:rPr>
        <w:t>–</w:t>
      </w:r>
      <w:r w:rsidRPr="000D4FA1">
        <w:rPr>
          <w:rStyle w:val="a7"/>
          <w:rFonts w:ascii="Times New Roman" w:hAnsi="Times New Roman" w:cs="Times New Roman"/>
          <w:i w:val="0"/>
          <w:sz w:val="28"/>
          <w:szCs w:val="28"/>
        </w:rPr>
        <w:t>private partnerships in the vocational education and training system paradigms: comparative analysis</w:t>
      </w:r>
      <w:r w:rsidRPr="000D4FA1">
        <w:rPr>
          <w:rFonts w:ascii="Times New Roman" w:hAnsi="Times New Roman" w:cs="Times New Roman"/>
          <w:i/>
          <w:sz w:val="28"/>
          <w:szCs w:val="28"/>
        </w:rPr>
        <w:t xml:space="preserve">. </w:t>
      </w:r>
      <w:r w:rsidRPr="000D4FA1">
        <w:rPr>
          <w:rStyle w:val="a7"/>
          <w:rFonts w:ascii="Times New Roman" w:hAnsi="Times New Roman" w:cs="Times New Roman"/>
          <w:i w:val="0"/>
          <w:sz w:val="28"/>
          <w:szCs w:val="28"/>
        </w:rPr>
        <w:t>Education: Modern Discourses</w:t>
      </w:r>
      <w:r w:rsidR="00F377FC" w:rsidRPr="000D4FA1">
        <w:rPr>
          <w:rStyle w:val="a7"/>
          <w:rFonts w:ascii="Times New Roman" w:hAnsi="Times New Roman" w:cs="Times New Roman"/>
          <w:i w:val="0"/>
          <w:sz w:val="28"/>
          <w:szCs w:val="28"/>
        </w:rPr>
        <w:t xml:space="preserve">. </w:t>
      </w:r>
      <w:r w:rsidR="00F377FC" w:rsidRPr="000D4FA1">
        <w:rPr>
          <w:rFonts w:ascii="Times New Roman" w:hAnsi="Times New Roman" w:cs="Times New Roman"/>
          <w:sz w:val="28"/>
          <w:szCs w:val="28"/>
        </w:rPr>
        <w:t>2022.</w:t>
      </w:r>
      <w:r w:rsidRPr="000D4FA1">
        <w:rPr>
          <w:rFonts w:ascii="Times New Roman" w:hAnsi="Times New Roman" w:cs="Times New Roman"/>
          <w:sz w:val="28"/>
          <w:szCs w:val="28"/>
        </w:rPr>
        <w:t xml:space="preserve"> 5</w:t>
      </w:r>
      <w:r w:rsidR="00F377FC" w:rsidRPr="000D4FA1">
        <w:rPr>
          <w:rFonts w:ascii="Times New Roman" w:hAnsi="Times New Roman" w:cs="Times New Roman"/>
          <w:sz w:val="28"/>
          <w:szCs w:val="28"/>
        </w:rPr>
        <w:t xml:space="preserve">. – </w:t>
      </w:r>
      <w:r w:rsidR="00F377FC" w:rsidRPr="000D4FA1">
        <w:rPr>
          <w:rFonts w:ascii="Times New Roman" w:hAnsi="Times New Roman" w:cs="Times New Roman"/>
          <w:sz w:val="28"/>
          <w:szCs w:val="28"/>
          <w:lang w:val="ru-RU"/>
        </w:rPr>
        <w:t>С</w:t>
      </w:r>
      <w:r w:rsidR="00F377FC" w:rsidRPr="000D4FA1">
        <w:rPr>
          <w:rFonts w:ascii="Times New Roman" w:hAnsi="Times New Roman" w:cs="Times New Roman"/>
          <w:sz w:val="28"/>
          <w:szCs w:val="28"/>
        </w:rPr>
        <w:t>.</w:t>
      </w:r>
      <w:r w:rsidRPr="000D4FA1">
        <w:rPr>
          <w:rFonts w:ascii="Times New Roman" w:hAnsi="Times New Roman" w:cs="Times New Roman"/>
          <w:sz w:val="28"/>
          <w:szCs w:val="28"/>
        </w:rPr>
        <w:t xml:space="preserve"> 118–126. </w:t>
      </w:r>
      <w:hyperlink r:id="rId76" w:history="1">
        <w:r w:rsidRPr="000D4FA1">
          <w:rPr>
            <w:rStyle w:val="af7"/>
            <w:rFonts w:ascii="Times New Roman" w:hAnsi="Times New Roman" w:cs="Times New Roman"/>
            <w:sz w:val="28"/>
            <w:szCs w:val="28"/>
          </w:rPr>
          <w:t>https://lib.iitta.gov.ua/id/eprint/731889/193</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1</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10</w:t>
        </w:r>
        <w:r w:rsidR="007B767F" w:rsidRPr="000D4FA1">
          <w:rPr>
            <w:rStyle w:val="af7"/>
            <w:rFonts w:ascii="Times New Roman" w:hAnsi="Times New Roman" w:cs="Times New Roman"/>
            <w:sz w:val="28"/>
            <w:szCs w:val="28"/>
          </w:rPr>
          <w:t>–</w:t>
        </w:r>
        <w:r w:rsidRPr="000D4FA1">
          <w:rPr>
            <w:rStyle w:val="af7"/>
            <w:rFonts w:ascii="Times New Roman" w:hAnsi="Times New Roman" w:cs="Times New Roman"/>
            <w:sz w:val="28"/>
            <w:szCs w:val="28"/>
          </w:rPr>
          <w:t>20230206.pdf</w:t>
        </w:r>
      </w:hyperlink>
      <w:r w:rsidRPr="000D4FA1">
        <w:rPr>
          <w:rFonts w:ascii="Times New Roman" w:hAnsi="Times New Roman" w:cs="Times New Roman"/>
          <w:sz w:val="28"/>
          <w:szCs w:val="28"/>
        </w:rPr>
        <w:t xml:space="preserve"> </w:t>
      </w:r>
      <w:r w:rsidR="00FB27FF" w:rsidRPr="000D4FA1">
        <w:rPr>
          <w:rFonts w:ascii="Times New Roman" w:hAnsi="Times New Roman" w:cs="Times New Roman"/>
          <w:sz w:val="28"/>
          <w:szCs w:val="28"/>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eastAsia="Times New Roman" w:hAnsi="Times New Roman" w:cs="Times New Roman"/>
          <w:bCs/>
          <w:sz w:val="28"/>
          <w:szCs w:val="28"/>
          <w:lang w:eastAsia="ru-RU"/>
        </w:rPr>
        <w:t xml:space="preserve">Reifi, K. J. </w:t>
      </w:r>
      <w:r w:rsidRPr="000D4FA1">
        <w:rPr>
          <w:rFonts w:ascii="Times New Roman" w:eastAsia="Times New Roman" w:hAnsi="Times New Roman" w:cs="Times New Roman"/>
          <w:bCs/>
          <w:iCs/>
          <w:sz w:val="28"/>
          <w:szCs w:val="28"/>
          <w:lang w:eastAsia="ru-RU"/>
        </w:rPr>
        <w:t>Public–Private Partnerships in Vocational Education and Training</w:t>
      </w:r>
      <w:r w:rsidRPr="000D4FA1">
        <w:rPr>
          <w:rFonts w:ascii="Times New Roman" w:eastAsia="Times New Roman" w:hAnsi="Times New Roman" w:cs="Times New Roman"/>
          <w:bCs/>
          <w:sz w:val="28"/>
          <w:szCs w:val="28"/>
          <w:lang w:eastAsia="ru-RU"/>
        </w:rPr>
        <w:t xml:space="preserve">. </w:t>
      </w:r>
      <w:r w:rsidR="00F377FC" w:rsidRPr="000D4FA1">
        <w:rPr>
          <w:rFonts w:ascii="Times New Roman" w:eastAsia="Times New Roman" w:hAnsi="Times New Roman" w:cs="Times New Roman"/>
          <w:bCs/>
          <w:sz w:val="28"/>
          <w:szCs w:val="28"/>
          <w:lang w:val="ru-RU" w:eastAsia="ru-RU"/>
        </w:rPr>
        <w:t xml:space="preserve">2025. </w:t>
      </w:r>
      <w:hyperlink r:id="rId77" w:history="1">
        <w:r w:rsidR="00F377FC" w:rsidRPr="000D4FA1">
          <w:rPr>
            <w:rStyle w:val="af7"/>
            <w:rFonts w:ascii="Times New Roman" w:hAnsi="Times New Roman" w:cs="Times New Roman"/>
            <w:sz w:val="28"/>
            <w:szCs w:val="28"/>
          </w:rPr>
          <w:t>https</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revue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ijafame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com</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index</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php</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home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article</w:t>
        </w:r>
        <w:r w:rsidR="00F377FC" w:rsidRPr="000D4FA1">
          <w:rPr>
            <w:rStyle w:val="af7"/>
            <w:rFonts w:ascii="Times New Roman" w:hAnsi="Times New Roman" w:cs="Times New Roman"/>
            <w:sz w:val="28"/>
            <w:szCs w:val="28"/>
            <w:lang w:val="ru-RU"/>
          </w:rPr>
          <w:t>/</w:t>
        </w:r>
        <w:r w:rsidR="00F377FC" w:rsidRPr="000D4FA1">
          <w:rPr>
            <w:rStyle w:val="af7"/>
            <w:rFonts w:ascii="Times New Roman" w:hAnsi="Times New Roman" w:cs="Times New Roman"/>
            <w:sz w:val="28"/>
            <w:szCs w:val="28"/>
          </w:rPr>
          <w:t>downloadd</w:t>
        </w:r>
      </w:hyperlink>
      <w:r w:rsidRPr="000D4FA1">
        <w:rPr>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1</w:t>
      </w:r>
      <w:r w:rsidR="00F377FC" w:rsidRPr="000D4FA1">
        <w:rPr>
          <w:rFonts w:ascii="Times New Roman" w:eastAsia="Times New Roman" w:hAnsi="Times New Roman" w:cs="Times New Roman"/>
          <w:sz w:val="28"/>
          <w:szCs w:val="28"/>
          <w:lang w:val="ru-RU" w:eastAsia="ru-RU"/>
        </w:rPr>
        <w:t>8</w:t>
      </w:r>
      <w:r w:rsidR="00FB27FF" w:rsidRPr="000D4FA1">
        <w:rPr>
          <w:rFonts w:ascii="Times New Roman" w:eastAsia="Times New Roman" w:hAnsi="Times New Roman" w:cs="Times New Roman"/>
          <w:sz w:val="28"/>
          <w:szCs w:val="28"/>
          <w:lang w:val="ru-RU" w:eastAsia="ru-RU"/>
        </w:rPr>
        <w:t>.01.2025).</w:t>
      </w:r>
    </w:p>
    <w:p w:rsidR="00FB27FF"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hAnsi="Times New Roman" w:cs="Times New Roman"/>
          <w:sz w:val="28"/>
          <w:szCs w:val="28"/>
        </w:rPr>
        <w:t xml:space="preserve">Remington, T. F. </w:t>
      </w:r>
      <w:r w:rsidRPr="000D4FA1">
        <w:rPr>
          <w:rStyle w:val="a7"/>
          <w:rFonts w:ascii="Times New Roman" w:hAnsi="Times New Roman" w:cs="Times New Roman"/>
          <w:i w:val="0"/>
          <w:sz w:val="28"/>
          <w:szCs w:val="28"/>
        </w:rPr>
        <w:t>Public–private partnerships in TVET: adapting the dual system in the US</w:t>
      </w:r>
      <w:r w:rsidRPr="000D4FA1">
        <w:rPr>
          <w:rFonts w:ascii="Times New Roman" w:hAnsi="Times New Roman" w:cs="Times New Roman"/>
          <w:i/>
          <w:sz w:val="28"/>
          <w:szCs w:val="28"/>
        </w:rPr>
        <w:t xml:space="preserve">. </w:t>
      </w:r>
      <w:r w:rsidRPr="000D4FA1">
        <w:rPr>
          <w:rStyle w:val="a7"/>
          <w:rFonts w:ascii="Times New Roman" w:hAnsi="Times New Roman" w:cs="Times New Roman"/>
          <w:i w:val="0"/>
          <w:sz w:val="28"/>
          <w:szCs w:val="28"/>
        </w:rPr>
        <w:t>Journal of Vocational Education &amp; Training</w:t>
      </w:r>
      <w:r w:rsidRPr="000D4FA1">
        <w:rPr>
          <w:rFonts w:ascii="Times New Roman" w:hAnsi="Times New Roman" w:cs="Times New Roman"/>
          <w:i/>
          <w:sz w:val="28"/>
          <w:szCs w:val="28"/>
        </w:rPr>
        <w:t>.</w:t>
      </w:r>
      <w:r w:rsidRPr="000D4FA1">
        <w:rPr>
          <w:rFonts w:ascii="Times New Roman" w:hAnsi="Times New Roman" w:cs="Times New Roman"/>
          <w:sz w:val="28"/>
          <w:szCs w:val="28"/>
        </w:rPr>
        <w:t xml:space="preserve"> </w:t>
      </w:r>
      <w:r w:rsidR="00F377FC" w:rsidRPr="000D4FA1">
        <w:rPr>
          <w:rFonts w:ascii="Times New Roman" w:hAnsi="Times New Roman" w:cs="Times New Roman"/>
          <w:sz w:val="28"/>
          <w:szCs w:val="28"/>
        </w:rPr>
        <w:t xml:space="preserve">2018. </w:t>
      </w:r>
      <w:hyperlink r:id="rId78" w:history="1">
        <w:r w:rsidR="00F377FC" w:rsidRPr="000D4FA1">
          <w:rPr>
            <w:rStyle w:val="af7"/>
            <w:rFonts w:ascii="Times New Roman" w:hAnsi="Times New Roman" w:cs="Times New Roman"/>
            <w:sz w:val="28"/>
            <w:szCs w:val="28"/>
          </w:rPr>
          <w:t>https://thomasremington.com/wp–content/uploads/2022/08/Public–private–partnerships–in–TVET–adapting–the–dual–system–in–US–JVET–TR–2018.pdf</w:t>
        </w:r>
      </w:hyperlink>
      <w:r w:rsidR="00F377FC" w:rsidRPr="000D4FA1">
        <w:rPr>
          <w:rStyle w:val="af7"/>
          <w:rFonts w:ascii="Times New Roman" w:hAnsi="Times New Roman" w:cs="Times New Roman"/>
          <w:sz w:val="28"/>
          <w:szCs w:val="28"/>
        </w:rPr>
        <w:t xml:space="preserve"> </w:t>
      </w:r>
      <w:r w:rsidR="00F377FC" w:rsidRPr="000D4FA1">
        <w:rPr>
          <w:rFonts w:ascii="Times New Roman" w:eastAsia="Times New Roman" w:hAnsi="Times New Roman" w:cs="Times New Roman"/>
          <w:sz w:val="28"/>
          <w:szCs w:val="28"/>
          <w:lang w:eastAsia="ru-RU"/>
        </w:rPr>
        <w:t>(</w:t>
      </w:r>
      <w:r w:rsidR="00F377FC" w:rsidRPr="000D4FA1">
        <w:rPr>
          <w:rFonts w:ascii="Times New Roman" w:eastAsia="Times New Roman" w:hAnsi="Times New Roman" w:cs="Times New Roman"/>
          <w:sz w:val="28"/>
          <w:szCs w:val="28"/>
          <w:lang w:val="ru-RU" w:eastAsia="ru-RU"/>
        </w:rPr>
        <w:t>дата</w:t>
      </w:r>
      <w:r w:rsidR="00F377FC" w:rsidRPr="000D4FA1">
        <w:rPr>
          <w:rFonts w:ascii="Times New Roman" w:eastAsia="Times New Roman" w:hAnsi="Times New Roman" w:cs="Times New Roman"/>
          <w:sz w:val="28"/>
          <w:szCs w:val="28"/>
          <w:lang w:eastAsia="ru-RU"/>
        </w:rPr>
        <w:t xml:space="preserve"> </w:t>
      </w:r>
      <w:r w:rsidR="00F377FC" w:rsidRPr="000D4FA1">
        <w:rPr>
          <w:rFonts w:ascii="Times New Roman" w:eastAsia="Times New Roman" w:hAnsi="Times New Roman" w:cs="Times New Roman"/>
          <w:sz w:val="28"/>
          <w:szCs w:val="28"/>
          <w:lang w:val="ru-RU" w:eastAsia="ru-RU"/>
        </w:rPr>
        <w:t>обращения</w:t>
      </w:r>
      <w:r w:rsidR="00F377FC" w:rsidRPr="000D4FA1">
        <w:rPr>
          <w:rFonts w:ascii="Times New Roman" w:eastAsia="Times New Roman" w:hAnsi="Times New Roman" w:cs="Times New Roman"/>
          <w:sz w:val="28"/>
          <w:szCs w:val="28"/>
          <w:lang w:eastAsia="ru-RU"/>
        </w:rPr>
        <w:t xml:space="preserve"> 12.02.2025).</w:t>
      </w:r>
    </w:p>
    <w:p w:rsidR="00FB27FF"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hAnsi="Times New Roman" w:cs="Times New Roman"/>
          <w:sz w:val="28"/>
          <w:szCs w:val="28"/>
        </w:rPr>
        <w:t xml:space="preserve">European Training Foundation. </w:t>
      </w:r>
      <w:r w:rsidRPr="000D4FA1">
        <w:rPr>
          <w:rStyle w:val="a7"/>
          <w:rFonts w:ascii="Times New Roman" w:hAnsi="Times New Roman" w:cs="Times New Roman"/>
          <w:i w:val="0"/>
          <w:sz w:val="28"/>
          <w:szCs w:val="28"/>
        </w:rPr>
        <w:t>Public–Private Partnerships for Skills Development</w:t>
      </w:r>
      <w:r w:rsidR="00F377FC" w:rsidRPr="000D4FA1">
        <w:rPr>
          <w:rStyle w:val="a7"/>
          <w:rFonts w:ascii="Times New Roman" w:hAnsi="Times New Roman" w:cs="Times New Roman"/>
          <w:i w:val="0"/>
          <w:sz w:val="28"/>
          <w:szCs w:val="28"/>
        </w:rPr>
        <w:t xml:space="preserve">. </w:t>
      </w:r>
      <w:r w:rsidR="00F377FC" w:rsidRPr="000D4FA1">
        <w:rPr>
          <w:rFonts w:ascii="Times New Roman" w:hAnsi="Times New Roman" w:cs="Times New Roman"/>
          <w:sz w:val="28"/>
          <w:szCs w:val="28"/>
          <w:lang w:val="ru-RU"/>
        </w:rPr>
        <w:t>2021</w:t>
      </w:r>
      <w:r w:rsidRPr="000D4FA1">
        <w:rPr>
          <w:rFonts w:ascii="Times New Roman" w:hAnsi="Times New Roman" w:cs="Times New Roman"/>
          <w:sz w:val="28"/>
          <w:szCs w:val="28"/>
          <w:lang w:val="ru-RU"/>
        </w:rPr>
        <w:t xml:space="preserve">. </w:t>
      </w:r>
      <w:hyperlink r:id="rId79"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www</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etf</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europa</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eu</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sites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default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files</w:t>
        </w:r>
        <w:r w:rsidRPr="000D4FA1">
          <w:rPr>
            <w:rStyle w:val="af7"/>
            <w:rFonts w:ascii="Times New Roman" w:hAnsi="Times New Roman" w:cs="Times New Roman"/>
            <w:sz w:val="28"/>
            <w:szCs w:val="28"/>
            <w:lang w:val="ru-RU"/>
          </w:rPr>
          <w:t>/2021</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lang w:val="ru-RU"/>
          </w:rPr>
          <w:t>01/</w:t>
        </w:r>
        <w:r w:rsidRPr="000D4FA1">
          <w:rPr>
            <w:rStyle w:val="af7"/>
            <w:rFonts w:ascii="Times New Roman" w:hAnsi="Times New Roman" w:cs="Times New Roman"/>
            <w:sz w:val="28"/>
            <w:szCs w:val="28"/>
          </w:rPr>
          <w:t>ppps</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for</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skills</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development</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volume</w:t>
        </w:r>
        <w:r w:rsidRPr="000D4FA1">
          <w:rPr>
            <w:rStyle w:val="af7"/>
            <w:rFonts w:ascii="Times New Roman" w:hAnsi="Times New Roman" w:cs="Times New Roman"/>
            <w:sz w:val="28"/>
            <w:szCs w:val="28"/>
            <w:lang w:val="ru-RU"/>
          </w:rPr>
          <w:t>_</w:t>
        </w:r>
        <w:r w:rsidRPr="000D4FA1">
          <w:rPr>
            <w:rStyle w:val="af7"/>
            <w:rFonts w:ascii="Times New Roman" w:hAnsi="Times New Roman" w:cs="Times New Roman"/>
            <w:sz w:val="28"/>
            <w:szCs w:val="28"/>
          </w:rPr>
          <w:t>i</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pdf</w:t>
        </w:r>
      </w:hyperlink>
      <w:r w:rsidRPr="000D4FA1">
        <w:rPr>
          <w:rFonts w:ascii="Times New Roman" w:hAnsi="Times New Roman" w:cs="Times New Roman"/>
          <w:sz w:val="28"/>
          <w:szCs w:val="28"/>
          <w:lang w:val="ru-RU"/>
        </w:rPr>
        <w:t xml:space="preserve"> </w:t>
      </w:r>
      <w:r w:rsidR="00F377FC" w:rsidRPr="000D4FA1">
        <w:rPr>
          <w:rFonts w:ascii="Times New Roman" w:hAnsi="Times New Roman" w:cs="Times New Roman"/>
          <w:sz w:val="28"/>
          <w:szCs w:val="28"/>
          <w:lang w:val="ru-RU"/>
        </w:rPr>
        <w:t xml:space="preserve"> </w:t>
      </w:r>
      <w:r w:rsidR="00F377FC" w:rsidRPr="000D4FA1">
        <w:rPr>
          <w:rFonts w:ascii="Times New Roman" w:eastAsia="Times New Roman" w:hAnsi="Times New Roman" w:cs="Times New Roman"/>
          <w:sz w:val="28"/>
          <w:szCs w:val="28"/>
          <w:lang w:val="ru-RU" w:eastAsia="ru-RU"/>
        </w:rPr>
        <w:t>(дата обращения 13.02.2025).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hAnsi="Times New Roman" w:cs="Times New Roman"/>
          <w:sz w:val="28"/>
          <w:szCs w:val="28"/>
        </w:rPr>
        <w:t xml:space="preserve">Fürstenau, B., Pilz, M., &amp; Gonon, P. </w:t>
      </w:r>
      <w:r w:rsidRPr="000D4FA1">
        <w:rPr>
          <w:rStyle w:val="a5"/>
          <w:rFonts w:ascii="Times New Roman" w:hAnsi="Times New Roman" w:cs="Times New Roman"/>
          <w:b w:val="0"/>
          <w:sz w:val="28"/>
          <w:szCs w:val="28"/>
        </w:rPr>
        <w:t>The Dual System of Vocational Education and Training in Germany – What Can Be Learnt About Education for (Other) Professions</w:t>
      </w:r>
      <w:r w:rsidR="000B63C5" w:rsidRPr="000D4FA1">
        <w:rPr>
          <w:rFonts w:ascii="Times New Roman" w:hAnsi="Times New Roman" w:cs="Times New Roman"/>
          <w:sz w:val="28"/>
          <w:szCs w:val="28"/>
        </w:rPr>
        <w:t xml:space="preserve">.2014. </w:t>
      </w:r>
      <w:hyperlink r:id="rId80" w:history="1">
        <w:r w:rsidR="005F7ED7" w:rsidRPr="000D4FA1">
          <w:rPr>
            <w:rStyle w:val="af7"/>
            <w:rFonts w:ascii="Times New Roman" w:hAnsi="Times New Roman" w:cs="Times New Roman"/>
            <w:sz w:val="28"/>
            <w:szCs w:val="28"/>
          </w:rPr>
          <w:t>https</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www</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researchgate</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net</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publication</w:t>
        </w:r>
        <w:r w:rsidR="005F7ED7" w:rsidRPr="000D4FA1">
          <w:rPr>
            <w:rStyle w:val="af7"/>
            <w:rFonts w:ascii="Times New Roman" w:hAnsi="Times New Roman" w:cs="Times New Roman"/>
            <w:sz w:val="28"/>
            <w:szCs w:val="28"/>
            <w:lang w:val="ru-RU"/>
          </w:rPr>
          <w:t>/280702844_</w:t>
        </w:r>
        <w:r w:rsidR="005F7ED7" w:rsidRPr="000D4FA1">
          <w:rPr>
            <w:rStyle w:val="af7"/>
            <w:rFonts w:ascii="Times New Roman" w:hAnsi="Times New Roman" w:cs="Times New Roman"/>
            <w:sz w:val="28"/>
            <w:szCs w:val="28"/>
          </w:rPr>
          <w:t>The</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Dual</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System</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of</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Vocational</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Education</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and</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Training</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in</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Germany</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What</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Can</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Be</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Learnt</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About</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Education</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for</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Other</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Professions</w:t>
        </w:r>
      </w:hyperlink>
      <w:r w:rsidRPr="000D4FA1">
        <w:rPr>
          <w:rStyle w:val="a5"/>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0</w:t>
      </w:r>
      <w:r w:rsidR="005F7ED7" w:rsidRPr="000D4FA1">
        <w:rPr>
          <w:rFonts w:ascii="Times New Roman" w:eastAsia="Times New Roman" w:hAnsi="Times New Roman" w:cs="Times New Roman"/>
          <w:sz w:val="28"/>
          <w:szCs w:val="28"/>
          <w:lang w:val="ru-RU" w:eastAsia="ru-RU"/>
        </w:rPr>
        <w:t>3</w:t>
      </w:r>
      <w:r w:rsidR="00FB27FF" w:rsidRPr="000D4FA1">
        <w:rPr>
          <w:rFonts w:ascii="Times New Roman" w:eastAsia="Times New Roman" w:hAnsi="Times New Roman" w:cs="Times New Roman"/>
          <w:sz w:val="28"/>
          <w:szCs w:val="28"/>
          <w:lang w:val="ru-RU" w:eastAsia="ru-RU"/>
        </w:rPr>
        <w:t>.01.2025).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val="ru-RU" w:eastAsia="ru-RU"/>
        </w:rPr>
      </w:pPr>
      <w:r w:rsidRPr="000D4FA1">
        <w:rPr>
          <w:rFonts w:ascii="Times New Roman" w:hAnsi="Times New Roman" w:cs="Times New Roman"/>
          <w:sz w:val="28"/>
          <w:szCs w:val="28"/>
        </w:rPr>
        <w:t xml:space="preserve">Euler, D. </w:t>
      </w:r>
      <w:r w:rsidRPr="000D4FA1">
        <w:rPr>
          <w:rStyle w:val="a5"/>
          <w:rFonts w:ascii="Times New Roman" w:hAnsi="Times New Roman" w:cs="Times New Roman"/>
          <w:b w:val="0"/>
          <w:sz w:val="28"/>
          <w:szCs w:val="28"/>
        </w:rPr>
        <w:t>Germany’s dual vocational training system: a model for other countries?</w:t>
      </w:r>
      <w:r w:rsidRPr="000D4FA1">
        <w:rPr>
          <w:rFonts w:ascii="Times New Roman" w:hAnsi="Times New Roman" w:cs="Times New Roman"/>
          <w:sz w:val="28"/>
          <w:szCs w:val="28"/>
        </w:rPr>
        <w:t xml:space="preserve"> </w:t>
      </w:r>
      <w:r w:rsidR="005F7ED7" w:rsidRPr="000D4FA1">
        <w:rPr>
          <w:rFonts w:ascii="Times New Roman" w:hAnsi="Times New Roman" w:cs="Times New Roman"/>
          <w:sz w:val="28"/>
          <w:szCs w:val="28"/>
          <w:lang w:val="ru-RU"/>
        </w:rPr>
        <w:t xml:space="preserve">2015. </w:t>
      </w:r>
      <w:hyperlink r:id="rId81" w:history="1">
        <w:r w:rsidR="005F7ED7" w:rsidRPr="000D4FA1">
          <w:rPr>
            <w:rStyle w:val="af7"/>
            <w:rFonts w:ascii="Times New Roman" w:hAnsi="Times New Roman" w:cs="Times New Roman"/>
            <w:sz w:val="28"/>
            <w:szCs w:val="28"/>
          </w:rPr>
          <w:t>https</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www</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bertelsmann</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stiftung</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de</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fileadmin</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files</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BSt</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Publikationen</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GrauePublikationen</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GP</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Germanys</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dual</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vocational</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training</w:t>
        </w:r>
        <w:r w:rsidR="005F7ED7" w:rsidRPr="000D4FA1">
          <w:rPr>
            <w:rStyle w:val="af7"/>
            <w:rFonts w:ascii="Times New Roman" w:hAnsi="Times New Roman" w:cs="Times New Roman"/>
            <w:sz w:val="28"/>
            <w:szCs w:val="28"/>
            <w:lang w:val="ru-RU"/>
          </w:rPr>
          <w:t>_</w:t>
        </w:r>
        <w:r w:rsidR="005F7ED7" w:rsidRPr="000D4FA1">
          <w:rPr>
            <w:rStyle w:val="af7"/>
            <w:rFonts w:ascii="Times New Roman" w:hAnsi="Times New Roman" w:cs="Times New Roman"/>
            <w:sz w:val="28"/>
            <w:szCs w:val="28"/>
          </w:rPr>
          <w:t>system</w:t>
        </w:r>
        <w:r w:rsidR="005F7ED7" w:rsidRPr="000D4FA1">
          <w:rPr>
            <w:rStyle w:val="af7"/>
            <w:rFonts w:ascii="Times New Roman" w:hAnsi="Times New Roman" w:cs="Times New Roman"/>
            <w:sz w:val="28"/>
            <w:szCs w:val="28"/>
            <w:lang w:val="ru-RU"/>
          </w:rPr>
          <w:t>.</w:t>
        </w:r>
        <w:r w:rsidR="005F7ED7" w:rsidRPr="000D4FA1">
          <w:rPr>
            <w:rStyle w:val="af7"/>
            <w:rFonts w:ascii="Times New Roman" w:hAnsi="Times New Roman" w:cs="Times New Roman"/>
            <w:sz w:val="28"/>
            <w:szCs w:val="28"/>
          </w:rPr>
          <w:t>pdf</w:t>
        </w:r>
      </w:hyperlink>
      <w:r w:rsidRPr="000D4FA1">
        <w:rPr>
          <w:rStyle w:val="a5"/>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10.01.2025).</w:t>
      </w:r>
    </w:p>
    <w:p w:rsidR="00FB27FF" w:rsidRPr="000D4FA1" w:rsidRDefault="00653F3E" w:rsidP="006C0BBD">
      <w:pPr>
        <w:pStyle w:val="a6"/>
        <w:numPr>
          <w:ilvl w:val="0"/>
          <w:numId w:val="12"/>
        </w:numPr>
        <w:spacing w:after="0" w:line="240" w:lineRule="auto"/>
        <w:ind w:left="0" w:firstLine="360"/>
        <w:jc w:val="both"/>
        <w:rPr>
          <w:rFonts w:ascii="Times New Roman" w:eastAsia="Times New Roman" w:hAnsi="Times New Roman" w:cs="Times New Roman"/>
          <w:sz w:val="28"/>
          <w:szCs w:val="28"/>
          <w:lang w:eastAsia="ru-RU"/>
        </w:rPr>
      </w:pPr>
      <w:r w:rsidRPr="000D4FA1">
        <w:rPr>
          <w:rStyle w:val="a5"/>
          <w:rFonts w:ascii="Times New Roman" w:hAnsi="Times New Roman" w:cs="Times New Roman"/>
          <w:b w:val="0"/>
          <w:sz w:val="28"/>
          <w:szCs w:val="28"/>
        </w:rPr>
        <w:t xml:space="preserve">Wang, X., &amp; Kitan, M. V. Assessing the German Dual Education System: A Basis of Enhancing the Training Model of Shaanxi Polytechnic Institute. </w:t>
      </w:r>
      <w:r w:rsidRPr="000D4FA1">
        <w:rPr>
          <w:rStyle w:val="a7"/>
          <w:rFonts w:ascii="Times New Roman" w:hAnsi="Times New Roman" w:cs="Times New Roman"/>
          <w:bCs/>
          <w:i w:val="0"/>
          <w:sz w:val="28"/>
          <w:szCs w:val="28"/>
        </w:rPr>
        <w:t>Journal of Education and Educational Research</w:t>
      </w:r>
      <w:r w:rsidR="005F7ED7" w:rsidRPr="000D4FA1">
        <w:rPr>
          <w:rStyle w:val="a7"/>
          <w:rFonts w:ascii="Times New Roman" w:hAnsi="Times New Roman" w:cs="Times New Roman"/>
          <w:bCs/>
          <w:i w:val="0"/>
          <w:sz w:val="28"/>
          <w:szCs w:val="28"/>
        </w:rPr>
        <w:t xml:space="preserve">. </w:t>
      </w:r>
      <w:r w:rsidR="005F7ED7" w:rsidRPr="000D4FA1">
        <w:rPr>
          <w:rStyle w:val="a5"/>
          <w:rFonts w:ascii="Times New Roman" w:hAnsi="Times New Roman" w:cs="Times New Roman"/>
          <w:b w:val="0"/>
          <w:sz w:val="28"/>
          <w:szCs w:val="28"/>
        </w:rPr>
        <w:t>2025.</w:t>
      </w:r>
      <w:r w:rsidRPr="000D4FA1">
        <w:rPr>
          <w:rStyle w:val="a5"/>
          <w:rFonts w:ascii="Times New Roman" w:hAnsi="Times New Roman" w:cs="Times New Roman"/>
          <w:b w:val="0"/>
          <w:sz w:val="28"/>
          <w:szCs w:val="28"/>
        </w:rPr>
        <w:t xml:space="preserve"> 12(2)</w:t>
      </w:r>
      <w:r w:rsidR="005F7ED7" w:rsidRPr="000D4FA1">
        <w:rPr>
          <w:rStyle w:val="a5"/>
          <w:rFonts w:ascii="Times New Roman" w:hAnsi="Times New Roman" w:cs="Times New Roman"/>
          <w:b w:val="0"/>
          <w:sz w:val="28"/>
          <w:szCs w:val="28"/>
        </w:rPr>
        <w:t xml:space="preserve">. – </w:t>
      </w:r>
      <w:r w:rsidR="005F7ED7" w:rsidRPr="000D4FA1">
        <w:rPr>
          <w:rStyle w:val="a5"/>
          <w:rFonts w:ascii="Times New Roman" w:hAnsi="Times New Roman" w:cs="Times New Roman"/>
          <w:b w:val="0"/>
          <w:sz w:val="28"/>
          <w:szCs w:val="28"/>
          <w:lang w:val="ru-RU"/>
        </w:rPr>
        <w:t>С</w:t>
      </w:r>
      <w:r w:rsidR="005F7ED7"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 xml:space="preserve"> 54–60.</w:t>
      </w:r>
      <w:r w:rsidR="00FB27FF" w:rsidRPr="000D4FA1">
        <w:rPr>
          <w:rStyle w:val="a5"/>
          <w:rFonts w:ascii="Times New Roman" w:hAnsi="Times New Roman" w:cs="Times New Roman"/>
          <w:b w:val="0"/>
          <w:sz w:val="28"/>
          <w:szCs w:val="28"/>
        </w:rPr>
        <w:t xml:space="preserve"> </w:t>
      </w:r>
      <w:hyperlink r:id="rId82" w:history="1">
        <w:r w:rsidR="00FB27FF" w:rsidRPr="000D4FA1">
          <w:rPr>
            <w:rStyle w:val="af7"/>
            <w:rFonts w:ascii="Times New Roman" w:hAnsi="Times New Roman" w:cs="Times New Roman"/>
            <w:sz w:val="28"/>
            <w:szCs w:val="28"/>
          </w:rPr>
          <w:t>https://drpress.org/ojs/index.php/jeer/article/view/29762</w:t>
        </w:r>
      </w:hyperlink>
      <w:r w:rsidR="005F7ED7" w:rsidRPr="000D4FA1">
        <w:rPr>
          <w:rStyle w:val="af7"/>
          <w:rFonts w:ascii="Times New Roman" w:hAnsi="Times New Roman" w:cs="Times New Roman"/>
          <w:sz w:val="28"/>
          <w:szCs w:val="28"/>
        </w:rPr>
        <w:t xml:space="preserve"> </w:t>
      </w:r>
      <w:r w:rsidR="00FB27FF" w:rsidRPr="000D4FA1">
        <w:rPr>
          <w:rFonts w:ascii="Times New Roman" w:eastAsia="Times New Roman" w:hAnsi="Times New Roman" w:cs="Times New Roman"/>
          <w:sz w:val="28"/>
          <w:szCs w:val="28"/>
          <w:lang w:eastAsia="ru-RU"/>
        </w:rPr>
        <w:t>(</w:t>
      </w:r>
      <w:r w:rsidR="00FB27FF" w:rsidRPr="000D4FA1">
        <w:rPr>
          <w:rFonts w:ascii="Times New Roman" w:eastAsia="Times New Roman" w:hAnsi="Times New Roman" w:cs="Times New Roman"/>
          <w:sz w:val="28"/>
          <w:szCs w:val="28"/>
          <w:lang w:val="ru-RU" w:eastAsia="ru-RU"/>
        </w:rPr>
        <w:t>дата</w:t>
      </w:r>
      <w:r w:rsidR="00FB27FF" w:rsidRPr="000D4FA1">
        <w:rPr>
          <w:rFonts w:ascii="Times New Roman" w:eastAsia="Times New Roman" w:hAnsi="Times New Roman" w:cs="Times New Roman"/>
          <w:sz w:val="28"/>
          <w:szCs w:val="28"/>
          <w:lang w:eastAsia="ru-RU"/>
        </w:rPr>
        <w:t xml:space="preserve"> </w:t>
      </w:r>
      <w:r w:rsidR="00FB27FF" w:rsidRPr="000D4FA1">
        <w:rPr>
          <w:rFonts w:ascii="Times New Roman" w:eastAsia="Times New Roman" w:hAnsi="Times New Roman" w:cs="Times New Roman"/>
          <w:sz w:val="28"/>
          <w:szCs w:val="28"/>
          <w:lang w:val="ru-RU" w:eastAsia="ru-RU"/>
        </w:rPr>
        <w:t>обращения</w:t>
      </w:r>
      <w:r w:rsidR="00FB27FF" w:rsidRPr="000D4FA1">
        <w:rPr>
          <w:rFonts w:ascii="Times New Roman" w:eastAsia="Times New Roman" w:hAnsi="Times New Roman" w:cs="Times New Roman"/>
          <w:sz w:val="28"/>
          <w:szCs w:val="28"/>
          <w:lang w:eastAsia="ru-RU"/>
        </w:rPr>
        <w:t xml:space="preserve"> 10.01.2025)</w:t>
      </w:r>
    </w:p>
    <w:p w:rsidR="00FB27FF" w:rsidRPr="000D4FA1" w:rsidRDefault="00653F3E"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rPr>
      </w:pPr>
      <w:r w:rsidRPr="000D4FA1">
        <w:rPr>
          <w:rStyle w:val="a5"/>
          <w:rFonts w:ascii="Times New Roman" w:hAnsi="Times New Roman" w:cs="Times New Roman"/>
          <w:b w:val="0"/>
          <w:sz w:val="28"/>
          <w:szCs w:val="28"/>
        </w:rPr>
        <w:t>Kats, A.S. Adaptive potential of international practices of university</w:t>
      </w:r>
      <w:r w:rsidR="007B767F"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teachers’ professional development based on the example of Canada. Kazan Pedagogical Journal</w:t>
      </w:r>
      <w:r w:rsidR="005F7ED7" w:rsidRPr="000D4FA1">
        <w:rPr>
          <w:rStyle w:val="a5"/>
          <w:rFonts w:ascii="Times New Roman" w:hAnsi="Times New Roman" w:cs="Times New Roman"/>
          <w:b w:val="0"/>
          <w:sz w:val="28"/>
          <w:szCs w:val="28"/>
        </w:rPr>
        <w:t xml:space="preserve">. 2023. </w:t>
      </w:r>
      <w:r w:rsidRPr="000D4FA1">
        <w:rPr>
          <w:rStyle w:val="a5"/>
          <w:rFonts w:ascii="Times New Roman" w:hAnsi="Times New Roman" w:cs="Times New Roman"/>
          <w:b w:val="0"/>
          <w:sz w:val="28"/>
          <w:szCs w:val="28"/>
        </w:rPr>
        <w:t>158(1)</w:t>
      </w:r>
      <w:r w:rsidR="005F7ED7" w:rsidRPr="000D4FA1">
        <w:rPr>
          <w:rStyle w:val="a5"/>
          <w:rFonts w:ascii="Times New Roman" w:hAnsi="Times New Roman" w:cs="Times New Roman"/>
          <w:b w:val="0"/>
          <w:sz w:val="28"/>
          <w:szCs w:val="28"/>
        </w:rPr>
        <w:t xml:space="preserve">. – </w:t>
      </w:r>
      <w:r w:rsidR="005F7ED7" w:rsidRPr="000D4FA1">
        <w:rPr>
          <w:rStyle w:val="a5"/>
          <w:rFonts w:ascii="Times New Roman" w:hAnsi="Times New Roman" w:cs="Times New Roman"/>
          <w:b w:val="0"/>
          <w:sz w:val="28"/>
          <w:szCs w:val="28"/>
          <w:lang w:val="ru-RU"/>
        </w:rPr>
        <w:t>С</w:t>
      </w:r>
      <w:r w:rsidR="005F7ED7"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 xml:space="preserve"> </w:t>
      </w:r>
      <w:r w:rsidR="005F7ED7" w:rsidRPr="000D4FA1">
        <w:rPr>
          <w:rStyle w:val="a5"/>
          <w:rFonts w:ascii="Times New Roman" w:hAnsi="Times New Roman" w:cs="Times New Roman"/>
          <w:b w:val="0"/>
          <w:sz w:val="28"/>
          <w:szCs w:val="28"/>
        </w:rPr>
        <w:t>1</w:t>
      </w:r>
      <w:r w:rsidRPr="000D4FA1">
        <w:rPr>
          <w:rStyle w:val="a5"/>
          <w:rFonts w:ascii="Times New Roman" w:hAnsi="Times New Roman" w:cs="Times New Roman"/>
          <w:b w:val="0"/>
          <w:sz w:val="28"/>
          <w:szCs w:val="28"/>
        </w:rPr>
        <w:t xml:space="preserve">046. </w:t>
      </w:r>
      <w:hyperlink r:id="rId83" w:history="1">
        <w:r w:rsidR="00FB27FF" w:rsidRPr="000D4FA1">
          <w:rPr>
            <w:rStyle w:val="af7"/>
            <w:rFonts w:ascii="Times New Roman" w:hAnsi="Times New Roman" w:cs="Times New Roman"/>
            <w:sz w:val="28"/>
            <w:szCs w:val="28"/>
          </w:rPr>
          <w:t>https://doi.org/10.51379/KPJ.2023.158.1.046</w:t>
        </w:r>
      </w:hyperlink>
      <w:r w:rsidRPr="000D4FA1">
        <w:rPr>
          <w:rStyle w:val="a5"/>
          <w:rFonts w:ascii="Times New Roman" w:hAnsi="Times New Roman" w:cs="Times New Roman"/>
          <w:b w:val="0"/>
          <w:sz w:val="28"/>
          <w:szCs w:val="28"/>
        </w:rPr>
        <w:t xml:space="preserve"> </w:t>
      </w:r>
      <w:r w:rsidR="00FB27FF" w:rsidRPr="000D4FA1">
        <w:rPr>
          <w:rStyle w:val="a5"/>
          <w:rFonts w:ascii="Times New Roman" w:hAnsi="Times New Roman" w:cs="Times New Roman"/>
          <w:b w:val="0"/>
          <w:sz w:val="28"/>
          <w:szCs w:val="28"/>
        </w:rPr>
        <w:t xml:space="preserve"> (дата обращения 10.01.2025).</w:t>
      </w:r>
    </w:p>
    <w:p w:rsidR="00653F3E" w:rsidRPr="000D4FA1" w:rsidRDefault="00653F3E"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rPr>
      </w:pPr>
      <w:r w:rsidRPr="000D4FA1">
        <w:rPr>
          <w:rStyle w:val="a5"/>
          <w:rFonts w:ascii="Times New Roman" w:hAnsi="Times New Roman" w:cs="Times New Roman"/>
          <w:b w:val="0"/>
          <w:sz w:val="28"/>
          <w:szCs w:val="28"/>
        </w:rPr>
        <w:t>Niemi, H. Teacher Professional Development in Finland: Towards a More Holistic Approach. Psychology, Society &amp; Education</w:t>
      </w:r>
      <w:r w:rsidR="005F7ED7" w:rsidRPr="000D4FA1">
        <w:rPr>
          <w:rStyle w:val="a5"/>
          <w:rFonts w:ascii="Times New Roman" w:hAnsi="Times New Roman" w:cs="Times New Roman"/>
          <w:b w:val="0"/>
          <w:sz w:val="28"/>
          <w:szCs w:val="28"/>
          <w:lang w:val="ru-RU"/>
        </w:rPr>
        <w:t>.</w:t>
      </w:r>
      <w:r w:rsidRPr="000D4FA1">
        <w:rPr>
          <w:rStyle w:val="a5"/>
          <w:rFonts w:ascii="Times New Roman" w:hAnsi="Times New Roman" w:cs="Times New Roman"/>
          <w:b w:val="0"/>
          <w:sz w:val="28"/>
          <w:szCs w:val="28"/>
        </w:rPr>
        <w:t xml:space="preserve"> </w:t>
      </w:r>
      <w:r w:rsidR="005F7ED7" w:rsidRPr="000D4FA1">
        <w:rPr>
          <w:rStyle w:val="a5"/>
          <w:rFonts w:ascii="Times New Roman" w:hAnsi="Times New Roman" w:cs="Times New Roman"/>
          <w:b w:val="0"/>
          <w:sz w:val="28"/>
          <w:szCs w:val="28"/>
        </w:rPr>
        <w:t>2015</w:t>
      </w:r>
      <w:r w:rsidR="005F7ED7" w:rsidRPr="000D4FA1">
        <w:rPr>
          <w:rStyle w:val="a5"/>
          <w:rFonts w:ascii="Times New Roman" w:hAnsi="Times New Roman" w:cs="Times New Roman"/>
          <w:b w:val="0"/>
          <w:sz w:val="28"/>
          <w:szCs w:val="28"/>
          <w:lang w:val="ru-RU"/>
        </w:rPr>
        <w:t xml:space="preserve">. </w:t>
      </w:r>
      <w:r w:rsidRPr="000D4FA1">
        <w:rPr>
          <w:rStyle w:val="a5"/>
          <w:rFonts w:ascii="Times New Roman" w:hAnsi="Times New Roman" w:cs="Times New Roman"/>
          <w:b w:val="0"/>
          <w:sz w:val="28"/>
          <w:szCs w:val="28"/>
        </w:rPr>
        <w:t>7(3)</w:t>
      </w:r>
      <w:r w:rsidR="005F7ED7" w:rsidRPr="000D4FA1">
        <w:rPr>
          <w:rStyle w:val="a5"/>
          <w:rFonts w:ascii="Times New Roman" w:hAnsi="Times New Roman" w:cs="Times New Roman"/>
          <w:b w:val="0"/>
          <w:sz w:val="28"/>
          <w:szCs w:val="28"/>
          <w:lang w:val="ru-RU"/>
        </w:rPr>
        <w:t>. – С.</w:t>
      </w:r>
      <w:r w:rsidRPr="000D4FA1">
        <w:rPr>
          <w:rStyle w:val="a5"/>
          <w:rFonts w:ascii="Times New Roman" w:hAnsi="Times New Roman" w:cs="Times New Roman"/>
          <w:b w:val="0"/>
          <w:sz w:val="28"/>
          <w:szCs w:val="28"/>
        </w:rPr>
        <w:t xml:space="preserve"> 278–294. </w:t>
      </w:r>
      <w:hyperlink r:id="rId84" w:history="1">
        <w:r w:rsidR="00FB27FF" w:rsidRPr="000D4FA1">
          <w:rPr>
            <w:rStyle w:val="af7"/>
            <w:rFonts w:ascii="Times New Roman" w:hAnsi="Times New Roman" w:cs="Times New Roman"/>
            <w:sz w:val="28"/>
            <w:szCs w:val="28"/>
          </w:rPr>
          <w:t>https://doi.org/10.25115/psye.v7i3.519</w:t>
        </w:r>
      </w:hyperlink>
      <w:r w:rsidRPr="000D4FA1">
        <w:rPr>
          <w:rStyle w:val="a5"/>
          <w:rFonts w:ascii="Times New Roman" w:hAnsi="Times New Roman" w:cs="Times New Roman"/>
          <w:b w:val="0"/>
          <w:sz w:val="28"/>
          <w:szCs w:val="28"/>
        </w:rPr>
        <w:t xml:space="preserve"> </w:t>
      </w:r>
    </w:p>
    <w:p w:rsidR="00653F3E" w:rsidRPr="000D4FA1" w:rsidRDefault="00432205"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lang w:val="ru-RU"/>
        </w:rPr>
      </w:pPr>
      <w:hyperlink r:id="rId85" w:history="1">
        <w:r w:rsidR="00653F3E" w:rsidRPr="000D4FA1">
          <w:rPr>
            <w:rStyle w:val="a5"/>
            <w:rFonts w:ascii="Times New Roman" w:hAnsi="Times New Roman" w:cs="Times New Roman"/>
            <w:b w:val="0"/>
            <w:sz w:val="28"/>
            <w:szCs w:val="28"/>
          </w:rPr>
          <w:t>OECD</w:t>
        </w:r>
      </w:hyperlink>
      <w:r w:rsidR="00653F3E" w:rsidRPr="000D4FA1">
        <w:rPr>
          <w:rStyle w:val="a5"/>
          <w:rFonts w:ascii="Times New Roman" w:hAnsi="Times New Roman" w:cs="Times New Roman"/>
          <w:b w:val="0"/>
          <w:sz w:val="28"/>
          <w:szCs w:val="28"/>
        </w:rPr>
        <w:t xml:space="preserve"> </w:t>
      </w:r>
      <w:hyperlink r:id="rId86" w:history="1">
        <w:r w:rsidR="00FB27FF" w:rsidRPr="000D4FA1">
          <w:rPr>
            <w:rStyle w:val="af7"/>
            <w:rFonts w:ascii="Times New Roman" w:hAnsi="Times New Roman" w:cs="Times New Roman"/>
            <w:sz w:val="28"/>
            <w:szCs w:val="28"/>
          </w:rPr>
          <w:t>https://www.oecd.org/en/publications/vocational–education–and–training–and–the–green–transition–in–finland_4d29a34a–en/full–report/supporting–learners–in–the–green–transition–through–strong–career–guidance–and–excellence–in–teaching–in–vocational–education–and–training_27d30cd1.html?</w:t>
        </w:r>
      </w:hyperlink>
      <w:r w:rsidR="005F7ED7" w:rsidRPr="000D4FA1">
        <w:rPr>
          <w:rStyle w:val="a5"/>
          <w:rFonts w:ascii="Times New Roman" w:hAnsi="Times New Roman" w:cs="Times New Roman"/>
          <w:b w:val="0"/>
          <w:sz w:val="28"/>
          <w:szCs w:val="28"/>
        </w:rPr>
        <w:t xml:space="preserve"> </w:t>
      </w:r>
      <w:r w:rsidR="005F7ED7" w:rsidRPr="000D4FA1">
        <w:rPr>
          <w:rFonts w:ascii="Times New Roman" w:eastAsia="Times New Roman" w:hAnsi="Times New Roman" w:cs="Times New Roman"/>
          <w:sz w:val="28"/>
          <w:szCs w:val="28"/>
          <w:lang w:val="ru-RU" w:eastAsia="ru-RU"/>
        </w:rPr>
        <w:t>(дата обращения 17.12.2024).</w:t>
      </w:r>
    </w:p>
    <w:p w:rsidR="00653F3E" w:rsidRPr="000D4FA1" w:rsidRDefault="00653F3E"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lang w:val="ru-RU"/>
        </w:rPr>
      </w:pPr>
      <w:r w:rsidRPr="000D4FA1">
        <w:rPr>
          <w:rStyle w:val="a5"/>
          <w:rFonts w:ascii="Times New Roman" w:hAnsi="Times New Roman" w:cs="Times New Roman"/>
          <w:b w:val="0"/>
          <w:sz w:val="28"/>
          <w:szCs w:val="28"/>
          <w:lang w:val="ru-RU"/>
        </w:rPr>
        <w:t xml:space="preserve">Об утверждении Государственной программы развития продуктивной занятости и массового предпринимательства на 2017 – 2021 годы </w:t>
      </w:r>
      <w:r w:rsidR="00EC1829" w:rsidRPr="000D4FA1">
        <w:rPr>
          <w:rStyle w:val="a5"/>
          <w:rFonts w:ascii="Times New Roman" w:hAnsi="Times New Roman" w:cs="Times New Roman"/>
          <w:b w:val="0"/>
          <w:sz w:val="28"/>
          <w:szCs w:val="28"/>
          <w:lang w:val="ru-RU"/>
        </w:rPr>
        <w:t>«</w:t>
      </w:r>
      <w:r w:rsidRPr="000D4FA1">
        <w:rPr>
          <w:rStyle w:val="a5"/>
          <w:rFonts w:ascii="Times New Roman" w:hAnsi="Times New Roman" w:cs="Times New Roman"/>
          <w:b w:val="0"/>
          <w:sz w:val="28"/>
          <w:szCs w:val="28"/>
          <w:lang w:val="ru-RU"/>
        </w:rPr>
        <w:t>Еңбек</w:t>
      </w:r>
      <w:r w:rsidR="00EC1829" w:rsidRPr="000D4FA1">
        <w:rPr>
          <w:rStyle w:val="a5"/>
          <w:rFonts w:ascii="Times New Roman" w:hAnsi="Times New Roman" w:cs="Times New Roman"/>
          <w:b w:val="0"/>
          <w:sz w:val="28"/>
          <w:szCs w:val="28"/>
          <w:lang w:val="ru-RU"/>
        </w:rPr>
        <w:t>»</w:t>
      </w:r>
      <w:r w:rsidRPr="000D4FA1">
        <w:rPr>
          <w:rStyle w:val="a5"/>
          <w:rFonts w:ascii="Times New Roman" w:hAnsi="Times New Roman" w:cs="Times New Roman"/>
          <w:b w:val="0"/>
          <w:sz w:val="28"/>
          <w:szCs w:val="28"/>
          <w:lang w:val="ru-RU"/>
        </w:rPr>
        <w:t xml:space="preserve"> Постановление Правительства Республики Казахстан от 13 ноября 2018 года № 746. </w:t>
      </w:r>
      <w:hyperlink r:id="rId87" w:history="1">
        <w:r w:rsidR="00FB27FF" w:rsidRPr="000D4FA1">
          <w:rPr>
            <w:rStyle w:val="af7"/>
            <w:rFonts w:ascii="Times New Roman" w:hAnsi="Times New Roman" w:cs="Times New Roman"/>
            <w:sz w:val="28"/>
            <w:szCs w:val="28"/>
          </w:rPr>
          <w:t>https</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adilet</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zan</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kz</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rus</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docs</w:t>
        </w:r>
        <w:r w:rsidR="00FB27FF" w:rsidRPr="000D4FA1">
          <w:rPr>
            <w:rStyle w:val="af7"/>
            <w:rFonts w:ascii="Times New Roman" w:hAnsi="Times New Roman" w:cs="Times New Roman"/>
            <w:sz w:val="28"/>
            <w:szCs w:val="28"/>
            <w:lang w:val="ru-RU"/>
          </w:rPr>
          <w:t>/</w:t>
        </w:r>
        <w:r w:rsidR="00FB27FF" w:rsidRPr="000D4FA1">
          <w:rPr>
            <w:rStyle w:val="af7"/>
            <w:rFonts w:ascii="Times New Roman" w:hAnsi="Times New Roman" w:cs="Times New Roman"/>
            <w:sz w:val="28"/>
            <w:szCs w:val="28"/>
          </w:rPr>
          <w:t>P</w:t>
        </w:r>
        <w:r w:rsidR="00FB27FF" w:rsidRPr="000D4FA1">
          <w:rPr>
            <w:rStyle w:val="af7"/>
            <w:rFonts w:ascii="Times New Roman" w:hAnsi="Times New Roman" w:cs="Times New Roman"/>
            <w:sz w:val="28"/>
            <w:szCs w:val="28"/>
            <w:lang w:val="ru-RU"/>
          </w:rPr>
          <w:t>1800000746</w:t>
        </w:r>
      </w:hyperlink>
      <w:r w:rsidR="00EC1829" w:rsidRPr="000D4FA1">
        <w:rPr>
          <w:rStyle w:val="a5"/>
          <w:rFonts w:ascii="Times New Roman" w:hAnsi="Times New Roman" w:cs="Times New Roman"/>
          <w:b w:val="0"/>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11.06.2024).</w:t>
      </w:r>
    </w:p>
    <w:p w:rsidR="00FB27FF" w:rsidRPr="000D4FA1" w:rsidRDefault="00653F3E"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rPr>
      </w:pPr>
      <w:r w:rsidRPr="000D4FA1">
        <w:rPr>
          <w:rStyle w:val="a5"/>
          <w:rFonts w:ascii="Times New Roman" w:hAnsi="Times New Roman" w:cs="Times New Roman"/>
          <w:b w:val="0"/>
          <w:sz w:val="28"/>
          <w:szCs w:val="28"/>
        </w:rPr>
        <w:t>Toepper, M., Zlatkin</w:t>
      </w:r>
      <w:r w:rsidR="007B767F"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Troitschanskaia, O., &amp; Kühling</w:t>
      </w:r>
      <w:r w:rsidR="007B767F"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Thees, C. Research in International Transfer of Vocational Education and Training – A Systematic Literature Review. International Journal for Research in Vocational Education and Training</w:t>
      </w:r>
      <w:r w:rsidR="00EC1829" w:rsidRPr="000D4FA1">
        <w:rPr>
          <w:rStyle w:val="a5"/>
          <w:rFonts w:ascii="Times New Roman" w:hAnsi="Times New Roman" w:cs="Times New Roman"/>
          <w:b w:val="0"/>
          <w:sz w:val="28"/>
          <w:szCs w:val="28"/>
        </w:rPr>
        <w:t>. 2021.</w:t>
      </w:r>
      <w:r w:rsidRPr="000D4FA1">
        <w:rPr>
          <w:rStyle w:val="a5"/>
          <w:rFonts w:ascii="Times New Roman" w:hAnsi="Times New Roman" w:cs="Times New Roman"/>
          <w:b w:val="0"/>
          <w:sz w:val="28"/>
          <w:szCs w:val="28"/>
        </w:rPr>
        <w:t xml:space="preserve"> 8(4)</w:t>
      </w:r>
      <w:r w:rsidR="00EC1829" w:rsidRPr="000D4FA1">
        <w:rPr>
          <w:rStyle w:val="a5"/>
          <w:rFonts w:ascii="Times New Roman" w:hAnsi="Times New Roman" w:cs="Times New Roman"/>
          <w:b w:val="0"/>
          <w:sz w:val="28"/>
          <w:szCs w:val="28"/>
        </w:rPr>
        <w:t xml:space="preserve">. – </w:t>
      </w:r>
      <w:r w:rsidR="00EC1829" w:rsidRPr="000D4FA1">
        <w:rPr>
          <w:rStyle w:val="a5"/>
          <w:rFonts w:ascii="Times New Roman" w:hAnsi="Times New Roman" w:cs="Times New Roman"/>
          <w:b w:val="0"/>
          <w:sz w:val="28"/>
          <w:szCs w:val="28"/>
          <w:lang w:val="ru-RU"/>
        </w:rPr>
        <w:t>С</w:t>
      </w:r>
      <w:r w:rsidR="00EC1829"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 xml:space="preserve"> 138</w:t>
      </w:r>
      <w:r w:rsidR="007B767F"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169. </w:t>
      </w:r>
      <w:hyperlink r:id="rId88" w:history="1">
        <w:r w:rsidRPr="000D4FA1">
          <w:rPr>
            <w:rStyle w:val="a5"/>
            <w:rFonts w:ascii="Times New Roman" w:hAnsi="Times New Roman" w:cs="Times New Roman"/>
            <w:b w:val="0"/>
            <w:sz w:val="28"/>
            <w:szCs w:val="28"/>
          </w:rPr>
          <w:t>https://doi.org/</w:t>
        </w:r>
      </w:hyperlink>
      <w:r w:rsidRPr="000D4FA1">
        <w:rPr>
          <w:rStyle w:val="a5"/>
          <w:rFonts w:ascii="Times New Roman" w:hAnsi="Times New Roman" w:cs="Times New Roman"/>
          <w:b w:val="0"/>
          <w:sz w:val="28"/>
          <w:szCs w:val="28"/>
        </w:rPr>
        <w:t> 10.13152/ IJRVET. 8.4.7.</w:t>
      </w:r>
    </w:p>
    <w:p w:rsidR="00FB27FF"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hAnsi="Times New Roman" w:cs="Times New Roman"/>
          <w:sz w:val="28"/>
          <w:szCs w:val="28"/>
        </w:rPr>
        <w:t>Toepper, M., Zlatkin</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Troitschanskaia, O., &amp; Kühling</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Thees, C.</w:t>
      </w:r>
      <w:r w:rsidR="00EC1829" w:rsidRPr="000D4FA1">
        <w:rPr>
          <w:rFonts w:ascii="Times New Roman" w:hAnsi="Times New Roman" w:cs="Times New Roman"/>
          <w:sz w:val="28"/>
          <w:szCs w:val="28"/>
        </w:rPr>
        <w:t xml:space="preserve"> </w:t>
      </w:r>
      <w:r w:rsidRPr="000D4FA1">
        <w:rPr>
          <w:rStyle w:val="a7"/>
          <w:rFonts w:ascii="Times New Roman" w:hAnsi="Times New Roman" w:cs="Times New Roman"/>
          <w:i w:val="0"/>
          <w:sz w:val="28"/>
          <w:szCs w:val="28"/>
        </w:rPr>
        <w:t>Literature review of international empirical research on transfer of vocational education and training</w:t>
      </w:r>
      <w:r w:rsidRPr="000D4FA1">
        <w:rPr>
          <w:rStyle w:val="a7"/>
          <w:rFonts w:ascii="Times New Roman" w:hAnsi="Times New Roman" w:cs="Times New Roman"/>
          <w:sz w:val="28"/>
          <w:szCs w:val="28"/>
        </w:rPr>
        <w:t>.</w:t>
      </w:r>
      <w:r w:rsidRPr="000D4FA1">
        <w:rPr>
          <w:rFonts w:ascii="Times New Roman" w:hAnsi="Times New Roman" w:cs="Times New Roman"/>
          <w:sz w:val="28"/>
          <w:szCs w:val="28"/>
        </w:rPr>
        <w:t xml:space="preserve"> </w:t>
      </w:r>
      <w:r w:rsidR="00EC1829" w:rsidRPr="000D4FA1">
        <w:rPr>
          <w:rFonts w:ascii="Times New Roman" w:hAnsi="Times New Roman" w:cs="Times New Roman"/>
          <w:sz w:val="28"/>
          <w:szCs w:val="28"/>
        </w:rPr>
        <w:t>2022</w:t>
      </w:r>
      <w:r w:rsidR="00EC1829" w:rsidRPr="000D4FA1">
        <w:rPr>
          <w:rFonts w:ascii="Times New Roman" w:hAnsi="Times New Roman" w:cs="Times New Roman"/>
          <w:sz w:val="28"/>
          <w:szCs w:val="28"/>
          <w:lang w:val="ru-RU"/>
        </w:rPr>
        <w:t xml:space="preserve">. </w:t>
      </w:r>
      <w:hyperlink r:id="rId89" w:history="1">
        <w:r w:rsidR="00EC1829" w:rsidRPr="000D4FA1">
          <w:rPr>
            <w:rStyle w:val="af7"/>
            <w:rFonts w:ascii="Times New Roman" w:hAnsi="Times New Roman" w:cs="Times New Roman"/>
            <w:sz w:val="28"/>
            <w:szCs w:val="28"/>
          </w:rPr>
          <w:t>https://onlinelibrary.wiley.com/doi/10.1111/ijtd.12276</w:t>
        </w:r>
      </w:hyperlink>
    </w:p>
    <w:p w:rsidR="00FB27FF" w:rsidRPr="000D4FA1" w:rsidRDefault="00653F3E" w:rsidP="006C0BBD">
      <w:pPr>
        <w:pStyle w:val="a6"/>
        <w:numPr>
          <w:ilvl w:val="0"/>
          <w:numId w:val="12"/>
        </w:numPr>
        <w:spacing w:after="0" w:line="240" w:lineRule="auto"/>
        <w:ind w:left="0" w:firstLine="360"/>
        <w:jc w:val="both"/>
        <w:rPr>
          <w:rStyle w:val="a5"/>
          <w:rFonts w:ascii="Times New Roman" w:hAnsi="Times New Roman" w:cs="Times New Roman"/>
          <w:b w:val="0"/>
          <w:sz w:val="28"/>
          <w:szCs w:val="28"/>
          <w:lang w:val="ru-RU"/>
        </w:rPr>
      </w:pPr>
      <w:r w:rsidRPr="000D4FA1">
        <w:rPr>
          <w:rStyle w:val="a5"/>
          <w:rFonts w:ascii="Times New Roman" w:hAnsi="Times New Roman" w:cs="Times New Roman"/>
          <w:b w:val="0"/>
          <w:sz w:val="28"/>
          <w:szCs w:val="28"/>
          <w:lang w:val="ru-RU"/>
        </w:rPr>
        <w:t>Материально</w:t>
      </w:r>
      <w:r w:rsidR="007B767F" w:rsidRPr="000D4FA1">
        <w:rPr>
          <w:rStyle w:val="a5"/>
          <w:rFonts w:ascii="Times New Roman" w:hAnsi="Times New Roman" w:cs="Times New Roman"/>
          <w:b w:val="0"/>
          <w:sz w:val="28"/>
          <w:szCs w:val="28"/>
          <w:lang w:val="ru-RU"/>
        </w:rPr>
        <w:t>–</w:t>
      </w:r>
      <w:r w:rsidRPr="000D4FA1">
        <w:rPr>
          <w:rStyle w:val="a5"/>
          <w:rFonts w:ascii="Times New Roman" w:hAnsi="Times New Roman" w:cs="Times New Roman"/>
          <w:b w:val="0"/>
          <w:sz w:val="28"/>
          <w:szCs w:val="28"/>
          <w:lang w:val="ru-RU"/>
        </w:rPr>
        <w:t xml:space="preserve">техническая база 180 колледжей страны обновлена в рамках проекта «Жас маман» </w:t>
      </w:r>
      <w:hyperlink r:id="rId90"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www</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gov</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memleket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entities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edu</w:t>
        </w:r>
      </w:hyperlink>
      <w:r w:rsidRPr="000D4FA1">
        <w:rPr>
          <w:rStyle w:val="a5"/>
          <w:rFonts w:ascii="Times New Roman" w:hAnsi="Times New Roman" w:cs="Times New Roman"/>
          <w:b w:val="0"/>
          <w:sz w:val="28"/>
          <w:szCs w:val="28"/>
          <w:lang w:val="ru-RU"/>
        </w:rPr>
        <w:t xml:space="preserve"> </w:t>
      </w:r>
      <w:r w:rsidR="00EC1829" w:rsidRPr="000D4FA1">
        <w:rPr>
          <w:rStyle w:val="a5"/>
          <w:rFonts w:ascii="Times New Roman" w:hAnsi="Times New Roman" w:cs="Times New Roman"/>
          <w:b w:val="0"/>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17.11.2025).</w:t>
      </w:r>
    </w:p>
    <w:p w:rsidR="00FB27FF" w:rsidRPr="000D4FA1" w:rsidRDefault="00432205"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hyperlink r:id="rId91" w:history="1">
        <w:r w:rsidR="00653F3E" w:rsidRPr="000D4FA1">
          <w:rPr>
            <w:rStyle w:val="a5"/>
            <w:rFonts w:ascii="Times New Roman" w:hAnsi="Times New Roman" w:cs="Times New Roman"/>
            <w:b w:val="0"/>
            <w:sz w:val="28"/>
            <w:szCs w:val="28"/>
            <w:lang w:val="ru-RU"/>
          </w:rPr>
          <w:t>Министерство просвещения Республики Казахстан</w:t>
        </w:r>
      </w:hyperlink>
      <w:r w:rsidR="00653F3E" w:rsidRPr="000D4FA1">
        <w:rPr>
          <w:rStyle w:val="a5"/>
          <w:rFonts w:ascii="Times New Roman" w:hAnsi="Times New Roman" w:cs="Times New Roman"/>
          <w:b w:val="0"/>
          <w:sz w:val="28"/>
          <w:szCs w:val="28"/>
          <w:lang w:val="ru-RU"/>
        </w:rPr>
        <w:t>. Более 10 тысяч студентов колледжей обучаются по целевому заказу предприятий</w:t>
      </w:r>
      <w:r w:rsidR="00653F3E" w:rsidRPr="000D4FA1">
        <w:rPr>
          <w:rStyle w:val="a5"/>
          <w:rFonts w:ascii="Times New Roman" w:hAnsi="Times New Roman" w:cs="Times New Roman"/>
          <w:b w:val="0"/>
          <w:sz w:val="28"/>
          <w:szCs w:val="28"/>
        </w:rPr>
        <w:t> </w:t>
      </w:r>
      <w:r w:rsidR="00653F3E" w:rsidRPr="000D4FA1">
        <w:rPr>
          <w:rStyle w:val="a5"/>
          <w:rFonts w:ascii="Times New Roman" w:hAnsi="Times New Roman" w:cs="Times New Roman"/>
          <w:b w:val="0"/>
          <w:sz w:val="28"/>
          <w:szCs w:val="28"/>
          <w:lang w:val="ru-RU"/>
        </w:rPr>
        <w:t xml:space="preserve"> </w:t>
      </w:r>
      <w:hyperlink r:id="rId92" w:history="1">
        <w:r w:rsidR="00653F3E" w:rsidRPr="000D4FA1">
          <w:rPr>
            <w:rStyle w:val="af7"/>
            <w:rFonts w:ascii="Times New Roman" w:hAnsi="Times New Roman" w:cs="Times New Roman"/>
            <w:sz w:val="28"/>
            <w:szCs w:val="28"/>
          </w:rPr>
          <w:t>https</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www</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gov</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kz</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memleket</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entities</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edu</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press</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news</w:t>
        </w:r>
        <w:r w:rsidR="00653F3E" w:rsidRPr="000D4FA1">
          <w:rPr>
            <w:rStyle w:val="af7"/>
            <w:rFonts w:ascii="Times New Roman" w:hAnsi="Times New Roman" w:cs="Times New Roman"/>
            <w:sz w:val="28"/>
            <w:szCs w:val="28"/>
            <w:lang w:val="ru-RU"/>
          </w:rPr>
          <w:t>/</w:t>
        </w:r>
        <w:r w:rsidR="00653F3E" w:rsidRPr="000D4FA1">
          <w:rPr>
            <w:rStyle w:val="af7"/>
            <w:rFonts w:ascii="Times New Roman" w:hAnsi="Times New Roman" w:cs="Times New Roman"/>
            <w:sz w:val="28"/>
            <w:szCs w:val="28"/>
          </w:rPr>
          <w:t>details</w:t>
        </w:r>
        <w:r w:rsidR="00653F3E" w:rsidRPr="000D4FA1">
          <w:rPr>
            <w:rStyle w:val="af7"/>
            <w:rFonts w:ascii="Times New Roman" w:hAnsi="Times New Roman" w:cs="Times New Roman"/>
            <w:sz w:val="28"/>
            <w:szCs w:val="28"/>
            <w:lang w:val="ru-RU"/>
          </w:rPr>
          <w:t>/501209</w:t>
        </w:r>
      </w:hyperlink>
      <w:r w:rsidR="00FB27FF" w:rsidRPr="000D4FA1">
        <w:rPr>
          <w:rStyle w:val="af7"/>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10.0</w:t>
      </w:r>
      <w:r w:rsidR="00EC1829" w:rsidRPr="000D4FA1">
        <w:rPr>
          <w:rFonts w:ascii="Times New Roman" w:eastAsia="Times New Roman" w:hAnsi="Times New Roman" w:cs="Times New Roman"/>
          <w:sz w:val="28"/>
          <w:szCs w:val="28"/>
          <w:lang w:val="ru-RU" w:eastAsia="ru-RU"/>
        </w:rPr>
        <w:t>5</w:t>
      </w:r>
      <w:r w:rsidR="00FB27FF" w:rsidRPr="000D4FA1">
        <w:rPr>
          <w:rFonts w:ascii="Times New Roman" w:eastAsia="Times New Roman" w:hAnsi="Times New Roman" w:cs="Times New Roman"/>
          <w:sz w:val="28"/>
          <w:szCs w:val="28"/>
          <w:lang w:val="ru-RU" w:eastAsia="ru-RU"/>
        </w:rPr>
        <w:t>.2025).</w:t>
      </w:r>
    </w:p>
    <w:p w:rsidR="00FB27FF"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Style w:val="a5"/>
          <w:rFonts w:ascii="Times New Roman" w:hAnsi="Times New Roman" w:cs="Times New Roman"/>
          <w:b w:val="0"/>
          <w:sz w:val="28"/>
          <w:szCs w:val="28"/>
          <w:lang w:val="ru-RU"/>
        </w:rPr>
        <w:lastRenderedPageBreak/>
        <w:t>Евразийский аграрный колледж</w:t>
      </w:r>
      <w:r w:rsidRPr="000D4FA1">
        <w:rPr>
          <w:rStyle w:val="a5"/>
          <w:rFonts w:ascii="Times New Roman" w:hAnsi="Times New Roman" w:cs="Times New Roman"/>
          <w:b w:val="0"/>
          <w:bCs w:val="0"/>
          <w:sz w:val="28"/>
          <w:szCs w:val="28"/>
          <w:lang w:val="ru-RU"/>
        </w:rPr>
        <w:t xml:space="preserve">  </w:t>
      </w:r>
      <w:hyperlink r:id="rId93"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wikicity</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biz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evraziyskiy</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agrarnyy</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kolledzh</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almaty</w:t>
        </w:r>
      </w:hyperlink>
      <w:r w:rsidR="00FB27FF" w:rsidRPr="000D4FA1">
        <w:rPr>
          <w:rStyle w:val="af7"/>
          <w:rFonts w:ascii="Times New Roman" w:hAnsi="Times New Roman" w:cs="Times New Roman"/>
          <w:sz w:val="28"/>
          <w:szCs w:val="28"/>
          <w:lang w:val="ru-RU"/>
        </w:rPr>
        <w:t xml:space="preserve"> </w:t>
      </w:r>
      <w:r w:rsidR="00FB27FF" w:rsidRPr="000D4FA1">
        <w:rPr>
          <w:rFonts w:ascii="Times New Roman" w:eastAsia="Times New Roman" w:hAnsi="Times New Roman" w:cs="Times New Roman"/>
          <w:sz w:val="28"/>
          <w:szCs w:val="28"/>
          <w:lang w:val="ru-RU" w:eastAsia="ru-RU"/>
        </w:rPr>
        <w:t>(дата обращения 1</w:t>
      </w:r>
      <w:r w:rsidR="00EC1829" w:rsidRPr="000D4FA1">
        <w:rPr>
          <w:rFonts w:ascii="Times New Roman" w:eastAsia="Times New Roman" w:hAnsi="Times New Roman" w:cs="Times New Roman"/>
          <w:sz w:val="28"/>
          <w:szCs w:val="28"/>
          <w:lang w:val="ru-RU" w:eastAsia="ru-RU"/>
        </w:rPr>
        <w:t>8</w:t>
      </w:r>
      <w:r w:rsidR="00FB27FF" w:rsidRPr="000D4FA1">
        <w:rPr>
          <w:rFonts w:ascii="Times New Roman" w:eastAsia="Times New Roman" w:hAnsi="Times New Roman" w:cs="Times New Roman"/>
          <w:sz w:val="28"/>
          <w:szCs w:val="28"/>
          <w:lang w:val="ru-RU" w:eastAsia="ru-RU"/>
        </w:rPr>
        <w:t>.01.2025).</w:t>
      </w:r>
    </w:p>
    <w:p w:rsidR="00EC1829"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Style w:val="a5"/>
          <w:rFonts w:ascii="Times New Roman" w:hAnsi="Times New Roman" w:cs="Times New Roman"/>
          <w:b w:val="0"/>
          <w:sz w:val="28"/>
          <w:szCs w:val="28"/>
          <w:lang w:val="ru-RU"/>
        </w:rPr>
        <w:t>Дуальное образование</w:t>
      </w:r>
      <w:r w:rsidRPr="000D4FA1">
        <w:rPr>
          <w:rStyle w:val="a5"/>
          <w:rFonts w:ascii="Times New Roman" w:hAnsi="Times New Roman" w:cs="Times New Roman"/>
          <w:b w:val="0"/>
          <w:bCs w:val="0"/>
          <w:sz w:val="28"/>
          <w:szCs w:val="28"/>
          <w:lang w:val="ru-RU"/>
        </w:rPr>
        <w:t xml:space="preserve"> </w:t>
      </w:r>
      <w:r w:rsidRPr="000D4FA1">
        <w:rPr>
          <w:rStyle w:val="a5"/>
          <w:rFonts w:ascii="Times New Roman" w:hAnsi="Times New Roman" w:cs="Times New Roman"/>
          <w:b w:val="0"/>
          <w:sz w:val="28"/>
          <w:szCs w:val="28"/>
          <w:lang w:val="ru-RU"/>
        </w:rPr>
        <w:t xml:space="preserve">   </w:t>
      </w:r>
      <w:hyperlink r:id="rId94"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shtk</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edu</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dualnoe</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obrazovanie</w:t>
        </w:r>
        <w:r w:rsidRPr="000D4FA1">
          <w:rPr>
            <w:rStyle w:val="af7"/>
            <w:rFonts w:ascii="Times New Roman" w:hAnsi="Times New Roman" w:cs="Times New Roman"/>
            <w:sz w:val="28"/>
            <w:szCs w:val="28"/>
            <w:lang w:val="ru-RU"/>
          </w:rPr>
          <w:t>/</w:t>
        </w:r>
      </w:hyperlink>
      <w:r w:rsidR="00EC1829" w:rsidRPr="000D4FA1">
        <w:rPr>
          <w:rStyle w:val="af7"/>
          <w:rFonts w:ascii="Times New Roman" w:hAnsi="Times New Roman" w:cs="Times New Roman"/>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19.02.2025).</w:t>
      </w:r>
    </w:p>
    <w:p w:rsidR="00FB27FF"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Системы профессионального образования за рубежом: дуальная модель, колледжи и TVET</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провайдеры.  </w:t>
      </w:r>
      <w:hyperlink r:id="rId95"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edvision</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group</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com</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blog</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sistemy</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professionalnogo</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obrazovaniya</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za</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rubezhom</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dualnaya</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model</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kolledzhi</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i</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tvet</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provajdery</w:t>
        </w:r>
        <w:r w:rsidRPr="000D4FA1">
          <w:rPr>
            <w:rStyle w:val="af7"/>
            <w:rFonts w:ascii="Times New Roman" w:eastAsia="Times New Roman" w:hAnsi="Times New Roman" w:cs="Times New Roman"/>
            <w:sz w:val="28"/>
            <w:szCs w:val="28"/>
            <w:lang w:val="ru-RU" w:eastAsia="ru-RU"/>
          </w:rPr>
          <w:t>/</w:t>
        </w:r>
      </w:hyperlink>
      <w:r w:rsidRPr="000D4FA1">
        <w:rPr>
          <w:rFonts w:ascii="Times New Roman" w:eastAsia="Times New Roman" w:hAnsi="Times New Roman" w:cs="Times New Roman"/>
          <w:sz w:val="28"/>
          <w:szCs w:val="28"/>
          <w:lang w:val="ru-RU" w:eastAsia="ru-RU"/>
        </w:rPr>
        <w:t xml:space="preserve"> </w:t>
      </w:r>
      <w:r w:rsidR="00FB27FF" w:rsidRPr="000D4FA1">
        <w:rPr>
          <w:rFonts w:ascii="Times New Roman" w:eastAsia="Times New Roman" w:hAnsi="Times New Roman" w:cs="Times New Roman"/>
          <w:sz w:val="28"/>
          <w:szCs w:val="28"/>
          <w:lang w:val="ru-RU" w:eastAsia="ru-RU"/>
        </w:rPr>
        <w:t xml:space="preserve"> (дата обращения 10.01.2025).</w:t>
      </w:r>
    </w:p>
    <w:p w:rsidR="00FB27FF"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Style w:val="a5"/>
          <w:rFonts w:ascii="Times New Roman" w:hAnsi="Times New Roman" w:cs="Times New Roman"/>
          <w:b w:val="0"/>
          <w:sz w:val="28"/>
          <w:szCs w:val="28"/>
        </w:rPr>
        <w:t>Training center "SIEMENS Power Academy"</w:t>
      </w:r>
      <w:r w:rsidRPr="000D4FA1">
        <w:rPr>
          <w:rFonts w:ascii="Times New Roman" w:hAnsi="Times New Roman" w:cs="Times New Roman"/>
          <w:color w:val="212529"/>
          <w:sz w:val="28"/>
          <w:szCs w:val="28"/>
        </w:rPr>
        <w:t xml:space="preserve"> </w:t>
      </w:r>
      <w:r w:rsidRPr="000D4FA1">
        <w:rPr>
          <w:rFonts w:ascii="Times New Roman" w:hAnsi="Times New Roman" w:cs="Times New Roman"/>
          <w:bCs/>
          <w:sz w:val="28"/>
          <w:szCs w:val="28"/>
        </w:rPr>
        <w:t xml:space="preserve"> </w:t>
      </w:r>
      <w:hyperlink r:id="rId96" w:history="1">
        <w:r w:rsidRPr="000D4FA1">
          <w:rPr>
            <w:rStyle w:val="af7"/>
            <w:rFonts w:ascii="Times New Roman" w:hAnsi="Times New Roman" w:cs="Times New Roman"/>
            <w:bCs/>
            <w:sz w:val="28"/>
            <w:szCs w:val="28"/>
          </w:rPr>
          <w:t>https://cpk.aues.kz/en/laboratories/2</w:t>
        </w:r>
      </w:hyperlink>
      <w:r w:rsidR="00EC1829" w:rsidRPr="000D4FA1">
        <w:rPr>
          <w:rStyle w:val="af7"/>
          <w:rFonts w:ascii="Times New Roman" w:hAnsi="Times New Roman" w:cs="Times New Roman"/>
          <w:bCs/>
          <w:sz w:val="28"/>
          <w:szCs w:val="28"/>
        </w:rPr>
        <w:t xml:space="preserve"> </w:t>
      </w:r>
      <w:r w:rsidR="00EC1829" w:rsidRPr="000D4FA1">
        <w:rPr>
          <w:rFonts w:ascii="Times New Roman" w:eastAsia="Times New Roman" w:hAnsi="Times New Roman" w:cs="Times New Roman"/>
          <w:sz w:val="28"/>
          <w:szCs w:val="28"/>
          <w:lang w:eastAsia="ru-RU"/>
        </w:rPr>
        <w:t>(</w:t>
      </w:r>
      <w:r w:rsidR="00EC1829" w:rsidRPr="000D4FA1">
        <w:rPr>
          <w:rFonts w:ascii="Times New Roman" w:eastAsia="Times New Roman" w:hAnsi="Times New Roman" w:cs="Times New Roman"/>
          <w:sz w:val="28"/>
          <w:szCs w:val="28"/>
          <w:lang w:val="ru-RU" w:eastAsia="ru-RU"/>
        </w:rPr>
        <w:t>дата</w:t>
      </w:r>
      <w:r w:rsidR="00EC1829" w:rsidRPr="000D4FA1">
        <w:rPr>
          <w:rFonts w:ascii="Times New Roman" w:eastAsia="Times New Roman" w:hAnsi="Times New Roman" w:cs="Times New Roman"/>
          <w:sz w:val="28"/>
          <w:szCs w:val="28"/>
          <w:lang w:eastAsia="ru-RU"/>
        </w:rPr>
        <w:t xml:space="preserve"> </w:t>
      </w:r>
      <w:r w:rsidR="00EC1829" w:rsidRPr="000D4FA1">
        <w:rPr>
          <w:rFonts w:ascii="Times New Roman" w:eastAsia="Times New Roman" w:hAnsi="Times New Roman" w:cs="Times New Roman"/>
          <w:sz w:val="28"/>
          <w:szCs w:val="28"/>
          <w:lang w:val="ru-RU" w:eastAsia="ru-RU"/>
        </w:rPr>
        <w:t>обращения</w:t>
      </w:r>
      <w:r w:rsidR="00EC1829" w:rsidRPr="000D4FA1">
        <w:rPr>
          <w:rFonts w:ascii="Times New Roman" w:eastAsia="Times New Roman" w:hAnsi="Times New Roman" w:cs="Times New Roman"/>
          <w:sz w:val="28"/>
          <w:szCs w:val="28"/>
          <w:lang w:eastAsia="ru-RU"/>
        </w:rPr>
        <w:t xml:space="preserve"> 17.02.2025).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 xml:space="preserve">Проекты с участием </w:t>
      </w:r>
      <w:r w:rsidRPr="000D4FA1">
        <w:rPr>
          <w:rStyle w:val="a5"/>
          <w:rFonts w:ascii="Times New Roman" w:hAnsi="Times New Roman" w:cs="Times New Roman"/>
          <w:b w:val="0"/>
          <w:sz w:val="28"/>
          <w:szCs w:val="28"/>
        </w:rPr>
        <w:t>Siemens</w:t>
      </w:r>
      <w:r w:rsidRPr="000D4FA1">
        <w:rPr>
          <w:rStyle w:val="a5"/>
          <w:rFonts w:ascii="Times New Roman" w:hAnsi="Times New Roman" w:cs="Times New Roman"/>
          <w:b w:val="0"/>
          <w:sz w:val="28"/>
          <w:szCs w:val="28"/>
          <w:lang w:val="ru-RU"/>
        </w:rPr>
        <w:t xml:space="preserve"> и немецкого опыта</w:t>
      </w:r>
      <w:r w:rsidRPr="000D4FA1">
        <w:rPr>
          <w:rFonts w:ascii="Times New Roman" w:hAnsi="Times New Roman" w:cs="Times New Roman"/>
          <w:bCs/>
          <w:sz w:val="28"/>
          <w:szCs w:val="28"/>
          <w:lang w:val="ru-RU"/>
        </w:rPr>
        <w:t xml:space="preserve"> </w:t>
      </w:r>
      <w:hyperlink r:id="rId97" w:history="1">
        <w:r w:rsidRPr="000D4FA1">
          <w:rPr>
            <w:rStyle w:val="af7"/>
            <w:rFonts w:ascii="Times New Roman" w:hAnsi="Times New Roman" w:cs="Times New Roman"/>
            <w:bCs/>
            <w:sz w:val="28"/>
            <w:szCs w:val="28"/>
          </w:rPr>
          <w:t>https</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ineu</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edu</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kz</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ru</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novosti</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i</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sobytija</w:t>
        </w:r>
        <w:r w:rsidRPr="000D4FA1">
          <w:rPr>
            <w:rStyle w:val="af7"/>
            <w:rFonts w:ascii="Times New Roman" w:hAnsi="Times New Roman" w:cs="Times New Roman"/>
            <w:bCs/>
            <w:sz w:val="28"/>
            <w:szCs w:val="28"/>
            <w:lang w:val="ru-RU"/>
          </w:rPr>
          <w:t>/501</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vstrecha</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uchastnikov</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proekta</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dualnoe</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obuchenie</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specialistov</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po</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avtomatizacii</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i</w:t>
        </w:r>
        <w:r w:rsidR="007B767F"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robototehnike</w:t>
        </w:r>
        <w:r w:rsidRPr="000D4FA1">
          <w:rPr>
            <w:rStyle w:val="af7"/>
            <w:rFonts w:ascii="Times New Roman" w:hAnsi="Times New Roman" w:cs="Times New Roman"/>
            <w:bCs/>
            <w:sz w:val="28"/>
            <w:szCs w:val="28"/>
            <w:lang w:val="ru-RU"/>
          </w:rPr>
          <w:t>.</w:t>
        </w:r>
        <w:r w:rsidRPr="000D4FA1">
          <w:rPr>
            <w:rStyle w:val="af7"/>
            <w:rFonts w:ascii="Times New Roman" w:hAnsi="Times New Roman" w:cs="Times New Roman"/>
            <w:bCs/>
            <w:sz w:val="28"/>
            <w:szCs w:val="28"/>
          </w:rPr>
          <w:t>html</w:t>
        </w:r>
      </w:hyperlink>
      <w:r w:rsidR="00EC1829" w:rsidRPr="000D4FA1">
        <w:rPr>
          <w:rStyle w:val="af7"/>
          <w:rFonts w:ascii="Times New Roman" w:hAnsi="Times New Roman" w:cs="Times New Roman"/>
          <w:bCs/>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17.11.2025).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Казахстанско</w:t>
      </w:r>
      <w:r w:rsidR="007B767F" w:rsidRPr="000D4FA1">
        <w:rPr>
          <w:rStyle w:val="a5"/>
          <w:rFonts w:ascii="Times New Roman" w:hAnsi="Times New Roman" w:cs="Times New Roman"/>
          <w:b w:val="0"/>
          <w:sz w:val="28"/>
          <w:szCs w:val="28"/>
          <w:lang w:val="ru-RU"/>
        </w:rPr>
        <w:t>–</w:t>
      </w:r>
      <w:r w:rsidRPr="000D4FA1">
        <w:rPr>
          <w:rStyle w:val="a5"/>
          <w:rFonts w:ascii="Times New Roman" w:hAnsi="Times New Roman" w:cs="Times New Roman"/>
          <w:b w:val="0"/>
          <w:sz w:val="28"/>
          <w:szCs w:val="28"/>
          <w:lang w:val="ru-RU"/>
        </w:rPr>
        <w:t>немецкое сотрудничество в обучении</w:t>
      </w:r>
      <w:r w:rsidRPr="000D4FA1">
        <w:rPr>
          <w:rFonts w:ascii="Times New Roman" w:hAnsi="Times New Roman" w:cs="Times New Roman"/>
          <w:sz w:val="28"/>
          <w:szCs w:val="28"/>
          <w:lang w:val="ru-RU"/>
        </w:rPr>
        <w:t xml:space="preserve"> </w:t>
      </w:r>
      <w:hyperlink r:id="rId98" w:history="1">
        <w:r w:rsidRPr="000D4FA1">
          <w:rPr>
            <w:rStyle w:val="af7"/>
            <w:rFonts w:ascii="Times New Roman" w:eastAsia="Times New Roman" w:hAnsi="Times New Roman" w:cs="Times New Roman"/>
            <w:sz w:val="28"/>
            <w:szCs w:val="28"/>
            <w:lang w:val="ru-RU"/>
          </w:rPr>
          <w:t>https://www.gov.kz/memleket/entities/mfa/press/news/details/1000264</w:t>
        </w:r>
      </w:hyperlink>
      <w:r w:rsidR="00EC1829" w:rsidRPr="000D4FA1">
        <w:rPr>
          <w:rStyle w:val="af7"/>
          <w:rFonts w:ascii="Times New Roman" w:eastAsia="Times New Roman" w:hAnsi="Times New Roman" w:cs="Times New Roman"/>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17.12.2025).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Style w:val="a5"/>
          <w:rFonts w:ascii="Times New Roman" w:hAnsi="Times New Roman" w:cs="Times New Roman"/>
          <w:b w:val="0"/>
          <w:sz w:val="28"/>
          <w:szCs w:val="28"/>
          <w:lang w:val="ru-RU"/>
        </w:rPr>
        <w:t>Соглашения Siemens по интеграции курсов</w:t>
      </w:r>
      <w:r w:rsidRPr="000D4FA1">
        <w:rPr>
          <w:rFonts w:ascii="Times New Roman" w:hAnsi="Times New Roman" w:cs="Times New Roman"/>
          <w:sz w:val="28"/>
          <w:szCs w:val="28"/>
          <w:lang w:val="ru-RU"/>
        </w:rPr>
        <w:t xml:space="preserve"> </w:t>
      </w:r>
      <w:hyperlink r:id="rId99"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inbusiness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last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uchebnye</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kursy</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siemens</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budut</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integrirovanny</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v</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kazahstanskuyu</w:t>
        </w:r>
        <w:r w:rsidR="007B767F"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sistemu</w:t>
        </w:r>
      </w:hyperlink>
      <w:r w:rsidRPr="000D4FA1">
        <w:rPr>
          <w:rFonts w:ascii="Times New Roman" w:hAnsi="Times New Roman" w:cs="Times New Roman"/>
          <w:sz w:val="28"/>
          <w:szCs w:val="28"/>
          <w:lang w:val="ru-RU"/>
        </w:rPr>
        <w:t xml:space="preserve"> </w:t>
      </w:r>
      <w:r w:rsidR="00EC1829" w:rsidRPr="000D4FA1">
        <w:rPr>
          <w:rFonts w:ascii="Times New Roman" w:hAnsi="Times New Roman" w:cs="Times New Roman"/>
          <w:sz w:val="28"/>
          <w:szCs w:val="28"/>
          <w:lang w:val="ru-RU"/>
        </w:rPr>
        <w:t xml:space="preserve"> </w:t>
      </w:r>
      <w:r w:rsidR="00EC1829" w:rsidRPr="000D4FA1">
        <w:rPr>
          <w:rFonts w:ascii="Times New Roman" w:eastAsia="Times New Roman" w:hAnsi="Times New Roman" w:cs="Times New Roman"/>
          <w:sz w:val="28"/>
          <w:szCs w:val="28"/>
          <w:lang w:val="ru-RU" w:eastAsia="ru-RU"/>
        </w:rPr>
        <w:t>(дата обращения 17.12.2025).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 xml:space="preserve">Alviani, D. Workforce agility: A systematic literature review. </w:t>
      </w:r>
      <w:r w:rsidRPr="000D4FA1">
        <w:rPr>
          <w:rFonts w:ascii="Times New Roman" w:eastAsia="Times New Roman" w:hAnsi="Times New Roman" w:cs="Times New Roman"/>
          <w:iCs/>
          <w:sz w:val="28"/>
          <w:szCs w:val="28"/>
          <w:lang w:eastAsia="ru-RU"/>
        </w:rPr>
        <w:t>Frontiers in Psychology</w:t>
      </w:r>
      <w:r w:rsidR="00EC1829" w:rsidRPr="000D4FA1">
        <w:rPr>
          <w:rFonts w:ascii="Times New Roman" w:eastAsia="Times New Roman" w:hAnsi="Times New Roman" w:cs="Times New Roman"/>
          <w:iCs/>
          <w:sz w:val="28"/>
          <w:szCs w:val="28"/>
          <w:lang w:eastAsia="ru-RU"/>
        </w:rPr>
        <w:t xml:space="preserve">. </w:t>
      </w:r>
      <w:r w:rsidR="00EC1829" w:rsidRPr="000D4FA1">
        <w:rPr>
          <w:rFonts w:ascii="Times New Roman" w:eastAsia="Times New Roman" w:hAnsi="Times New Roman" w:cs="Times New Roman"/>
          <w:sz w:val="28"/>
          <w:szCs w:val="28"/>
          <w:lang w:eastAsia="ru-RU"/>
        </w:rPr>
        <w:t>2024.</w:t>
      </w:r>
      <w:r w:rsidRPr="000D4FA1">
        <w:rPr>
          <w:rFonts w:ascii="Times New Roman" w:eastAsia="Times New Roman" w:hAnsi="Times New Roman" w:cs="Times New Roman"/>
          <w:sz w:val="28"/>
          <w:szCs w:val="28"/>
          <w:lang w:eastAsia="ru-RU"/>
        </w:rPr>
        <w:t xml:space="preserve"> 15.</w:t>
      </w:r>
      <w:r w:rsidR="000913DE" w:rsidRPr="000D4FA1">
        <w:rPr>
          <w:rFonts w:ascii="Times New Roman" w:eastAsia="Times New Roman" w:hAnsi="Times New Roman" w:cs="Times New Roman"/>
          <w:sz w:val="28"/>
          <w:szCs w:val="28"/>
          <w:lang w:eastAsia="ru-RU"/>
        </w:rPr>
        <w:t xml:space="preserve"> </w:t>
      </w:r>
      <w:hyperlink r:id="rId100" w:history="1">
        <w:r w:rsidR="000913DE" w:rsidRPr="000D4FA1">
          <w:rPr>
            <w:rStyle w:val="af7"/>
            <w:rFonts w:ascii="Times New Roman" w:eastAsia="Times New Roman" w:hAnsi="Times New Roman" w:cs="Times New Roman"/>
            <w:sz w:val="28"/>
            <w:szCs w:val="28"/>
            <w:lang w:eastAsia="ru-RU"/>
          </w:rPr>
          <w:t>https://doi.org/10.3389/fpsyg.2024.1376399</w:t>
        </w:r>
      </w:hyperlink>
      <w:r w:rsidR="000913DE"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sz w:val="28"/>
          <w:szCs w:val="28"/>
          <w:lang w:eastAsia="ru-RU"/>
        </w:rPr>
        <w:br/>
      </w:r>
      <w:hyperlink r:id="rId101" w:history="1">
        <w:r w:rsidRPr="000D4FA1">
          <w:rPr>
            <w:rStyle w:val="af7"/>
            <w:rFonts w:ascii="Times New Roman" w:eastAsia="Times New Roman" w:hAnsi="Times New Roman" w:cs="Times New Roman"/>
            <w:sz w:val="28"/>
            <w:szCs w:val="28"/>
            <w:lang w:eastAsia="ru-RU"/>
          </w:rPr>
          <w:t>https://www.frontiersin.org/articles/10.3389/fpsyg.2024.1376399/full</w:t>
        </w:r>
      </w:hyperlink>
      <w:r w:rsidR="000913DE" w:rsidRPr="000D4FA1">
        <w:rPr>
          <w:rStyle w:val="af7"/>
          <w:rFonts w:ascii="Times New Roman" w:eastAsia="Times New Roman" w:hAnsi="Times New Roman" w:cs="Times New Roman"/>
          <w:sz w:val="28"/>
          <w:szCs w:val="28"/>
          <w:lang w:eastAsia="ru-RU"/>
        </w:rPr>
        <w:t xml:space="preserve"> </w:t>
      </w:r>
      <w:r w:rsidR="000913DE" w:rsidRPr="000D4FA1">
        <w:rPr>
          <w:rFonts w:ascii="Times New Roman" w:eastAsia="Times New Roman" w:hAnsi="Times New Roman" w:cs="Times New Roman"/>
          <w:sz w:val="28"/>
          <w:szCs w:val="28"/>
          <w:lang w:eastAsia="ru-RU"/>
        </w:rPr>
        <w:t>(</w:t>
      </w:r>
      <w:r w:rsidR="000913DE" w:rsidRPr="000D4FA1">
        <w:rPr>
          <w:rFonts w:ascii="Times New Roman" w:eastAsia="Times New Roman" w:hAnsi="Times New Roman" w:cs="Times New Roman"/>
          <w:sz w:val="28"/>
          <w:szCs w:val="28"/>
          <w:lang w:val="ru-RU" w:eastAsia="ru-RU"/>
        </w:rPr>
        <w:t>дата</w:t>
      </w:r>
      <w:r w:rsidR="000913DE" w:rsidRPr="000D4FA1">
        <w:rPr>
          <w:rFonts w:ascii="Times New Roman" w:eastAsia="Times New Roman" w:hAnsi="Times New Roman" w:cs="Times New Roman"/>
          <w:sz w:val="28"/>
          <w:szCs w:val="28"/>
          <w:lang w:eastAsia="ru-RU"/>
        </w:rPr>
        <w:t xml:space="preserve"> </w:t>
      </w:r>
      <w:r w:rsidR="000913DE" w:rsidRPr="000D4FA1">
        <w:rPr>
          <w:rFonts w:ascii="Times New Roman" w:eastAsia="Times New Roman" w:hAnsi="Times New Roman" w:cs="Times New Roman"/>
          <w:sz w:val="28"/>
          <w:szCs w:val="28"/>
          <w:lang w:val="ru-RU" w:eastAsia="ru-RU"/>
        </w:rPr>
        <w:t>обращения</w:t>
      </w:r>
      <w:r w:rsidR="000913DE" w:rsidRPr="000D4FA1">
        <w:rPr>
          <w:rFonts w:ascii="Times New Roman" w:eastAsia="Times New Roman" w:hAnsi="Times New Roman" w:cs="Times New Roman"/>
          <w:sz w:val="28"/>
          <w:szCs w:val="28"/>
          <w:lang w:eastAsia="ru-RU"/>
        </w:rPr>
        <w:t xml:space="preserve"> 10.01.2025).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eastAsia="Times New Roman" w:hAnsi="Times New Roman" w:cs="Times New Roman"/>
          <w:sz w:val="28"/>
          <w:szCs w:val="28"/>
          <w:lang w:eastAsia="ru-RU"/>
        </w:rPr>
        <w:t xml:space="preserve">Shatila, </w:t>
      </w:r>
      <w:bookmarkStart w:id="13" w:name="_Hlk224313003"/>
      <w:r w:rsidRPr="000D4FA1">
        <w:rPr>
          <w:rFonts w:ascii="Times New Roman" w:eastAsia="Times New Roman" w:hAnsi="Times New Roman" w:cs="Times New Roman"/>
          <w:sz w:val="28"/>
          <w:szCs w:val="28"/>
          <w:lang w:eastAsia="ru-RU"/>
        </w:rPr>
        <w:t>K</w:t>
      </w:r>
      <w:bookmarkEnd w:id="13"/>
      <w:r w:rsidRPr="000D4FA1">
        <w:rPr>
          <w:rFonts w:ascii="Times New Roman" w:eastAsia="Times New Roman" w:hAnsi="Times New Roman" w:cs="Times New Roman"/>
          <w:sz w:val="28"/>
          <w:szCs w:val="28"/>
          <w:lang w:eastAsia="ru-RU"/>
        </w:rPr>
        <w:t xml:space="preserve">. Digital literacy and human capital development in the digital economy. </w:t>
      </w:r>
      <w:r w:rsidRPr="000D4FA1">
        <w:rPr>
          <w:rFonts w:ascii="Times New Roman" w:eastAsia="Times New Roman" w:hAnsi="Times New Roman" w:cs="Times New Roman"/>
          <w:iCs/>
          <w:sz w:val="28"/>
          <w:szCs w:val="28"/>
          <w:lang w:eastAsia="ru-RU"/>
        </w:rPr>
        <w:t>Journal of Innovation &amp; Knowledge</w:t>
      </w:r>
      <w:r w:rsidRPr="000D4FA1">
        <w:rPr>
          <w:rFonts w:ascii="Times New Roman" w:eastAsia="Times New Roman" w:hAnsi="Times New Roman" w:cs="Times New Roman"/>
          <w:sz w:val="28"/>
          <w:szCs w:val="28"/>
          <w:lang w:eastAsia="ru-RU"/>
        </w:rPr>
        <w:t>.</w:t>
      </w:r>
      <w:r w:rsidR="00EC1829" w:rsidRPr="000D4FA1">
        <w:rPr>
          <w:rFonts w:ascii="Times New Roman" w:eastAsia="Times New Roman" w:hAnsi="Times New Roman" w:cs="Times New Roman"/>
          <w:sz w:val="28"/>
          <w:szCs w:val="28"/>
          <w:lang w:eastAsia="ru-RU"/>
        </w:rPr>
        <w:t xml:space="preserve"> 2025. </w:t>
      </w:r>
      <w:r w:rsidRPr="000D4FA1">
        <w:rPr>
          <w:rFonts w:ascii="Times New Roman" w:eastAsia="Times New Roman" w:hAnsi="Times New Roman" w:cs="Times New Roman"/>
          <w:sz w:val="28"/>
          <w:szCs w:val="28"/>
          <w:lang w:eastAsia="ru-RU"/>
        </w:rPr>
        <w:br/>
      </w:r>
      <w:hyperlink r:id="rId102" w:history="1">
        <w:r w:rsidR="000913DE" w:rsidRPr="000D4FA1">
          <w:rPr>
            <w:rStyle w:val="af7"/>
            <w:rFonts w:ascii="Times New Roman" w:eastAsia="Times New Roman" w:hAnsi="Times New Roman" w:cs="Times New Roman"/>
            <w:sz w:val="28"/>
            <w:szCs w:val="28"/>
            <w:lang w:eastAsia="ru-RU"/>
          </w:rPr>
          <w:t>https://doi.org/10.1016/j.jik.2025.100497</w:t>
        </w:r>
      </w:hyperlink>
      <w:r w:rsidR="000913DE" w:rsidRPr="000D4FA1">
        <w:rPr>
          <w:rFonts w:ascii="Times New Roman" w:eastAsia="Times New Roman" w:hAnsi="Times New Roman" w:cs="Times New Roman"/>
          <w:sz w:val="28"/>
          <w:szCs w:val="28"/>
          <w:lang w:eastAsia="ru-RU"/>
        </w:rPr>
        <w:t xml:space="preserve">, </w:t>
      </w:r>
      <w:hyperlink r:id="rId103" w:tgtFrame="_new" w:history="1">
        <w:r w:rsidRPr="000D4FA1">
          <w:rPr>
            <w:rStyle w:val="af7"/>
            <w:rFonts w:ascii="Times New Roman" w:eastAsia="Times New Roman" w:hAnsi="Times New Roman" w:cs="Times New Roman"/>
            <w:sz w:val="28"/>
            <w:szCs w:val="28"/>
            <w:lang w:eastAsia="ru-RU"/>
          </w:rPr>
          <w:t>https://www.sciencedirect.com/science/article/pii/S2444569X25000599</w:t>
        </w:r>
      </w:hyperlink>
      <w:r w:rsidR="00EC1829" w:rsidRPr="000D4FA1">
        <w:rPr>
          <w:rStyle w:val="af7"/>
          <w:rFonts w:ascii="Times New Roman" w:eastAsia="Times New Roman" w:hAnsi="Times New Roman" w:cs="Times New Roman"/>
          <w:sz w:val="28"/>
          <w:szCs w:val="28"/>
          <w:lang w:eastAsia="ru-RU"/>
        </w:rPr>
        <w:t xml:space="preserve"> </w:t>
      </w:r>
      <w:r w:rsidR="00EC1829" w:rsidRPr="000D4FA1">
        <w:rPr>
          <w:rFonts w:ascii="Times New Roman" w:eastAsia="Times New Roman" w:hAnsi="Times New Roman" w:cs="Times New Roman"/>
          <w:sz w:val="28"/>
          <w:szCs w:val="28"/>
          <w:lang w:eastAsia="ru-RU"/>
        </w:rPr>
        <w:t>(</w:t>
      </w:r>
      <w:r w:rsidR="00EC1829" w:rsidRPr="000D4FA1">
        <w:rPr>
          <w:rFonts w:ascii="Times New Roman" w:eastAsia="Times New Roman" w:hAnsi="Times New Roman" w:cs="Times New Roman"/>
          <w:sz w:val="28"/>
          <w:szCs w:val="28"/>
          <w:lang w:val="ru-RU" w:eastAsia="ru-RU"/>
        </w:rPr>
        <w:t>дата</w:t>
      </w:r>
      <w:r w:rsidR="00EC1829" w:rsidRPr="000D4FA1">
        <w:rPr>
          <w:rFonts w:ascii="Times New Roman" w:eastAsia="Times New Roman" w:hAnsi="Times New Roman" w:cs="Times New Roman"/>
          <w:sz w:val="28"/>
          <w:szCs w:val="28"/>
          <w:lang w:eastAsia="ru-RU"/>
        </w:rPr>
        <w:t xml:space="preserve"> </w:t>
      </w:r>
      <w:r w:rsidR="00EC1829" w:rsidRPr="000D4FA1">
        <w:rPr>
          <w:rFonts w:ascii="Times New Roman" w:eastAsia="Times New Roman" w:hAnsi="Times New Roman" w:cs="Times New Roman"/>
          <w:sz w:val="28"/>
          <w:szCs w:val="28"/>
          <w:lang w:val="ru-RU" w:eastAsia="ru-RU"/>
        </w:rPr>
        <w:t>обращения</w:t>
      </w:r>
      <w:r w:rsidR="00EC1829" w:rsidRPr="000D4FA1">
        <w:rPr>
          <w:rFonts w:ascii="Times New Roman" w:eastAsia="Times New Roman" w:hAnsi="Times New Roman" w:cs="Times New Roman"/>
          <w:sz w:val="28"/>
          <w:szCs w:val="28"/>
          <w:lang w:eastAsia="ru-RU"/>
        </w:rPr>
        <w:t xml:space="preserve"> 17.12.2025).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eastAsia="Times New Roman" w:hAnsi="Times New Roman" w:cs="Times New Roman"/>
          <w:sz w:val="28"/>
          <w:szCs w:val="28"/>
          <w:lang w:eastAsia="ru-RU"/>
        </w:rPr>
        <w:t xml:space="preserve">Adekoya, O. Reframing human capital development in the digital era. </w:t>
      </w:r>
      <w:r w:rsidRPr="000D4FA1">
        <w:rPr>
          <w:rFonts w:ascii="Times New Roman" w:eastAsia="Times New Roman" w:hAnsi="Times New Roman" w:cs="Times New Roman"/>
          <w:iCs/>
          <w:sz w:val="28"/>
          <w:szCs w:val="28"/>
          <w:lang w:eastAsia="ru-RU"/>
        </w:rPr>
        <w:t>European Journal of Business and Management</w:t>
      </w:r>
      <w:r w:rsidRPr="000D4FA1">
        <w:rPr>
          <w:rFonts w:ascii="Times New Roman" w:eastAsia="Times New Roman" w:hAnsi="Times New Roman" w:cs="Times New Roman"/>
          <w:sz w:val="28"/>
          <w:szCs w:val="28"/>
          <w:lang w:eastAsia="ru-RU"/>
        </w:rPr>
        <w:t>.</w:t>
      </w:r>
      <w:r w:rsidR="00EC1829" w:rsidRPr="000D4FA1">
        <w:rPr>
          <w:rFonts w:ascii="Times New Roman" w:eastAsia="Times New Roman" w:hAnsi="Times New Roman" w:cs="Times New Roman"/>
          <w:sz w:val="28"/>
          <w:szCs w:val="28"/>
          <w:lang w:eastAsia="ru-RU"/>
        </w:rPr>
        <w:t xml:space="preserve"> 2025. </w:t>
      </w:r>
      <w:r w:rsidRPr="000D4FA1">
        <w:rPr>
          <w:rFonts w:ascii="Times New Roman" w:eastAsia="Times New Roman" w:hAnsi="Times New Roman" w:cs="Times New Roman"/>
          <w:sz w:val="28"/>
          <w:szCs w:val="28"/>
          <w:lang w:eastAsia="ru-RU"/>
        </w:rPr>
        <w:br/>
      </w:r>
      <w:hyperlink r:id="rId104" w:tgtFrame="_new" w:history="1">
        <w:r w:rsidRPr="000D4FA1">
          <w:rPr>
            <w:rStyle w:val="af7"/>
            <w:rFonts w:ascii="Times New Roman" w:eastAsia="Times New Roman" w:hAnsi="Times New Roman" w:cs="Times New Roman"/>
            <w:sz w:val="28"/>
            <w:szCs w:val="28"/>
            <w:lang w:eastAsia="ru-RU"/>
          </w:rPr>
          <w:t>https://ejbm.apu.edu.my/index.php/EJBM/article/view/18</w:t>
        </w:r>
      </w:hyperlink>
      <w:r w:rsidRPr="000D4FA1">
        <w:rPr>
          <w:rFonts w:ascii="Times New Roman" w:eastAsia="Times New Roman" w:hAnsi="Times New Roman" w:cs="Times New Roman"/>
          <w:sz w:val="28"/>
          <w:szCs w:val="28"/>
          <w:lang w:eastAsia="ru-RU"/>
        </w:rPr>
        <w:br/>
      </w:r>
      <w:hyperlink r:id="rId105" w:tgtFrame="_new" w:history="1">
        <w:r w:rsidRPr="000D4FA1">
          <w:rPr>
            <w:rStyle w:val="af7"/>
            <w:rFonts w:ascii="Times New Roman" w:eastAsia="Times New Roman" w:hAnsi="Times New Roman" w:cs="Times New Roman"/>
            <w:sz w:val="28"/>
            <w:szCs w:val="28"/>
            <w:lang w:eastAsia="ru-RU"/>
          </w:rPr>
          <w:t>https://ejbm.apu.edu.my/index.php/EJBM/article/download/18/16</w:t>
        </w:r>
      </w:hyperlink>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eastAsia="Times New Roman" w:hAnsi="Times New Roman" w:cs="Times New Roman"/>
          <w:sz w:val="28"/>
          <w:szCs w:val="28"/>
          <w:lang w:eastAsia="ru-RU"/>
        </w:rPr>
        <w:t xml:space="preserve">Sumadireja, </w:t>
      </w:r>
      <w:bookmarkStart w:id="14" w:name="_Hlk224313070"/>
      <w:r w:rsidRPr="000D4FA1">
        <w:rPr>
          <w:rFonts w:ascii="Times New Roman" w:eastAsia="Times New Roman" w:hAnsi="Times New Roman" w:cs="Times New Roman"/>
          <w:sz w:val="28"/>
          <w:szCs w:val="28"/>
          <w:lang w:eastAsia="ru-RU"/>
        </w:rPr>
        <w:t>G</w:t>
      </w:r>
      <w:bookmarkEnd w:id="14"/>
      <w:r w:rsidRPr="000D4FA1">
        <w:rPr>
          <w:rFonts w:ascii="Times New Roman" w:eastAsia="Times New Roman" w:hAnsi="Times New Roman" w:cs="Times New Roman"/>
          <w:sz w:val="28"/>
          <w:szCs w:val="28"/>
          <w:lang w:eastAsia="ru-RU"/>
        </w:rPr>
        <w:t xml:space="preserve">., Dachyar, M., Farizal, F., Ma’aram, A., &amp; Park, J. Identifying key assessment factors for human capital agility. </w:t>
      </w:r>
      <w:r w:rsidRPr="000D4FA1">
        <w:rPr>
          <w:rFonts w:ascii="Times New Roman" w:eastAsia="Times New Roman" w:hAnsi="Times New Roman" w:cs="Times New Roman"/>
          <w:iCs/>
          <w:sz w:val="28"/>
          <w:szCs w:val="28"/>
          <w:lang w:eastAsia="ru-RU"/>
        </w:rPr>
        <w:t>Sustainability</w:t>
      </w:r>
      <w:r w:rsidR="00EC1829" w:rsidRPr="000D4FA1">
        <w:rPr>
          <w:rFonts w:ascii="Times New Roman" w:eastAsia="Times New Roman" w:hAnsi="Times New Roman" w:cs="Times New Roman"/>
          <w:iCs/>
          <w:sz w:val="28"/>
          <w:szCs w:val="28"/>
          <w:lang w:val="ru-RU" w:eastAsia="ru-RU"/>
        </w:rPr>
        <w:t>.</w:t>
      </w:r>
      <w:r w:rsidRPr="000D4FA1">
        <w:rPr>
          <w:rFonts w:ascii="Times New Roman" w:eastAsia="Times New Roman" w:hAnsi="Times New Roman" w:cs="Times New Roman"/>
          <w:sz w:val="28"/>
          <w:szCs w:val="28"/>
          <w:lang w:val="ru-RU" w:eastAsia="ru-RU"/>
        </w:rPr>
        <w:t xml:space="preserve"> </w:t>
      </w:r>
      <w:r w:rsidR="00EC1829" w:rsidRPr="000D4FA1">
        <w:rPr>
          <w:rFonts w:ascii="Times New Roman" w:eastAsia="Times New Roman" w:hAnsi="Times New Roman" w:cs="Times New Roman"/>
          <w:sz w:val="28"/>
          <w:szCs w:val="28"/>
          <w:lang w:val="ru-RU" w:eastAsia="ru-RU"/>
        </w:rPr>
        <w:t xml:space="preserve">2025. </w:t>
      </w:r>
      <w:r w:rsidRPr="000D4FA1">
        <w:rPr>
          <w:rFonts w:ascii="Times New Roman" w:eastAsia="Times New Roman" w:hAnsi="Times New Roman" w:cs="Times New Roman"/>
          <w:sz w:val="28"/>
          <w:szCs w:val="28"/>
          <w:lang w:val="ru-RU" w:eastAsia="ru-RU"/>
        </w:rPr>
        <w:t xml:space="preserve">17(5). </w:t>
      </w:r>
      <w:r w:rsidRPr="000D4FA1">
        <w:rPr>
          <w:rFonts w:ascii="Times New Roman" w:eastAsia="Times New Roman" w:hAnsi="Times New Roman" w:cs="Times New Roman"/>
          <w:sz w:val="28"/>
          <w:szCs w:val="28"/>
          <w:lang w:eastAsia="ru-RU"/>
        </w:rPr>
        <w:t>https</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doi</w:t>
      </w:r>
      <w:r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eastAsia="ru-RU"/>
        </w:rPr>
        <w:t>org</w:t>
      </w:r>
      <w:r w:rsidRPr="000D4FA1">
        <w:rPr>
          <w:rFonts w:ascii="Times New Roman" w:eastAsia="Times New Roman" w:hAnsi="Times New Roman" w:cs="Times New Roman"/>
          <w:sz w:val="28"/>
          <w:szCs w:val="28"/>
          <w:lang w:val="ru-RU" w:eastAsia="ru-RU"/>
        </w:rPr>
        <w:t>/10.3390/</w:t>
      </w:r>
      <w:r w:rsidRPr="000D4FA1">
        <w:rPr>
          <w:rFonts w:ascii="Times New Roman" w:eastAsia="Times New Roman" w:hAnsi="Times New Roman" w:cs="Times New Roman"/>
          <w:sz w:val="28"/>
          <w:szCs w:val="28"/>
          <w:lang w:eastAsia="ru-RU"/>
        </w:rPr>
        <w:t>su</w:t>
      </w:r>
      <w:r w:rsidRPr="000D4FA1">
        <w:rPr>
          <w:rFonts w:ascii="Times New Roman" w:eastAsia="Times New Roman" w:hAnsi="Times New Roman" w:cs="Times New Roman"/>
          <w:sz w:val="28"/>
          <w:szCs w:val="28"/>
          <w:lang w:val="ru-RU" w:eastAsia="ru-RU"/>
        </w:rPr>
        <w:t>17052015</w:t>
      </w:r>
      <w:r w:rsidRPr="000D4FA1">
        <w:rPr>
          <w:rFonts w:ascii="Times New Roman" w:eastAsia="Times New Roman" w:hAnsi="Times New Roman" w:cs="Times New Roman"/>
          <w:sz w:val="28"/>
          <w:szCs w:val="28"/>
          <w:lang w:val="ru-RU" w:eastAsia="ru-RU"/>
        </w:rPr>
        <w:br/>
      </w:r>
      <w:hyperlink r:id="rId106" w:tgtFrame="_new"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www</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mdpi</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com</w:t>
        </w:r>
        <w:r w:rsidRPr="000D4FA1">
          <w:rPr>
            <w:rStyle w:val="af7"/>
            <w:rFonts w:ascii="Times New Roman" w:eastAsia="Times New Roman" w:hAnsi="Times New Roman" w:cs="Times New Roman"/>
            <w:sz w:val="28"/>
            <w:szCs w:val="28"/>
            <w:lang w:val="ru-RU" w:eastAsia="ru-RU"/>
          </w:rPr>
          <w:t>/2071</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val="ru-RU" w:eastAsia="ru-RU"/>
          </w:rPr>
          <w:t>1050/17/5/2015</w:t>
        </w:r>
      </w:hyperlink>
      <w:r w:rsidR="00EC1829" w:rsidRPr="000D4FA1">
        <w:rPr>
          <w:rStyle w:val="af7"/>
          <w:rFonts w:ascii="Times New Roman" w:eastAsia="Times New Roman" w:hAnsi="Times New Roman" w:cs="Times New Roman"/>
          <w:sz w:val="28"/>
          <w:szCs w:val="28"/>
          <w:lang w:val="ru-RU" w:eastAsia="ru-RU"/>
        </w:rPr>
        <w:t xml:space="preserve"> </w:t>
      </w:r>
      <w:r w:rsidR="00EC1829" w:rsidRPr="000D4FA1">
        <w:rPr>
          <w:rFonts w:ascii="Times New Roman" w:eastAsia="Times New Roman" w:hAnsi="Times New Roman" w:cs="Times New Roman"/>
          <w:sz w:val="28"/>
          <w:szCs w:val="28"/>
          <w:lang w:val="ru-RU" w:eastAsia="ru-RU"/>
        </w:rPr>
        <w:t>(дата обращения 22.12.2025).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Style w:val="a5"/>
          <w:rFonts w:ascii="Times New Roman" w:hAnsi="Times New Roman" w:cs="Times New Roman"/>
          <w:b w:val="0"/>
          <w:iCs/>
          <w:sz w:val="28"/>
          <w:szCs w:val="28"/>
        </w:rPr>
        <w:t>Lepak, D. P., &amp; Snell, S. A. The human resource architecture: Toward a theory of human capital allocation and development.</w:t>
      </w:r>
      <w:r w:rsidRPr="000D4FA1">
        <w:rPr>
          <w:rStyle w:val="a5"/>
          <w:rFonts w:ascii="Times New Roman" w:hAnsi="Times New Roman" w:cs="Times New Roman"/>
          <w:b w:val="0"/>
          <w:sz w:val="28"/>
          <w:szCs w:val="28"/>
        </w:rPr>
        <w:t xml:space="preserve">  Academy of Management Review</w:t>
      </w:r>
      <w:r w:rsidR="00EC1829"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 xml:space="preserve"> </w:t>
      </w:r>
      <w:r w:rsidR="00EC1829" w:rsidRPr="000D4FA1">
        <w:rPr>
          <w:rStyle w:val="a5"/>
          <w:rFonts w:ascii="Times New Roman" w:hAnsi="Times New Roman" w:cs="Times New Roman"/>
          <w:b w:val="0"/>
          <w:iCs/>
          <w:sz w:val="28"/>
          <w:szCs w:val="28"/>
        </w:rPr>
        <w:t xml:space="preserve">1999. </w:t>
      </w:r>
      <w:r w:rsidRPr="000D4FA1">
        <w:rPr>
          <w:rStyle w:val="a5"/>
          <w:rFonts w:ascii="Times New Roman" w:hAnsi="Times New Roman" w:cs="Times New Roman"/>
          <w:b w:val="0"/>
          <w:sz w:val="28"/>
          <w:szCs w:val="28"/>
        </w:rPr>
        <w:t>24(1)</w:t>
      </w:r>
      <w:r w:rsidR="00EC1829" w:rsidRPr="000D4FA1">
        <w:rPr>
          <w:rStyle w:val="a5"/>
          <w:rFonts w:ascii="Times New Roman" w:hAnsi="Times New Roman" w:cs="Times New Roman"/>
          <w:b w:val="0"/>
          <w:sz w:val="28"/>
          <w:szCs w:val="28"/>
        </w:rPr>
        <w:t xml:space="preserve">. – </w:t>
      </w:r>
      <w:r w:rsidR="00EC1829" w:rsidRPr="000D4FA1">
        <w:rPr>
          <w:rStyle w:val="a5"/>
          <w:rFonts w:ascii="Times New Roman" w:hAnsi="Times New Roman" w:cs="Times New Roman"/>
          <w:b w:val="0"/>
          <w:sz w:val="28"/>
          <w:szCs w:val="28"/>
          <w:lang w:val="ru-RU"/>
        </w:rPr>
        <w:t>С</w:t>
      </w:r>
      <w:r w:rsidR="00EC1829" w:rsidRPr="000D4FA1">
        <w:rPr>
          <w:rStyle w:val="a5"/>
          <w:rFonts w:ascii="Times New Roman" w:hAnsi="Times New Roman" w:cs="Times New Roman"/>
          <w:b w:val="0"/>
          <w:sz w:val="28"/>
          <w:szCs w:val="28"/>
        </w:rPr>
        <w:t>.</w:t>
      </w:r>
      <w:r w:rsidRPr="000D4FA1">
        <w:rPr>
          <w:rStyle w:val="a5"/>
          <w:rFonts w:ascii="Times New Roman" w:hAnsi="Times New Roman" w:cs="Times New Roman"/>
          <w:b w:val="0"/>
          <w:sz w:val="28"/>
          <w:szCs w:val="28"/>
        </w:rPr>
        <w:t xml:space="preserve"> 31–48.</w:t>
      </w:r>
      <w:r w:rsidRPr="000D4FA1">
        <w:rPr>
          <w:rFonts w:ascii="Times New Roman" w:eastAsia="Times New Roman" w:hAnsi="Times New Roman" w:cs="Times New Roman"/>
          <w:sz w:val="28"/>
          <w:szCs w:val="28"/>
          <w:lang w:eastAsia="ru-RU"/>
        </w:rPr>
        <w:t xml:space="preserve"> </w:t>
      </w:r>
      <w:hyperlink r:id="rId107" w:history="1">
        <w:r w:rsidRPr="000D4FA1">
          <w:rPr>
            <w:rStyle w:val="af7"/>
            <w:rFonts w:ascii="Times New Roman" w:eastAsia="Times New Roman" w:hAnsi="Times New Roman" w:cs="Times New Roman"/>
            <w:sz w:val="28"/>
            <w:szCs w:val="28"/>
            <w:lang w:eastAsia="ru-RU"/>
          </w:rPr>
          <w:t>https://www.jstor.org/stable/259035</w:t>
        </w:r>
      </w:hyperlink>
      <w:r w:rsidRPr="000D4FA1">
        <w:rPr>
          <w:rFonts w:ascii="Times New Roman" w:eastAsia="Times New Roman" w:hAnsi="Times New Roman" w:cs="Times New Roman"/>
          <w:sz w:val="28"/>
          <w:szCs w:val="28"/>
          <w:lang w:eastAsia="ru-RU"/>
        </w:rPr>
        <w:t xml:space="preserve"> </w:t>
      </w:r>
      <w:r w:rsidR="00DE7AB2" w:rsidRPr="000D4FA1">
        <w:rPr>
          <w:rFonts w:ascii="Times New Roman" w:eastAsia="Times New Roman" w:hAnsi="Times New Roman" w:cs="Times New Roman"/>
          <w:sz w:val="28"/>
          <w:szCs w:val="28"/>
          <w:lang w:eastAsia="ru-RU"/>
        </w:rPr>
        <w:t xml:space="preserve"> (</w:t>
      </w:r>
      <w:r w:rsidR="00DE7AB2" w:rsidRPr="000D4FA1">
        <w:rPr>
          <w:rFonts w:ascii="Times New Roman" w:eastAsia="Times New Roman" w:hAnsi="Times New Roman" w:cs="Times New Roman"/>
          <w:sz w:val="28"/>
          <w:szCs w:val="28"/>
          <w:lang w:val="ru-RU" w:eastAsia="ru-RU"/>
        </w:rPr>
        <w:t>дата</w:t>
      </w:r>
      <w:r w:rsidR="00DE7AB2" w:rsidRPr="000D4FA1">
        <w:rPr>
          <w:rFonts w:ascii="Times New Roman" w:eastAsia="Times New Roman" w:hAnsi="Times New Roman" w:cs="Times New Roman"/>
          <w:sz w:val="28"/>
          <w:szCs w:val="28"/>
          <w:lang w:eastAsia="ru-RU"/>
        </w:rPr>
        <w:t xml:space="preserve"> </w:t>
      </w:r>
      <w:r w:rsidR="00DE7AB2" w:rsidRPr="000D4FA1">
        <w:rPr>
          <w:rFonts w:ascii="Times New Roman" w:eastAsia="Times New Roman" w:hAnsi="Times New Roman" w:cs="Times New Roman"/>
          <w:sz w:val="28"/>
          <w:szCs w:val="28"/>
          <w:lang w:val="ru-RU" w:eastAsia="ru-RU"/>
        </w:rPr>
        <w:t>обращения</w:t>
      </w:r>
      <w:r w:rsidR="00DE7AB2" w:rsidRPr="000D4FA1">
        <w:rPr>
          <w:rFonts w:ascii="Times New Roman" w:eastAsia="Times New Roman" w:hAnsi="Times New Roman" w:cs="Times New Roman"/>
          <w:sz w:val="28"/>
          <w:szCs w:val="28"/>
          <w:lang w:eastAsia="ru-RU"/>
        </w:rPr>
        <w:t xml:space="preserve"> 17.12.2025).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Pfeffer</w:t>
      </w:r>
      <w:proofErr w:type="gramStart"/>
      <w:r w:rsidRPr="000D4FA1">
        <w:rPr>
          <w:rFonts w:ascii="Times New Roman" w:eastAsia="Times New Roman" w:hAnsi="Times New Roman" w:cs="Times New Roman"/>
          <w:sz w:val="28"/>
          <w:szCs w:val="28"/>
          <w:lang w:eastAsia="ru-RU"/>
        </w:rPr>
        <w:t>,J</w:t>
      </w:r>
      <w:proofErr w:type="gramEnd"/>
      <w:r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iCs/>
          <w:sz w:val="28"/>
          <w:szCs w:val="28"/>
          <w:lang w:eastAsia="ru-RU"/>
        </w:rPr>
        <w:t>The Human Equation: Building Profits by Putting People First</w:t>
      </w:r>
      <w:r w:rsidRPr="000D4FA1">
        <w:rPr>
          <w:rFonts w:ascii="Times New Roman" w:eastAsia="Times New Roman" w:hAnsi="Times New Roman" w:cs="Times New Roman"/>
          <w:sz w:val="28"/>
          <w:szCs w:val="28"/>
          <w:lang w:eastAsia="ru-RU"/>
        </w:rPr>
        <w:t>. Harvard Business School Press.</w:t>
      </w:r>
      <w:r w:rsidRPr="000D4FA1">
        <w:rPr>
          <w:rFonts w:ascii="Times New Roman" w:hAnsi="Times New Roman" w:cs="Times New Roman"/>
          <w:sz w:val="28"/>
          <w:szCs w:val="28"/>
        </w:rPr>
        <w:t xml:space="preserve"> </w:t>
      </w:r>
      <w:r w:rsidR="00DE7AB2" w:rsidRPr="000D4FA1">
        <w:rPr>
          <w:rFonts w:ascii="Times New Roman" w:eastAsia="Times New Roman" w:hAnsi="Times New Roman" w:cs="Times New Roman"/>
          <w:sz w:val="28"/>
          <w:szCs w:val="28"/>
          <w:lang w:eastAsia="ru-RU"/>
        </w:rPr>
        <w:t xml:space="preserve">1998. </w:t>
      </w:r>
      <w:hyperlink r:id="rId108" w:history="1">
        <w:r w:rsidR="00DE7AB2" w:rsidRPr="000D4FA1">
          <w:rPr>
            <w:rStyle w:val="af7"/>
            <w:rFonts w:ascii="Times New Roman" w:eastAsia="Times New Roman" w:hAnsi="Times New Roman" w:cs="Times New Roman"/>
            <w:sz w:val="28"/>
            <w:szCs w:val="28"/>
            <w:lang w:eastAsia="ru-RU"/>
          </w:rPr>
          <w:t>https://jeffreypfeffer.com/books/the–human–equation</w:t>
        </w:r>
      </w:hyperlink>
      <w:r w:rsidRPr="000D4FA1">
        <w:rPr>
          <w:rFonts w:ascii="Times New Roman" w:eastAsia="Times New Roman" w:hAnsi="Times New Roman" w:cs="Times New Roman"/>
          <w:sz w:val="28"/>
          <w:szCs w:val="28"/>
          <w:lang w:eastAsia="ru-RU"/>
        </w:rPr>
        <w:t xml:space="preserve"> </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lastRenderedPageBreak/>
        <w:t xml:space="preserve">Deci, E.L., &amp; Ryan, R.M. </w:t>
      </w:r>
      <w:r w:rsidRPr="000D4FA1">
        <w:rPr>
          <w:rFonts w:ascii="Times New Roman" w:eastAsia="Times New Roman" w:hAnsi="Times New Roman" w:cs="Times New Roman"/>
          <w:iCs/>
          <w:sz w:val="28"/>
          <w:szCs w:val="28"/>
          <w:lang w:eastAsia="ru-RU"/>
        </w:rPr>
        <w:t>Self</w:t>
      </w:r>
      <w:r w:rsidR="007B767F" w:rsidRPr="000D4FA1">
        <w:rPr>
          <w:rFonts w:ascii="Times New Roman" w:eastAsia="Times New Roman" w:hAnsi="Times New Roman" w:cs="Times New Roman"/>
          <w:iCs/>
          <w:sz w:val="28"/>
          <w:szCs w:val="28"/>
          <w:lang w:eastAsia="ru-RU"/>
        </w:rPr>
        <w:t>–</w:t>
      </w:r>
      <w:r w:rsidRPr="000D4FA1">
        <w:rPr>
          <w:rFonts w:ascii="Times New Roman" w:eastAsia="Times New Roman" w:hAnsi="Times New Roman" w:cs="Times New Roman"/>
          <w:iCs/>
          <w:sz w:val="28"/>
          <w:szCs w:val="28"/>
          <w:lang w:eastAsia="ru-RU"/>
        </w:rPr>
        <w:t>Determination Theory: Motivation, Development, and Wellness</w:t>
      </w:r>
      <w:r w:rsidRPr="000D4FA1">
        <w:rPr>
          <w:rFonts w:ascii="Times New Roman" w:eastAsia="Times New Roman" w:hAnsi="Times New Roman" w:cs="Times New Roman"/>
          <w:sz w:val="28"/>
          <w:szCs w:val="28"/>
          <w:lang w:eastAsia="ru-RU"/>
        </w:rPr>
        <w:t>. Yale University Press.</w:t>
      </w:r>
      <w:r w:rsidR="005C704A" w:rsidRPr="000D4FA1">
        <w:rPr>
          <w:rFonts w:ascii="Times New Roman" w:eastAsia="Times New Roman" w:hAnsi="Times New Roman" w:cs="Times New Roman"/>
          <w:sz w:val="28"/>
          <w:szCs w:val="28"/>
          <w:lang w:eastAsia="ru-RU"/>
        </w:rPr>
        <w:t xml:space="preserve"> 2000</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 xml:space="preserve">Amabile, T.M. Creativity and Innovation in Organizations. </w:t>
      </w:r>
      <w:r w:rsidRPr="000D4FA1">
        <w:rPr>
          <w:rFonts w:ascii="Times New Roman" w:eastAsia="Times New Roman" w:hAnsi="Times New Roman" w:cs="Times New Roman"/>
          <w:iCs/>
          <w:sz w:val="28"/>
          <w:szCs w:val="28"/>
          <w:lang w:eastAsia="ru-RU"/>
        </w:rPr>
        <w:t>Harvard Business School Publishing</w:t>
      </w:r>
      <w:r w:rsidR="005C704A" w:rsidRPr="000D4FA1">
        <w:rPr>
          <w:rFonts w:ascii="Times New Roman" w:eastAsia="Times New Roman" w:hAnsi="Times New Roman" w:cs="Times New Roman"/>
          <w:iCs/>
          <w:sz w:val="28"/>
          <w:szCs w:val="28"/>
          <w:lang w:eastAsia="ru-RU"/>
        </w:rPr>
        <w:t>.</w:t>
      </w:r>
      <w:r w:rsidRPr="000D4FA1">
        <w:rPr>
          <w:rFonts w:ascii="Times New Roman" w:eastAsia="Times New Roman" w:hAnsi="Times New Roman" w:cs="Times New Roman"/>
          <w:sz w:val="28"/>
          <w:szCs w:val="28"/>
          <w:lang w:eastAsia="ru-RU"/>
        </w:rPr>
        <w:t xml:space="preserve"> </w:t>
      </w:r>
      <w:r w:rsidR="005C704A" w:rsidRPr="000D4FA1">
        <w:rPr>
          <w:rFonts w:ascii="Times New Roman" w:eastAsia="Times New Roman" w:hAnsi="Times New Roman" w:cs="Times New Roman"/>
          <w:sz w:val="28"/>
          <w:szCs w:val="28"/>
          <w:lang w:eastAsia="ru-RU"/>
        </w:rPr>
        <w:t xml:space="preserve">1996. </w:t>
      </w:r>
      <w:r w:rsidRPr="000D4FA1">
        <w:rPr>
          <w:rFonts w:ascii="Times New Roman" w:eastAsia="Times New Roman" w:hAnsi="Times New Roman" w:cs="Times New Roman"/>
          <w:sz w:val="28"/>
          <w:szCs w:val="28"/>
          <w:lang w:eastAsia="ru-RU"/>
        </w:rPr>
        <w:t>4(2)</w:t>
      </w:r>
      <w:r w:rsidR="005C704A" w:rsidRPr="000D4FA1">
        <w:rPr>
          <w:rFonts w:ascii="Times New Roman" w:eastAsia="Times New Roman" w:hAnsi="Times New Roman" w:cs="Times New Roman"/>
          <w:sz w:val="28"/>
          <w:szCs w:val="28"/>
          <w:lang w:eastAsia="ru-RU"/>
        </w:rPr>
        <w:t xml:space="preserve">. – </w:t>
      </w:r>
      <w:r w:rsidR="005C704A" w:rsidRPr="000D4FA1">
        <w:rPr>
          <w:rFonts w:ascii="Times New Roman" w:eastAsia="Times New Roman" w:hAnsi="Times New Roman" w:cs="Times New Roman"/>
          <w:sz w:val="28"/>
          <w:szCs w:val="28"/>
          <w:lang w:val="ru-RU" w:eastAsia="ru-RU"/>
        </w:rPr>
        <w:t>С</w:t>
      </w:r>
      <w:r w:rsidR="005C704A"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 xml:space="preserve"> 19</w:t>
      </w:r>
      <w:r w:rsidR="007B767F" w:rsidRPr="000D4FA1">
        <w:rPr>
          <w:rFonts w:ascii="Times New Roman" w:eastAsia="Times New Roman" w:hAnsi="Times New Roman" w:cs="Times New Roman"/>
          <w:sz w:val="28"/>
          <w:szCs w:val="28"/>
          <w:lang w:eastAsia="ru-RU"/>
        </w:rPr>
        <w:t>–</w:t>
      </w:r>
      <w:r w:rsidRPr="000D4FA1">
        <w:rPr>
          <w:rFonts w:ascii="Times New Roman" w:eastAsia="Times New Roman" w:hAnsi="Times New Roman" w:cs="Times New Roman"/>
          <w:sz w:val="28"/>
          <w:szCs w:val="28"/>
          <w:lang w:eastAsia="ru-RU"/>
        </w:rPr>
        <w:t>32.</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hAnsi="Times New Roman" w:cs="Times New Roman"/>
          <w:sz w:val="28"/>
          <w:szCs w:val="28"/>
        </w:rPr>
        <w:t>Schein, E.H.</w:t>
      </w:r>
      <w:r w:rsidR="005C704A" w:rsidRPr="000D4FA1">
        <w:rPr>
          <w:rFonts w:ascii="Times New Roman" w:hAnsi="Times New Roman" w:cs="Times New Roman"/>
          <w:sz w:val="28"/>
          <w:szCs w:val="28"/>
        </w:rPr>
        <w:t xml:space="preserve"> </w:t>
      </w:r>
      <w:r w:rsidRPr="000D4FA1">
        <w:rPr>
          <w:rStyle w:val="a7"/>
          <w:rFonts w:ascii="Times New Roman" w:hAnsi="Times New Roman" w:cs="Times New Roman"/>
          <w:i w:val="0"/>
          <w:sz w:val="28"/>
          <w:szCs w:val="28"/>
        </w:rPr>
        <w:t>Organizational Culture and Leadership</w:t>
      </w:r>
      <w:r w:rsidRPr="000D4FA1">
        <w:rPr>
          <w:rFonts w:ascii="Times New Roman" w:hAnsi="Times New Roman" w:cs="Times New Roman"/>
          <w:sz w:val="28"/>
          <w:szCs w:val="28"/>
        </w:rPr>
        <w:t xml:space="preserve"> (3rd ed.). Jossey</w:t>
      </w:r>
      <w:r w:rsidR="007B767F" w:rsidRPr="000D4FA1">
        <w:rPr>
          <w:rFonts w:ascii="Times New Roman" w:hAnsi="Times New Roman" w:cs="Times New Roman"/>
          <w:sz w:val="28"/>
          <w:szCs w:val="28"/>
        </w:rPr>
        <w:t>–</w:t>
      </w:r>
      <w:r w:rsidRPr="000D4FA1">
        <w:rPr>
          <w:rFonts w:ascii="Times New Roman" w:hAnsi="Times New Roman" w:cs="Times New Roman"/>
          <w:sz w:val="28"/>
          <w:szCs w:val="28"/>
        </w:rPr>
        <w:t>Bass / Wiley.</w:t>
      </w:r>
      <w:r w:rsidRPr="000D4FA1">
        <w:rPr>
          <w:rFonts w:ascii="Times New Roman" w:eastAsia="Times New Roman" w:hAnsi="Times New Roman" w:cs="Times New Roman"/>
          <w:sz w:val="28"/>
          <w:szCs w:val="28"/>
          <w:lang w:eastAsia="ru-RU"/>
        </w:rPr>
        <w:t xml:space="preserve"> </w:t>
      </w:r>
      <w:r w:rsidR="005C704A" w:rsidRPr="000D4FA1">
        <w:rPr>
          <w:rFonts w:ascii="Times New Roman" w:hAnsi="Times New Roman" w:cs="Times New Roman"/>
          <w:sz w:val="28"/>
          <w:szCs w:val="28"/>
        </w:rPr>
        <w:t xml:space="preserve">2004. </w:t>
      </w:r>
      <w:hyperlink r:id="rId109" w:history="1">
        <w:r w:rsidR="005C704A" w:rsidRPr="000D4FA1">
          <w:rPr>
            <w:rStyle w:val="af7"/>
            <w:rFonts w:ascii="Times New Roman" w:eastAsia="Times New Roman" w:hAnsi="Times New Roman" w:cs="Times New Roman"/>
            <w:sz w:val="28"/>
            <w:szCs w:val="28"/>
            <w:lang w:eastAsia="ru-RU"/>
          </w:rPr>
          <w:t>https://books.google.kz/books/about/Organizational_Culture_and_Leadership.html?id=THQa4txcMl4C&amp;redir_esc=y</w:t>
        </w:r>
      </w:hyperlink>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 xml:space="preserve">Armstrong, M. </w:t>
      </w:r>
      <w:r w:rsidRPr="000D4FA1">
        <w:rPr>
          <w:rFonts w:ascii="Times New Roman" w:eastAsia="Times New Roman" w:hAnsi="Times New Roman" w:cs="Times New Roman"/>
          <w:iCs/>
          <w:sz w:val="28"/>
          <w:szCs w:val="28"/>
          <w:lang w:eastAsia="ru-RU"/>
        </w:rPr>
        <w:t>Armstrong's Handbook of Human Resource Management Practice</w:t>
      </w:r>
      <w:r w:rsidRPr="000D4FA1">
        <w:rPr>
          <w:rFonts w:ascii="Times New Roman" w:eastAsia="Times New Roman" w:hAnsi="Times New Roman" w:cs="Times New Roman"/>
          <w:sz w:val="28"/>
          <w:szCs w:val="28"/>
          <w:lang w:eastAsia="ru-RU"/>
        </w:rPr>
        <w:t>. Kogan Page Publishers</w:t>
      </w:r>
      <w:r w:rsidR="005C704A" w:rsidRPr="000D4FA1">
        <w:rPr>
          <w:rFonts w:ascii="Times New Roman" w:eastAsia="Times New Roman" w:hAnsi="Times New Roman" w:cs="Times New Roman"/>
          <w:sz w:val="28"/>
          <w:szCs w:val="28"/>
          <w:lang w:eastAsia="ru-RU"/>
        </w:rPr>
        <w:t>. 2012</w:t>
      </w:r>
      <w:r w:rsidRPr="000D4FA1">
        <w:rPr>
          <w:rFonts w:ascii="Times New Roman" w:eastAsia="Times New Roman" w:hAnsi="Times New Roman" w:cs="Times New Roman"/>
          <w:sz w:val="28"/>
          <w:szCs w:val="28"/>
          <w:lang w:eastAsia="ru-RU"/>
        </w:rPr>
        <w:t>.</w:t>
      </w:r>
      <w:r w:rsidRPr="000D4FA1">
        <w:rPr>
          <w:rFonts w:ascii="Times New Roman" w:hAnsi="Times New Roman" w:cs="Times New Roman"/>
          <w:sz w:val="28"/>
          <w:szCs w:val="28"/>
        </w:rPr>
        <w:t xml:space="preserve"> </w:t>
      </w:r>
      <w:hyperlink r:id="rId110" w:history="1">
        <w:r w:rsidRPr="000D4FA1">
          <w:rPr>
            <w:rStyle w:val="af7"/>
            <w:rFonts w:ascii="Times New Roman" w:hAnsi="Times New Roman" w:cs="Times New Roman"/>
            <w:sz w:val="28"/>
            <w:szCs w:val="28"/>
          </w:rPr>
          <w:t>https://academic.oup.com/book/26255</w:t>
        </w:r>
      </w:hyperlink>
      <w:r w:rsidR="000913DE" w:rsidRPr="000D4FA1">
        <w:rPr>
          <w:rStyle w:val="af7"/>
          <w:rFonts w:ascii="Times New Roman" w:hAnsi="Times New Roman" w:cs="Times New Roman"/>
          <w:sz w:val="28"/>
          <w:szCs w:val="28"/>
        </w:rPr>
        <w:t xml:space="preserve"> </w:t>
      </w:r>
      <w:r w:rsidR="000913DE" w:rsidRPr="000D4FA1">
        <w:rPr>
          <w:rFonts w:ascii="Times New Roman" w:eastAsia="Times New Roman" w:hAnsi="Times New Roman" w:cs="Times New Roman"/>
          <w:sz w:val="28"/>
          <w:szCs w:val="28"/>
          <w:lang w:eastAsia="ru-RU"/>
        </w:rPr>
        <w:t>(</w:t>
      </w:r>
      <w:r w:rsidR="000913DE" w:rsidRPr="000D4FA1">
        <w:rPr>
          <w:rFonts w:ascii="Times New Roman" w:eastAsia="Times New Roman" w:hAnsi="Times New Roman" w:cs="Times New Roman"/>
          <w:sz w:val="28"/>
          <w:szCs w:val="28"/>
          <w:lang w:val="ru-RU" w:eastAsia="ru-RU"/>
        </w:rPr>
        <w:t>дата</w:t>
      </w:r>
      <w:r w:rsidR="000913DE" w:rsidRPr="000D4FA1">
        <w:rPr>
          <w:rFonts w:ascii="Times New Roman" w:eastAsia="Times New Roman" w:hAnsi="Times New Roman" w:cs="Times New Roman"/>
          <w:sz w:val="28"/>
          <w:szCs w:val="28"/>
          <w:lang w:eastAsia="ru-RU"/>
        </w:rPr>
        <w:t xml:space="preserve"> </w:t>
      </w:r>
      <w:r w:rsidR="000913DE" w:rsidRPr="000D4FA1">
        <w:rPr>
          <w:rFonts w:ascii="Times New Roman" w:eastAsia="Times New Roman" w:hAnsi="Times New Roman" w:cs="Times New Roman"/>
          <w:sz w:val="28"/>
          <w:szCs w:val="28"/>
          <w:lang w:val="ru-RU" w:eastAsia="ru-RU"/>
        </w:rPr>
        <w:t>обращения</w:t>
      </w:r>
      <w:r w:rsidR="000913DE" w:rsidRPr="000D4FA1">
        <w:rPr>
          <w:rFonts w:ascii="Times New Roman" w:eastAsia="Times New Roman" w:hAnsi="Times New Roman" w:cs="Times New Roman"/>
          <w:sz w:val="28"/>
          <w:szCs w:val="28"/>
          <w:lang w:eastAsia="ru-RU"/>
        </w:rPr>
        <w:t xml:space="preserve"> 10.01.2025).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eastAsia="Times New Roman" w:hAnsi="Times New Roman" w:cs="Times New Roman"/>
          <w:sz w:val="28"/>
          <w:szCs w:val="28"/>
          <w:lang w:eastAsia="ru-RU"/>
        </w:rPr>
        <w:t>Luthans, F., Youssef, C. M., &amp; Avolio, B. J.</w:t>
      </w:r>
      <w:r w:rsidR="005C704A" w:rsidRPr="000D4FA1">
        <w:rPr>
          <w:rFonts w:ascii="Times New Roman" w:eastAsia="Times New Roman" w:hAnsi="Times New Roman" w:cs="Times New Roman"/>
          <w:sz w:val="28"/>
          <w:szCs w:val="28"/>
          <w:lang w:eastAsia="ru-RU"/>
        </w:rPr>
        <w:t xml:space="preserve"> </w:t>
      </w:r>
      <w:r w:rsidRPr="000D4FA1">
        <w:rPr>
          <w:rFonts w:ascii="Times New Roman" w:eastAsia="Times New Roman" w:hAnsi="Times New Roman" w:cs="Times New Roman"/>
          <w:iCs/>
          <w:sz w:val="28"/>
          <w:szCs w:val="28"/>
          <w:lang w:eastAsia="ru-RU"/>
        </w:rPr>
        <w:t>Psychological Capital: Developing the Human Competitive Edge</w:t>
      </w:r>
      <w:r w:rsidRPr="000D4FA1">
        <w:rPr>
          <w:rFonts w:ascii="Times New Roman" w:eastAsia="Times New Roman" w:hAnsi="Times New Roman" w:cs="Times New Roman"/>
          <w:sz w:val="28"/>
          <w:szCs w:val="28"/>
          <w:lang w:eastAsia="ru-RU"/>
        </w:rPr>
        <w:t>. Oxford University Press.</w:t>
      </w:r>
      <w:r w:rsidRPr="000D4FA1">
        <w:rPr>
          <w:rFonts w:ascii="Times New Roman" w:hAnsi="Times New Roman" w:cs="Times New Roman"/>
        </w:rPr>
        <w:t xml:space="preserve"> </w:t>
      </w:r>
      <w:r w:rsidR="005C704A" w:rsidRPr="000D4FA1">
        <w:rPr>
          <w:rFonts w:ascii="Times New Roman" w:eastAsia="Times New Roman" w:hAnsi="Times New Roman" w:cs="Times New Roman"/>
          <w:sz w:val="28"/>
          <w:szCs w:val="28"/>
          <w:lang w:eastAsia="ru-RU"/>
        </w:rPr>
        <w:t>2007</w:t>
      </w:r>
      <w:r w:rsidR="005C704A" w:rsidRPr="000D4FA1">
        <w:rPr>
          <w:rFonts w:ascii="Times New Roman" w:eastAsia="Times New Roman" w:hAnsi="Times New Roman" w:cs="Times New Roman"/>
          <w:sz w:val="28"/>
          <w:szCs w:val="28"/>
          <w:lang w:val="ru-RU" w:eastAsia="ru-RU"/>
        </w:rPr>
        <w:t xml:space="preserve">. </w:t>
      </w:r>
      <w:hyperlink r:id="rId111" w:history="1">
        <w:r w:rsidR="005C704A" w:rsidRPr="000D4FA1">
          <w:rPr>
            <w:rStyle w:val="af7"/>
            <w:rFonts w:ascii="Times New Roman" w:hAnsi="Times New Roman" w:cs="Times New Roman"/>
            <w:sz w:val="28"/>
            <w:szCs w:val="28"/>
          </w:rPr>
          <w:t>https://academic.oup.com/book/26255</w:t>
        </w:r>
      </w:hyperlink>
    </w:p>
    <w:p w:rsidR="000913DE" w:rsidRPr="000D4FA1" w:rsidRDefault="00653F3E" w:rsidP="005C704A">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rPr>
      </w:pPr>
      <w:r w:rsidRPr="000D4FA1">
        <w:rPr>
          <w:rFonts w:ascii="Times New Roman" w:eastAsia="Times New Roman" w:hAnsi="Times New Roman" w:cs="Times New Roman"/>
          <w:sz w:val="28"/>
          <w:szCs w:val="28"/>
          <w:lang w:val="ru-RU" w:eastAsia="ru-RU"/>
        </w:rPr>
        <w:t>Укрепление средств осуществления и активизация работы в рамках Глобального партнерства в интересах устойчивого развития.</w:t>
      </w:r>
      <w:r w:rsidRPr="000D4FA1">
        <w:rPr>
          <w:rFonts w:ascii="Times New Roman" w:hAnsi="Times New Roman" w:cs="Times New Roman"/>
          <w:sz w:val="28"/>
          <w:szCs w:val="28"/>
          <w:lang w:val="ru-RU"/>
        </w:rPr>
        <w:t xml:space="preserve"> </w:t>
      </w:r>
      <w:hyperlink r:id="rId112" w:history="1">
        <w:r w:rsidRPr="000D4FA1">
          <w:rPr>
            <w:rStyle w:val="af7"/>
            <w:rFonts w:ascii="Times New Roman" w:hAnsi="Times New Roman" w:cs="Times New Roman"/>
            <w:sz w:val="28"/>
            <w:szCs w:val="28"/>
            <w:lang w:val="ru-RU"/>
          </w:rPr>
          <w:t>https://www.un.org/sustainabledevelopment/ru/globalpartnerships/</w:t>
        </w:r>
      </w:hyperlink>
      <w:r w:rsidR="005C704A" w:rsidRPr="000D4FA1">
        <w:rPr>
          <w:rStyle w:val="af7"/>
          <w:rFonts w:ascii="Times New Roman" w:hAnsi="Times New Roman" w:cs="Times New Roman"/>
          <w:sz w:val="28"/>
          <w:szCs w:val="28"/>
          <w:lang w:val="ru-RU"/>
        </w:rPr>
        <w:t xml:space="preserve"> </w:t>
      </w:r>
      <w:r w:rsidR="005C704A" w:rsidRPr="000D4FA1">
        <w:rPr>
          <w:rFonts w:ascii="Times New Roman" w:eastAsia="Times New Roman" w:hAnsi="Times New Roman" w:cs="Times New Roman"/>
          <w:sz w:val="28"/>
          <w:szCs w:val="28"/>
          <w:lang w:eastAsia="ru-RU"/>
        </w:rPr>
        <w:t>(</w:t>
      </w:r>
      <w:r w:rsidR="005C704A" w:rsidRPr="000D4FA1">
        <w:rPr>
          <w:rFonts w:ascii="Times New Roman" w:eastAsia="Times New Roman" w:hAnsi="Times New Roman" w:cs="Times New Roman"/>
          <w:sz w:val="28"/>
          <w:szCs w:val="28"/>
          <w:lang w:val="ru-RU" w:eastAsia="ru-RU"/>
        </w:rPr>
        <w:t>дата</w:t>
      </w:r>
      <w:r w:rsidR="005C704A" w:rsidRPr="000D4FA1">
        <w:rPr>
          <w:rFonts w:ascii="Times New Roman" w:eastAsia="Times New Roman" w:hAnsi="Times New Roman" w:cs="Times New Roman"/>
          <w:sz w:val="28"/>
          <w:szCs w:val="28"/>
          <w:lang w:eastAsia="ru-RU"/>
        </w:rPr>
        <w:t xml:space="preserve"> </w:t>
      </w:r>
      <w:r w:rsidR="005C704A" w:rsidRPr="000D4FA1">
        <w:rPr>
          <w:rFonts w:ascii="Times New Roman" w:eastAsia="Times New Roman" w:hAnsi="Times New Roman" w:cs="Times New Roman"/>
          <w:sz w:val="28"/>
          <w:szCs w:val="28"/>
          <w:lang w:val="ru-RU" w:eastAsia="ru-RU"/>
        </w:rPr>
        <w:t>обращения</w:t>
      </w:r>
      <w:r w:rsidR="005C704A" w:rsidRPr="000D4FA1">
        <w:rPr>
          <w:rFonts w:ascii="Times New Roman" w:eastAsia="Times New Roman" w:hAnsi="Times New Roman" w:cs="Times New Roman"/>
          <w:sz w:val="28"/>
          <w:szCs w:val="28"/>
          <w:lang w:eastAsia="ru-RU"/>
        </w:rPr>
        <w:t xml:space="preserve"> 1</w:t>
      </w:r>
      <w:r w:rsidR="005C704A" w:rsidRPr="000D4FA1">
        <w:rPr>
          <w:rFonts w:ascii="Times New Roman" w:eastAsia="Times New Roman" w:hAnsi="Times New Roman" w:cs="Times New Roman"/>
          <w:sz w:val="28"/>
          <w:szCs w:val="28"/>
          <w:lang w:val="ru-RU" w:eastAsia="ru-RU"/>
        </w:rPr>
        <w:t>8</w:t>
      </w:r>
      <w:r w:rsidR="005C704A" w:rsidRPr="000D4FA1">
        <w:rPr>
          <w:rFonts w:ascii="Times New Roman" w:eastAsia="Times New Roman" w:hAnsi="Times New Roman" w:cs="Times New Roman"/>
          <w:sz w:val="28"/>
          <w:szCs w:val="28"/>
          <w:lang w:eastAsia="ru-RU"/>
        </w:rPr>
        <w:t>.0</w:t>
      </w:r>
      <w:r w:rsidR="005C704A" w:rsidRPr="000D4FA1">
        <w:rPr>
          <w:rFonts w:ascii="Times New Roman" w:eastAsia="Times New Roman" w:hAnsi="Times New Roman" w:cs="Times New Roman"/>
          <w:sz w:val="28"/>
          <w:szCs w:val="28"/>
          <w:lang w:val="ru-RU" w:eastAsia="ru-RU"/>
        </w:rPr>
        <w:t>3</w:t>
      </w:r>
      <w:r w:rsidR="005C704A" w:rsidRPr="000D4FA1">
        <w:rPr>
          <w:rFonts w:ascii="Times New Roman" w:eastAsia="Times New Roman" w:hAnsi="Times New Roman" w:cs="Times New Roman"/>
          <w:sz w:val="28"/>
          <w:szCs w:val="28"/>
          <w:lang w:eastAsia="ru-RU"/>
        </w:rPr>
        <w:t>.2025).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 xml:space="preserve">Зеленый курс ЕС </w:t>
      </w:r>
      <w:hyperlink r:id="rId113"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wecoop</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eu</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ru</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glossary</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green</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deal</w:t>
        </w:r>
      </w:hyperlink>
      <w:r w:rsidR="000913DE" w:rsidRPr="000D4FA1">
        <w:rPr>
          <w:rStyle w:val="af7"/>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(дата обращения 10.</w:t>
      </w:r>
      <w:r w:rsidR="005C704A" w:rsidRPr="000D4FA1">
        <w:rPr>
          <w:rFonts w:ascii="Times New Roman" w:eastAsia="Times New Roman" w:hAnsi="Times New Roman" w:cs="Times New Roman"/>
          <w:sz w:val="28"/>
          <w:szCs w:val="28"/>
          <w:lang w:val="ru-RU" w:eastAsia="ru-RU"/>
        </w:rPr>
        <w:t>10</w:t>
      </w:r>
      <w:r w:rsidR="000913DE" w:rsidRPr="000D4FA1">
        <w:rPr>
          <w:rFonts w:ascii="Times New Roman" w:eastAsia="Times New Roman" w:hAnsi="Times New Roman" w:cs="Times New Roman"/>
          <w:sz w:val="28"/>
          <w:szCs w:val="28"/>
          <w:lang w:val="ru-RU" w:eastAsia="ru-RU"/>
        </w:rPr>
        <w:t>.2025).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 xml:space="preserve">Online Browsing Platform (OBP)    </w:t>
      </w:r>
      <w:r w:rsidRPr="000D4FA1">
        <w:rPr>
          <w:rFonts w:ascii="Times New Roman" w:hAnsi="Times New Roman" w:cs="Times New Roman"/>
          <w:bCs/>
          <w:sz w:val="28"/>
          <w:szCs w:val="28"/>
          <w:shd w:val="clear" w:color="auto" w:fill="333333"/>
        </w:rPr>
        <w:t xml:space="preserve"> </w:t>
      </w:r>
      <w:hyperlink r:id="rId114" w:anchor="iso:std:iso:26000:ed-1:v1:ru" w:history="1">
        <w:r w:rsidRPr="000D4FA1">
          <w:rPr>
            <w:rStyle w:val="af7"/>
            <w:rFonts w:ascii="Times New Roman" w:eastAsia="Times New Roman" w:hAnsi="Times New Roman" w:cs="Times New Roman"/>
            <w:sz w:val="28"/>
            <w:szCs w:val="28"/>
            <w:lang w:eastAsia="ru-RU"/>
          </w:rPr>
          <w:t>https://www.iso.org/obp/ui#iso:std:iso:26000:ed</w:t>
        </w:r>
        <w:r w:rsidR="007B767F" w:rsidRPr="000D4FA1">
          <w:rPr>
            <w:rStyle w:val="af7"/>
            <w:rFonts w:ascii="Times New Roman" w:eastAsia="Times New Roman" w:hAnsi="Times New Roman" w:cs="Times New Roman"/>
            <w:sz w:val="28"/>
            <w:szCs w:val="28"/>
            <w:lang w:eastAsia="ru-RU"/>
          </w:rPr>
          <w:t>–</w:t>
        </w:r>
        <w:r w:rsidRPr="000D4FA1">
          <w:rPr>
            <w:rStyle w:val="af7"/>
            <w:rFonts w:ascii="Times New Roman" w:eastAsia="Times New Roman" w:hAnsi="Times New Roman" w:cs="Times New Roman"/>
            <w:sz w:val="28"/>
            <w:szCs w:val="28"/>
            <w:lang w:eastAsia="ru-RU"/>
          </w:rPr>
          <w:t>1:v1:ru</w:t>
        </w:r>
      </w:hyperlink>
      <w:r w:rsidR="000913DE" w:rsidRPr="000D4FA1">
        <w:rPr>
          <w:rStyle w:val="af7"/>
          <w:rFonts w:ascii="Times New Roman" w:eastAsia="Times New Roman" w:hAnsi="Times New Roman" w:cs="Times New Roman"/>
          <w:sz w:val="28"/>
          <w:szCs w:val="28"/>
          <w:lang w:eastAsia="ru-RU"/>
        </w:rPr>
        <w:t xml:space="preserve"> </w:t>
      </w:r>
      <w:r w:rsidR="000913DE" w:rsidRPr="000D4FA1">
        <w:rPr>
          <w:rFonts w:ascii="Times New Roman" w:eastAsia="Times New Roman" w:hAnsi="Times New Roman" w:cs="Times New Roman"/>
          <w:sz w:val="28"/>
          <w:szCs w:val="28"/>
          <w:lang w:eastAsia="ru-RU"/>
        </w:rPr>
        <w:t>(</w:t>
      </w:r>
      <w:r w:rsidR="000913DE" w:rsidRPr="000D4FA1">
        <w:rPr>
          <w:rFonts w:ascii="Times New Roman" w:eastAsia="Times New Roman" w:hAnsi="Times New Roman" w:cs="Times New Roman"/>
          <w:sz w:val="28"/>
          <w:szCs w:val="28"/>
          <w:lang w:val="ru-RU" w:eastAsia="ru-RU"/>
        </w:rPr>
        <w:t>дата</w:t>
      </w:r>
      <w:r w:rsidR="000913DE" w:rsidRPr="000D4FA1">
        <w:rPr>
          <w:rFonts w:ascii="Times New Roman" w:eastAsia="Times New Roman" w:hAnsi="Times New Roman" w:cs="Times New Roman"/>
          <w:sz w:val="28"/>
          <w:szCs w:val="28"/>
          <w:lang w:eastAsia="ru-RU"/>
        </w:rPr>
        <w:t xml:space="preserve"> </w:t>
      </w:r>
      <w:r w:rsidR="000913DE" w:rsidRPr="000D4FA1">
        <w:rPr>
          <w:rFonts w:ascii="Times New Roman" w:eastAsia="Times New Roman" w:hAnsi="Times New Roman" w:cs="Times New Roman"/>
          <w:sz w:val="28"/>
          <w:szCs w:val="28"/>
          <w:lang w:val="ru-RU" w:eastAsia="ru-RU"/>
        </w:rPr>
        <w:t>обращения</w:t>
      </w:r>
      <w:r w:rsidR="000913DE" w:rsidRPr="000D4FA1">
        <w:rPr>
          <w:rFonts w:ascii="Times New Roman" w:eastAsia="Times New Roman" w:hAnsi="Times New Roman" w:cs="Times New Roman"/>
          <w:sz w:val="28"/>
          <w:szCs w:val="28"/>
          <w:lang w:eastAsia="ru-RU"/>
        </w:rPr>
        <w:t xml:space="preserve"> 1</w:t>
      </w:r>
      <w:r w:rsidR="005C704A" w:rsidRPr="000D4FA1">
        <w:rPr>
          <w:rFonts w:ascii="Times New Roman" w:eastAsia="Times New Roman" w:hAnsi="Times New Roman" w:cs="Times New Roman"/>
          <w:sz w:val="28"/>
          <w:szCs w:val="28"/>
          <w:lang w:eastAsia="ru-RU"/>
        </w:rPr>
        <w:t>2</w:t>
      </w:r>
      <w:r w:rsidR="000913DE" w:rsidRPr="000D4FA1">
        <w:rPr>
          <w:rFonts w:ascii="Times New Roman" w:eastAsia="Times New Roman" w:hAnsi="Times New Roman" w:cs="Times New Roman"/>
          <w:sz w:val="28"/>
          <w:szCs w:val="28"/>
          <w:lang w:eastAsia="ru-RU"/>
        </w:rPr>
        <w:t>.</w:t>
      </w:r>
      <w:r w:rsidR="005C704A" w:rsidRPr="000D4FA1">
        <w:rPr>
          <w:rFonts w:ascii="Times New Roman" w:eastAsia="Times New Roman" w:hAnsi="Times New Roman" w:cs="Times New Roman"/>
          <w:sz w:val="28"/>
          <w:szCs w:val="28"/>
          <w:lang w:eastAsia="ru-RU"/>
        </w:rPr>
        <w:t>10</w:t>
      </w:r>
      <w:r w:rsidR="000913DE" w:rsidRPr="000D4FA1">
        <w:rPr>
          <w:rFonts w:ascii="Times New Roman" w:eastAsia="Times New Roman" w:hAnsi="Times New Roman" w:cs="Times New Roman"/>
          <w:sz w:val="28"/>
          <w:szCs w:val="28"/>
          <w:lang w:eastAsia="ru-RU"/>
        </w:rPr>
        <w:t>.2025).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hAnsi="Times New Roman" w:cs="Times New Roman"/>
          <w:sz w:val="28"/>
          <w:szCs w:val="28"/>
          <w:lang w:val="ru-RU"/>
        </w:rPr>
        <w:t>П</w:t>
      </w:r>
      <w:r w:rsidRPr="000D4FA1">
        <w:rPr>
          <w:rFonts w:ascii="Times New Roman" w:eastAsia="Times New Roman" w:hAnsi="Times New Roman" w:cs="Times New Roman"/>
          <w:sz w:val="28"/>
          <w:szCs w:val="28"/>
          <w:lang w:val="ru-RU" w:eastAsia="ru-RU"/>
        </w:rPr>
        <w:t>реимущества</w:t>
      </w:r>
      <w:r w:rsidRPr="000D4FA1">
        <w:rPr>
          <w:rFonts w:ascii="Times New Roman" w:hAnsi="Times New Roman" w:cs="Times New Roman"/>
          <w:caps/>
          <w:sz w:val="28"/>
          <w:szCs w:val="28"/>
          <w:lang w:val="ru-RU"/>
        </w:rPr>
        <w:t xml:space="preserve"> </w:t>
      </w:r>
      <w:r w:rsidRPr="000D4FA1">
        <w:rPr>
          <w:rFonts w:ascii="Times New Roman" w:hAnsi="Times New Roman" w:cs="Times New Roman"/>
          <w:caps/>
          <w:sz w:val="28"/>
          <w:szCs w:val="28"/>
        </w:rPr>
        <w:t>ESG</w:t>
      </w:r>
      <w:r w:rsidRPr="000D4FA1">
        <w:rPr>
          <w:rFonts w:ascii="Times New Roman" w:hAnsi="Times New Roman" w:cs="Times New Roman"/>
          <w:caps/>
          <w:sz w:val="28"/>
          <w:szCs w:val="28"/>
          <w:lang w:val="ru-RU"/>
        </w:rPr>
        <w:t xml:space="preserve"> </w:t>
      </w:r>
      <w:hyperlink r:id="rId115"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damu</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kz</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ru</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o</w:t>
        </w:r>
        <w:r w:rsidR="007B767F"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fonde</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esg</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esg</w:t>
        </w:r>
        <w:r w:rsidRPr="000D4FA1">
          <w:rPr>
            <w:rStyle w:val="af7"/>
            <w:rFonts w:ascii="Times New Roman" w:eastAsia="Times New Roman" w:hAnsi="Times New Roman" w:cs="Times New Roman"/>
            <w:sz w:val="28"/>
            <w:szCs w:val="28"/>
            <w:lang w:val="ru-RU" w:eastAsia="ru-RU"/>
          </w:rPr>
          <w:t>_</w:t>
        </w:r>
        <w:r w:rsidRPr="000D4FA1">
          <w:rPr>
            <w:rStyle w:val="af7"/>
            <w:rFonts w:ascii="Times New Roman" w:eastAsia="Times New Roman" w:hAnsi="Times New Roman" w:cs="Times New Roman"/>
            <w:sz w:val="28"/>
            <w:szCs w:val="28"/>
            <w:lang w:eastAsia="ru-RU"/>
          </w:rPr>
          <w:t>pr</w:t>
        </w:r>
      </w:hyperlink>
      <w:r w:rsidRPr="000D4FA1">
        <w:rPr>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 xml:space="preserve"> (дата обращения 17.0</w:t>
      </w:r>
      <w:r w:rsidR="005C704A" w:rsidRPr="000D4FA1">
        <w:rPr>
          <w:rFonts w:ascii="Times New Roman" w:eastAsia="Times New Roman" w:hAnsi="Times New Roman" w:cs="Times New Roman"/>
          <w:sz w:val="28"/>
          <w:szCs w:val="28"/>
          <w:lang w:val="ru-RU" w:eastAsia="ru-RU"/>
        </w:rPr>
        <w:t>5</w:t>
      </w:r>
      <w:r w:rsidR="000913DE" w:rsidRPr="000D4FA1">
        <w:rPr>
          <w:rFonts w:ascii="Times New Roman" w:eastAsia="Times New Roman" w:hAnsi="Times New Roman" w:cs="Times New Roman"/>
          <w:sz w:val="28"/>
          <w:szCs w:val="28"/>
          <w:lang w:val="ru-RU" w:eastAsia="ru-RU"/>
        </w:rPr>
        <w:t>.2025).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 xml:space="preserve">Концепция развития здравоохранения Республики Казахстан до 2026 года. </w:t>
      </w:r>
      <w:hyperlink r:id="rId116" w:tgtFrame="_new"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adilet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P</w:t>
        </w:r>
        <w:r w:rsidRPr="000D4FA1">
          <w:rPr>
            <w:rStyle w:val="af7"/>
            <w:rFonts w:ascii="Times New Roman" w:hAnsi="Times New Roman" w:cs="Times New Roman"/>
            <w:sz w:val="28"/>
            <w:szCs w:val="28"/>
            <w:lang w:val="ru-RU"/>
          </w:rPr>
          <w:t>2200000945</w:t>
        </w:r>
      </w:hyperlink>
      <w:r w:rsidR="000913DE" w:rsidRPr="000D4FA1">
        <w:rPr>
          <w:rStyle w:val="af7"/>
          <w:rFonts w:ascii="Times New Roman" w:hAnsi="Times New Roman" w:cs="Times New Roman"/>
          <w:sz w:val="28"/>
          <w:szCs w:val="28"/>
          <w:lang w:val="ru-RU"/>
        </w:rPr>
        <w:t xml:space="preserve"> </w:t>
      </w:r>
      <w:r w:rsidR="000913DE" w:rsidRPr="000D4FA1">
        <w:rPr>
          <w:rFonts w:ascii="Times New Roman" w:eastAsia="Times New Roman" w:hAnsi="Times New Roman" w:cs="Times New Roman"/>
          <w:sz w:val="28"/>
          <w:szCs w:val="28"/>
          <w:lang w:val="ru-RU" w:eastAsia="ru-RU"/>
        </w:rPr>
        <w:t>(дата обращения 17.</w:t>
      </w:r>
      <w:r w:rsidR="005C704A" w:rsidRPr="000D4FA1">
        <w:rPr>
          <w:rFonts w:ascii="Times New Roman" w:eastAsia="Times New Roman" w:hAnsi="Times New Roman" w:cs="Times New Roman"/>
          <w:sz w:val="28"/>
          <w:szCs w:val="28"/>
          <w:lang w:val="ru-RU" w:eastAsia="ru-RU"/>
        </w:rPr>
        <w:t>12</w:t>
      </w:r>
      <w:r w:rsidR="000913DE" w:rsidRPr="000D4FA1">
        <w:rPr>
          <w:rFonts w:ascii="Times New Roman" w:eastAsia="Times New Roman" w:hAnsi="Times New Roman" w:cs="Times New Roman"/>
          <w:sz w:val="28"/>
          <w:szCs w:val="28"/>
          <w:lang w:val="ru-RU" w:eastAsia="ru-RU"/>
        </w:rPr>
        <w:t>.2025).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План действий по реализации Концепции развития здравоохранения РК до 2026 года</w:t>
      </w:r>
      <w:r w:rsidRPr="000D4FA1">
        <w:rPr>
          <w:rFonts w:ascii="Times New Roman" w:hAnsi="Times New Roman" w:cs="Times New Roman"/>
          <w:b/>
          <w:sz w:val="28"/>
          <w:szCs w:val="28"/>
          <w:lang w:val="ru-RU"/>
        </w:rPr>
        <w:t xml:space="preserve"> </w:t>
      </w:r>
      <w:hyperlink r:id="rId117" w:tgtFrame="_new"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zakon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uchet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P</w:t>
        </w:r>
        <w:r w:rsidRPr="000D4FA1">
          <w:rPr>
            <w:rStyle w:val="af7"/>
            <w:rFonts w:ascii="Times New Roman" w:hAnsi="Times New Roman" w:cs="Times New Roman"/>
            <w:sz w:val="28"/>
            <w:szCs w:val="28"/>
            <w:lang w:val="ru-RU"/>
          </w:rPr>
          <w:t>2400000141</w:t>
        </w:r>
      </w:hyperlink>
      <w:r w:rsidR="000913DE" w:rsidRPr="000D4FA1">
        <w:rPr>
          <w:rStyle w:val="af7"/>
          <w:rFonts w:ascii="Times New Roman" w:hAnsi="Times New Roman" w:cs="Times New Roman"/>
          <w:sz w:val="28"/>
          <w:szCs w:val="28"/>
          <w:lang w:val="ru-RU"/>
        </w:rPr>
        <w:t xml:space="preserve"> </w:t>
      </w:r>
      <w:r w:rsidR="000913DE" w:rsidRPr="000D4FA1">
        <w:rPr>
          <w:rFonts w:ascii="Times New Roman" w:eastAsia="Times New Roman" w:hAnsi="Times New Roman" w:cs="Times New Roman"/>
          <w:sz w:val="28"/>
          <w:szCs w:val="28"/>
          <w:lang w:val="ru-RU" w:eastAsia="ru-RU"/>
        </w:rPr>
        <w:t>(дата обращения 17.</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w:t>
      </w:r>
      <w:r w:rsidR="00F46942" w:rsidRPr="000D4FA1">
        <w:rPr>
          <w:rFonts w:ascii="Times New Roman" w:eastAsia="Times New Roman" w:hAnsi="Times New Roman" w:cs="Times New Roman"/>
          <w:sz w:val="28"/>
          <w:szCs w:val="28"/>
          <w:lang w:val="ru-RU" w:eastAsia="ru-RU"/>
        </w:rPr>
        <w:t>4</w:t>
      </w:r>
      <w:r w:rsidR="000913DE"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 xml:space="preserve">Концепция развития инфраструктуры здравоохранения на 2024–2030 годы. </w:t>
      </w:r>
      <w:hyperlink r:id="rId118" w:tgtFrame="_new"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zakon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uchet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P</w:t>
        </w:r>
        <w:r w:rsidRPr="000D4FA1">
          <w:rPr>
            <w:rStyle w:val="af7"/>
            <w:rFonts w:ascii="Times New Roman" w:hAnsi="Times New Roman" w:cs="Times New Roman"/>
            <w:sz w:val="28"/>
            <w:szCs w:val="28"/>
            <w:lang w:val="ru-RU"/>
          </w:rPr>
          <w:t>2400000454</w:t>
        </w:r>
      </w:hyperlink>
      <w:r w:rsidR="000913DE" w:rsidRPr="000D4FA1">
        <w:rPr>
          <w:rStyle w:val="af7"/>
          <w:rFonts w:ascii="Times New Roman" w:hAnsi="Times New Roman" w:cs="Times New Roman"/>
          <w:sz w:val="28"/>
          <w:szCs w:val="28"/>
          <w:lang w:val="ru-RU"/>
        </w:rPr>
        <w:t xml:space="preserve"> </w:t>
      </w:r>
      <w:r w:rsidR="000913DE" w:rsidRPr="000D4FA1">
        <w:rPr>
          <w:rFonts w:ascii="Times New Roman" w:eastAsia="Times New Roman" w:hAnsi="Times New Roman" w:cs="Times New Roman"/>
          <w:sz w:val="28"/>
          <w:szCs w:val="28"/>
          <w:lang w:val="ru-RU" w:eastAsia="ru-RU"/>
        </w:rPr>
        <w:t>(дата обращения 17.</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w:t>
      </w:r>
      <w:r w:rsidR="00F46942" w:rsidRPr="000D4FA1">
        <w:rPr>
          <w:rFonts w:ascii="Times New Roman" w:eastAsia="Times New Roman" w:hAnsi="Times New Roman" w:cs="Times New Roman"/>
          <w:sz w:val="28"/>
          <w:szCs w:val="28"/>
          <w:lang w:val="ru-RU" w:eastAsia="ru-RU"/>
        </w:rPr>
        <w:t>4</w:t>
      </w:r>
      <w:r w:rsidR="000913DE"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Закон Республики Казахстан «Об образовании»</w:t>
      </w:r>
      <w:r w:rsidRPr="000D4FA1">
        <w:rPr>
          <w:rFonts w:ascii="Times New Roman" w:hAnsi="Times New Roman" w:cs="Times New Roman"/>
          <w:b/>
          <w:sz w:val="28"/>
          <w:szCs w:val="28"/>
          <w:lang w:val="ru-RU"/>
        </w:rPr>
        <w:br/>
      </w:r>
      <w:hyperlink r:id="rId119"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adilet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w:t>
        </w:r>
        <w:r w:rsidRPr="000D4FA1">
          <w:rPr>
            <w:rStyle w:val="af7"/>
            <w:rFonts w:ascii="Times New Roman" w:hAnsi="Times New Roman" w:cs="Times New Roman"/>
            <w:sz w:val="28"/>
            <w:szCs w:val="28"/>
            <w:lang w:val="ru-RU"/>
          </w:rPr>
          <w:t>070000319</w:t>
        </w:r>
      </w:hyperlink>
      <w:r w:rsidR="000913DE" w:rsidRPr="000D4FA1">
        <w:rPr>
          <w:rStyle w:val="af7"/>
          <w:rFonts w:ascii="Times New Roman" w:hAnsi="Times New Roman" w:cs="Times New Roman"/>
          <w:sz w:val="28"/>
          <w:szCs w:val="28"/>
          <w:lang w:val="ru-RU"/>
        </w:rPr>
        <w:t xml:space="preserve"> </w:t>
      </w:r>
      <w:r w:rsidR="000913DE" w:rsidRPr="000D4FA1">
        <w:rPr>
          <w:rFonts w:ascii="Times New Roman" w:eastAsia="Times New Roman" w:hAnsi="Times New Roman" w:cs="Times New Roman"/>
          <w:sz w:val="28"/>
          <w:szCs w:val="28"/>
          <w:lang w:val="ru-RU" w:eastAsia="ru-RU"/>
        </w:rPr>
        <w:t>(дата обращения 17.</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w:t>
      </w:r>
      <w:r w:rsidR="00F46942" w:rsidRPr="000D4FA1">
        <w:rPr>
          <w:rFonts w:ascii="Times New Roman" w:eastAsia="Times New Roman" w:hAnsi="Times New Roman" w:cs="Times New Roman"/>
          <w:sz w:val="28"/>
          <w:szCs w:val="28"/>
          <w:lang w:val="ru-RU" w:eastAsia="ru-RU"/>
        </w:rPr>
        <w:t>4</w:t>
      </w:r>
      <w:r w:rsidR="000913DE"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Style w:val="a5"/>
          <w:rFonts w:ascii="Times New Roman" w:hAnsi="Times New Roman" w:cs="Times New Roman"/>
          <w:b w:val="0"/>
          <w:sz w:val="28"/>
          <w:szCs w:val="28"/>
          <w:lang w:val="ru-RU"/>
        </w:rPr>
        <w:t xml:space="preserve">Об утверждении типовых учебных программ, включая «Сестринское дело» </w:t>
      </w:r>
      <w:hyperlink r:id="rId120" w:tgtFrame="_new"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adilet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V</w:t>
        </w:r>
        <w:r w:rsidRPr="000D4FA1">
          <w:rPr>
            <w:rStyle w:val="af7"/>
            <w:rFonts w:ascii="Times New Roman" w:hAnsi="Times New Roman" w:cs="Times New Roman"/>
            <w:sz w:val="28"/>
            <w:szCs w:val="28"/>
            <w:lang w:val="ru-RU"/>
          </w:rPr>
          <w:t>2300031672</w:t>
        </w:r>
      </w:hyperlink>
      <w:r w:rsidR="00F46942" w:rsidRPr="000D4FA1">
        <w:rPr>
          <w:rStyle w:val="af7"/>
          <w:rFonts w:ascii="Times New Roman" w:hAnsi="Times New Roman" w:cs="Times New Roman"/>
          <w:sz w:val="28"/>
          <w:szCs w:val="28"/>
          <w:lang w:val="ru-RU"/>
        </w:rPr>
        <w:t xml:space="preserve"> </w:t>
      </w:r>
      <w:r w:rsidR="00F46942" w:rsidRPr="000D4FA1">
        <w:rPr>
          <w:rFonts w:ascii="Times New Roman" w:eastAsia="Times New Roman" w:hAnsi="Times New Roman" w:cs="Times New Roman"/>
          <w:sz w:val="28"/>
          <w:szCs w:val="28"/>
          <w:lang w:val="ru-RU" w:eastAsia="ru-RU"/>
        </w:rPr>
        <w:t>(дата обращения 17.12.2024).</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Style w:val="a5"/>
          <w:rFonts w:ascii="Times New Roman" w:hAnsi="Times New Roman" w:cs="Times New Roman"/>
          <w:b w:val="0"/>
          <w:sz w:val="28"/>
          <w:szCs w:val="28"/>
          <w:lang w:val="ru-RU"/>
        </w:rPr>
        <w:t>Национальная система квалификаций (НСК) – правовые регуляторы и стандарты квалификаций</w:t>
      </w:r>
      <w:r w:rsidR="000913DE" w:rsidRPr="000D4FA1">
        <w:rPr>
          <w:rFonts w:ascii="Times New Roman" w:hAnsi="Times New Roman" w:cs="Times New Roman"/>
          <w:b/>
          <w:sz w:val="28"/>
          <w:szCs w:val="28"/>
          <w:lang w:val="ru-RU"/>
        </w:rPr>
        <w:t xml:space="preserve"> </w:t>
      </w:r>
      <w:hyperlink r:id="rId121" w:history="1">
        <w:r w:rsidR="000913DE" w:rsidRPr="000D4FA1">
          <w:rPr>
            <w:rStyle w:val="af7"/>
            <w:rFonts w:ascii="Times New Roman" w:hAnsi="Times New Roman" w:cs="Times New Roman"/>
            <w:sz w:val="28"/>
            <w:szCs w:val="28"/>
          </w:rPr>
          <w:t>https</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atameken</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kz</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ru</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services</w:t>
        </w:r>
        <w:r w:rsidR="000913DE" w:rsidRPr="000D4FA1">
          <w:rPr>
            <w:rStyle w:val="af7"/>
            <w:rFonts w:ascii="Times New Roman" w:hAnsi="Times New Roman" w:cs="Times New Roman"/>
            <w:sz w:val="28"/>
            <w:szCs w:val="28"/>
            <w:lang w:val="ru-RU"/>
          </w:rPr>
          <w:t>/16–</w:t>
        </w:r>
        <w:r w:rsidR="000913DE" w:rsidRPr="000D4FA1">
          <w:rPr>
            <w:rStyle w:val="af7"/>
            <w:rFonts w:ascii="Times New Roman" w:hAnsi="Times New Roman" w:cs="Times New Roman"/>
            <w:sz w:val="28"/>
            <w:szCs w:val="28"/>
          </w:rPr>
          <w:t>professionalnyye</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standarty</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i</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tsentry</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sertifikatsii</w:t>
        </w:r>
        <w:r w:rsidR="000913DE" w:rsidRPr="000D4FA1">
          <w:rPr>
            <w:rStyle w:val="af7"/>
            <w:rFonts w:ascii="Times New Roman" w:hAnsi="Times New Roman" w:cs="Times New Roman"/>
            <w:sz w:val="28"/>
            <w:szCs w:val="28"/>
            <w:lang w:val="ru-RU"/>
          </w:rPr>
          <w:t>–</w:t>
        </w:r>
        <w:r w:rsidR="000913DE" w:rsidRPr="000D4FA1">
          <w:rPr>
            <w:rStyle w:val="af7"/>
            <w:rFonts w:ascii="Times New Roman" w:hAnsi="Times New Roman" w:cs="Times New Roman"/>
            <w:sz w:val="28"/>
            <w:szCs w:val="28"/>
          </w:rPr>
          <w:t>nsk</w:t>
        </w:r>
      </w:hyperlink>
      <w:r w:rsidR="000913DE" w:rsidRPr="000D4FA1">
        <w:rPr>
          <w:rFonts w:ascii="Times New Roman" w:hAnsi="Times New Roman" w:cs="Times New Roman"/>
          <w:sz w:val="28"/>
          <w:szCs w:val="28"/>
          <w:lang w:val="ru-RU"/>
        </w:rPr>
        <w:t xml:space="preserve"> </w:t>
      </w:r>
      <w:r w:rsidR="000913DE" w:rsidRPr="000D4FA1">
        <w:rPr>
          <w:rFonts w:ascii="Times New Roman" w:eastAsia="Times New Roman" w:hAnsi="Times New Roman" w:cs="Times New Roman"/>
          <w:sz w:val="28"/>
          <w:szCs w:val="28"/>
          <w:lang w:val="ru-RU" w:eastAsia="ru-RU"/>
        </w:rPr>
        <w:t>(дата обращения 17.</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w:t>
      </w:r>
      <w:r w:rsidR="00F46942" w:rsidRPr="000D4FA1">
        <w:rPr>
          <w:rFonts w:ascii="Times New Roman" w:eastAsia="Times New Roman" w:hAnsi="Times New Roman" w:cs="Times New Roman"/>
          <w:sz w:val="28"/>
          <w:szCs w:val="28"/>
          <w:lang w:val="ru-RU" w:eastAsia="ru-RU"/>
        </w:rPr>
        <w:t>4</w:t>
      </w:r>
      <w:r w:rsidR="000913DE"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w:t>
      </w:r>
      <w:hyperlink r:id="rId122" w:history="1">
        <w:r w:rsidRPr="000D4FA1">
          <w:rPr>
            <w:rStyle w:val="af7"/>
            <w:rFonts w:ascii="Times New Roman" w:eastAsia="Times New Roman" w:hAnsi="Times New Roman" w:cs="Times New Roman"/>
            <w:sz w:val="28"/>
            <w:szCs w:val="28"/>
            <w:lang w:val="ru-RU" w:eastAsia="ru-RU"/>
          </w:rPr>
          <w:t>https://adilet.zan.kz/rus/docs/V2200029031</w:t>
        </w:r>
      </w:hyperlink>
      <w:r w:rsidR="000913DE" w:rsidRPr="000D4FA1">
        <w:rPr>
          <w:rStyle w:val="af7"/>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(дата обращения 1</w:t>
      </w:r>
      <w:r w:rsidR="00F46942" w:rsidRPr="000D4FA1">
        <w:rPr>
          <w:rFonts w:ascii="Times New Roman" w:eastAsia="Times New Roman" w:hAnsi="Times New Roman" w:cs="Times New Roman"/>
          <w:sz w:val="28"/>
          <w:szCs w:val="28"/>
          <w:lang w:val="ru-RU" w:eastAsia="ru-RU"/>
        </w:rPr>
        <w:t>9</w:t>
      </w:r>
      <w:r w:rsidR="000913DE" w:rsidRPr="000D4FA1">
        <w:rPr>
          <w:rFonts w:ascii="Times New Roman" w:eastAsia="Times New Roman" w:hAnsi="Times New Roman" w:cs="Times New Roman"/>
          <w:sz w:val="28"/>
          <w:szCs w:val="28"/>
          <w:lang w:val="ru-RU" w:eastAsia="ru-RU"/>
        </w:rPr>
        <w:t>.</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2.2025).</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eastAsia="Times New Roman" w:hAnsi="Times New Roman" w:cs="Times New Roman"/>
          <w:bCs/>
          <w:sz w:val="28"/>
          <w:szCs w:val="28"/>
          <w:lang w:val="ru-RU" w:eastAsia="ru-RU"/>
        </w:rPr>
        <w:lastRenderedPageBreak/>
        <w:t>Типовые правила деятельности организаций образования</w:t>
      </w:r>
      <w:r w:rsidRPr="000D4FA1">
        <w:rPr>
          <w:rFonts w:ascii="Times New Roman" w:eastAsia="Times New Roman" w:hAnsi="Times New Roman" w:cs="Times New Roman"/>
          <w:sz w:val="28"/>
          <w:szCs w:val="28"/>
          <w:lang w:val="ru-RU" w:eastAsia="ru-RU"/>
        </w:rPr>
        <w:br/>
      </w:r>
      <w:hyperlink r:id="rId123" w:tgtFrame="_new" w:history="1">
        <w:r w:rsidRPr="000D4FA1">
          <w:rPr>
            <w:rStyle w:val="af7"/>
            <w:rFonts w:ascii="Times New Roman" w:hAnsi="Times New Roman" w:cs="Times New Roman"/>
            <w:sz w:val="28"/>
            <w:szCs w:val="28"/>
          </w:rPr>
          <w:t>https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adilet</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zan</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kz</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rus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docs</w:t>
        </w:r>
        <w:r w:rsidRPr="000D4FA1">
          <w:rPr>
            <w:rStyle w:val="af7"/>
            <w:rFonts w:ascii="Times New Roman" w:hAnsi="Times New Roman" w:cs="Times New Roman"/>
            <w:sz w:val="28"/>
            <w:szCs w:val="28"/>
            <w:lang w:val="ru-RU"/>
          </w:rPr>
          <w:t>/</w:t>
        </w:r>
        <w:r w:rsidRPr="000D4FA1">
          <w:rPr>
            <w:rStyle w:val="af7"/>
            <w:rFonts w:ascii="Times New Roman" w:hAnsi="Times New Roman" w:cs="Times New Roman"/>
            <w:sz w:val="28"/>
            <w:szCs w:val="28"/>
          </w:rPr>
          <w:t>V</w:t>
        </w:r>
        <w:r w:rsidRPr="000D4FA1">
          <w:rPr>
            <w:rStyle w:val="af7"/>
            <w:rFonts w:ascii="Times New Roman" w:hAnsi="Times New Roman" w:cs="Times New Roman"/>
            <w:sz w:val="28"/>
            <w:szCs w:val="28"/>
            <w:lang w:val="ru-RU"/>
          </w:rPr>
          <w:t>2200029329</w:t>
        </w:r>
      </w:hyperlink>
      <w:r w:rsidR="00F46942" w:rsidRPr="000D4FA1">
        <w:rPr>
          <w:rStyle w:val="af7"/>
          <w:rFonts w:ascii="Times New Roman" w:hAnsi="Times New Roman" w:cs="Times New Roman"/>
          <w:sz w:val="28"/>
          <w:szCs w:val="28"/>
          <w:lang w:val="ru-RU"/>
        </w:rPr>
        <w:t xml:space="preserve"> </w:t>
      </w:r>
      <w:r w:rsidR="00F46942" w:rsidRPr="000D4FA1">
        <w:rPr>
          <w:rFonts w:ascii="Times New Roman" w:eastAsia="Times New Roman" w:hAnsi="Times New Roman" w:cs="Times New Roman"/>
          <w:sz w:val="28"/>
          <w:szCs w:val="28"/>
          <w:lang w:val="ru-RU" w:eastAsia="ru-RU"/>
        </w:rPr>
        <w:t>(дата обращения 18.12.2024).</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eastAsia="Times New Roman" w:hAnsi="Times New Roman" w:cs="Times New Roman"/>
          <w:bCs/>
          <w:sz w:val="28"/>
          <w:szCs w:val="28"/>
          <w:lang w:val="ru-RU" w:eastAsia="ru-RU"/>
        </w:rPr>
        <w:t>Стратегический план развития системы образования РК</w:t>
      </w:r>
      <w:r w:rsidRPr="000D4FA1">
        <w:rPr>
          <w:rFonts w:ascii="Times New Roman" w:eastAsia="Times New Roman" w:hAnsi="Times New Roman" w:cs="Times New Roman"/>
          <w:sz w:val="28"/>
          <w:szCs w:val="28"/>
          <w:lang w:val="ru-RU" w:eastAsia="ru-RU"/>
        </w:rPr>
        <w:br/>
      </w:r>
      <w:hyperlink r:id="rId124" w:history="1">
        <w:r w:rsidRPr="000D4FA1">
          <w:rPr>
            <w:rStyle w:val="af7"/>
            <w:rFonts w:ascii="Times New Roman" w:eastAsia="Times New Roman" w:hAnsi="Times New Roman" w:cs="Times New Roman"/>
            <w:sz w:val="28"/>
            <w:szCs w:val="28"/>
            <w:lang w:val="ru-RU" w:eastAsia="ru-RU"/>
          </w:rPr>
          <w:t>https://www.gov.kz/memleket/entities/edu/documents/details/120909?lang=ru</w:t>
        </w:r>
      </w:hyperlink>
      <w:r w:rsidR="00F46942" w:rsidRPr="000D4FA1">
        <w:rPr>
          <w:rStyle w:val="af7"/>
          <w:rFonts w:ascii="Times New Roman" w:eastAsia="Times New Roman" w:hAnsi="Times New Roman" w:cs="Times New Roman"/>
          <w:sz w:val="28"/>
          <w:szCs w:val="28"/>
          <w:lang w:val="ru-RU" w:eastAsia="ru-RU"/>
        </w:rPr>
        <w:t xml:space="preserve"> </w:t>
      </w:r>
      <w:r w:rsidR="00F46942" w:rsidRPr="000D4FA1">
        <w:rPr>
          <w:rFonts w:ascii="Times New Roman" w:eastAsia="Times New Roman" w:hAnsi="Times New Roman" w:cs="Times New Roman"/>
          <w:sz w:val="28"/>
          <w:szCs w:val="28"/>
          <w:lang w:val="ru-RU" w:eastAsia="ru-RU"/>
        </w:rPr>
        <w:t>(дата обращения 22.12.2024).</w:t>
      </w:r>
    </w:p>
    <w:p w:rsidR="000913DE" w:rsidRPr="000D4FA1" w:rsidRDefault="00653F3E" w:rsidP="006C0BBD">
      <w:pPr>
        <w:pStyle w:val="a6"/>
        <w:numPr>
          <w:ilvl w:val="0"/>
          <w:numId w:val="12"/>
        </w:numPr>
        <w:spacing w:after="0" w:line="240" w:lineRule="auto"/>
        <w:ind w:left="0" w:firstLine="360"/>
        <w:jc w:val="both"/>
        <w:rPr>
          <w:rStyle w:val="af7"/>
          <w:rFonts w:ascii="Times New Roman" w:hAnsi="Times New Roman" w:cs="Times New Roman"/>
          <w:bCs/>
          <w:color w:val="auto"/>
          <w:sz w:val="28"/>
          <w:szCs w:val="28"/>
          <w:u w:val="none"/>
          <w:lang w:val="ru-RU"/>
        </w:rPr>
      </w:pPr>
      <w:r w:rsidRPr="000D4FA1">
        <w:rPr>
          <w:rFonts w:ascii="Times New Roman" w:eastAsia="Times New Roman" w:hAnsi="Times New Roman" w:cs="Times New Roman"/>
          <w:sz w:val="28"/>
          <w:szCs w:val="28"/>
          <w:lang w:val="ru-RU" w:eastAsia="ru-RU"/>
        </w:rPr>
        <w:t xml:space="preserve">Стратегический план Министерства здравоохранения Республики Казахстан </w:t>
      </w:r>
      <w:hyperlink r:id="rId125" w:history="1">
        <w:r w:rsidRPr="000D4FA1">
          <w:rPr>
            <w:rStyle w:val="af7"/>
            <w:rFonts w:ascii="Times New Roman" w:eastAsia="Times New Roman" w:hAnsi="Times New Roman" w:cs="Times New Roman"/>
            <w:sz w:val="28"/>
            <w:szCs w:val="28"/>
            <w:lang w:eastAsia="ru-RU"/>
          </w:rPr>
          <w:t>https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www</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gov</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kz</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memleket</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entities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dsm</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documents</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details</w:t>
        </w:r>
        <w:r w:rsidRPr="000D4FA1">
          <w:rPr>
            <w:rStyle w:val="af7"/>
            <w:rFonts w:ascii="Times New Roman" w:eastAsia="Times New Roman" w:hAnsi="Times New Roman" w:cs="Times New Roman"/>
            <w:sz w:val="28"/>
            <w:szCs w:val="28"/>
            <w:lang w:val="ru-RU" w:eastAsia="ru-RU"/>
          </w:rPr>
          <w:t>/16750?</w:t>
        </w:r>
        <w:r w:rsidRPr="000D4FA1">
          <w:rPr>
            <w:rStyle w:val="af7"/>
            <w:rFonts w:ascii="Times New Roman" w:eastAsia="Times New Roman" w:hAnsi="Times New Roman" w:cs="Times New Roman"/>
            <w:sz w:val="28"/>
            <w:szCs w:val="28"/>
            <w:lang w:eastAsia="ru-RU"/>
          </w:rPr>
          <w:t>lang</w:t>
        </w:r>
        <w:r w:rsidRPr="000D4FA1">
          <w:rPr>
            <w:rStyle w:val="af7"/>
            <w:rFonts w:ascii="Times New Roman" w:eastAsia="Times New Roman" w:hAnsi="Times New Roman" w:cs="Times New Roman"/>
            <w:sz w:val="28"/>
            <w:szCs w:val="28"/>
            <w:lang w:val="ru-RU" w:eastAsia="ru-RU"/>
          </w:rPr>
          <w:t>=</w:t>
        </w:r>
        <w:r w:rsidRPr="000D4FA1">
          <w:rPr>
            <w:rStyle w:val="af7"/>
            <w:rFonts w:ascii="Times New Roman" w:eastAsia="Times New Roman" w:hAnsi="Times New Roman" w:cs="Times New Roman"/>
            <w:sz w:val="28"/>
            <w:szCs w:val="28"/>
            <w:lang w:eastAsia="ru-RU"/>
          </w:rPr>
          <w:t>ru</w:t>
        </w:r>
      </w:hyperlink>
      <w:r w:rsidR="000913DE" w:rsidRPr="000D4FA1">
        <w:rPr>
          <w:rStyle w:val="af7"/>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 xml:space="preserve">(дата обращения </w:t>
      </w:r>
      <w:r w:rsidR="00F46942" w:rsidRPr="000D4FA1">
        <w:rPr>
          <w:rFonts w:ascii="Times New Roman" w:eastAsia="Times New Roman" w:hAnsi="Times New Roman" w:cs="Times New Roman"/>
          <w:sz w:val="28"/>
          <w:szCs w:val="28"/>
          <w:lang w:val="ru-RU" w:eastAsia="ru-RU"/>
        </w:rPr>
        <w:t>2</w:t>
      </w:r>
      <w:r w:rsidR="000913DE" w:rsidRPr="000D4FA1">
        <w:rPr>
          <w:rFonts w:ascii="Times New Roman" w:eastAsia="Times New Roman" w:hAnsi="Times New Roman" w:cs="Times New Roman"/>
          <w:sz w:val="28"/>
          <w:szCs w:val="28"/>
          <w:lang w:val="ru-RU" w:eastAsia="ru-RU"/>
        </w:rPr>
        <w:t>7.</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2.202</w:t>
      </w:r>
      <w:r w:rsidR="00F46942" w:rsidRPr="000D4FA1">
        <w:rPr>
          <w:rFonts w:ascii="Times New Roman" w:eastAsia="Times New Roman" w:hAnsi="Times New Roman" w:cs="Times New Roman"/>
          <w:sz w:val="28"/>
          <w:szCs w:val="28"/>
          <w:lang w:val="ru-RU" w:eastAsia="ru-RU"/>
        </w:rPr>
        <w:t>4</w:t>
      </w:r>
      <w:r w:rsidR="000913DE"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Об утверждении государственных общеобязательных стандартов по уровням образования в области здравоохранения. Приказ Министра здравоохранения Республики Казахстан от 4 июля 2022 года № ҚР ДСМ</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63. Зарегистрирован в Министерстве юстиции Республики Казахстан 5 июля 2022 года № 28716. </w:t>
      </w:r>
      <w:hyperlink r:id="rId126" w:history="1">
        <w:r w:rsidRPr="000D4FA1">
          <w:rPr>
            <w:rStyle w:val="af7"/>
            <w:rFonts w:ascii="Times New Roman" w:eastAsia="Times New Roman" w:hAnsi="Times New Roman" w:cs="Times New Roman"/>
            <w:sz w:val="28"/>
            <w:szCs w:val="28"/>
            <w:lang w:val="ru-RU" w:eastAsia="ru-RU"/>
          </w:rPr>
          <w:t>https://adilet.zan.kz/rus/docs/V2200028716</w:t>
        </w:r>
      </w:hyperlink>
      <w:r w:rsidR="000913DE" w:rsidRPr="000D4FA1">
        <w:rPr>
          <w:rStyle w:val="af7"/>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(дата обращения 1</w:t>
      </w:r>
      <w:r w:rsidR="00F46942" w:rsidRPr="000D4FA1">
        <w:rPr>
          <w:rFonts w:ascii="Times New Roman" w:eastAsia="Times New Roman" w:hAnsi="Times New Roman" w:cs="Times New Roman"/>
          <w:sz w:val="28"/>
          <w:szCs w:val="28"/>
          <w:lang w:val="ru-RU" w:eastAsia="ru-RU"/>
        </w:rPr>
        <w:t>1</w:t>
      </w:r>
      <w:r w:rsidR="000913DE" w:rsidRPr="000D4FA1">
        <w:rPr>
          <w:rFonts w:ascii="Times New Roman" w:eastAsia="Times New Roman" w:hAnsi="Times New Roman" w:cs="Times New Roman"/>
          <w:sz w:val="28"/>
          <w:szCs w:val="28"/>
          <w:lang w:val="ru-RU" w:eastAsia="ru-RU"/>
        </w:rPr>
        <w:t>.02.2025).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Об утверждении государственных общеобязательных стандартов по уровням образования в области здравоохранения. Приказ Министра здравоохранения Республики Казахстан от 4 июля 2022 года № ҚР ДСМ</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63. Зарегистрирован в Министерстве юстиции Республики Казахстан 5 июля 2022 года № 28716. </w:t>
      </w:r>
      <w:hyperlink r:id="rId127" w:history="1">
        <w:r w:rsidRPr="000D4FA1">
          <w:rPr>
            <w:rStyle w:val="af7"/>
            <w:rFonts w:ascii="Times New Roman" w:eastAsia="Times New Roman" w:hAnsi="Times New Roman" w:cs="Times New Roman"/>
            <w:sz w:val="28"/>
            <w:szCs w:val="28"/>
            <w:lang w:val="ru-RU" w:eastAsia="ru-RU"/>
          </w:rPr>
          <w:t>https://adilet.zan.kz/rus/docs/V2200028716</w:t>
        </w:r>
      </w:hyperlink>
      <w:r w:rsidR="000913DE" w:rsidRPr="000D4FA1">
        <w:rPr>
          <w:rStyle w:val="af7"/>
          <w:rFonts w:ascii="Times New Roman" w:eastAsia="Times New Roman" w:hAnsi="Times New Roman" w:cs="Times New Roman"/>
          <w:sz w:val="28"/>
          <w:szCs w:val="28"/>
          <w:lang w:val="ru-RU" w:eastAsia="ru-RU"/>
        </w:rPr>
        <w:t xml:space="preserve"> </w:t>
      </w:r>
      <w:r w:rsidR="000913DE" w:rsidRPr="000D4FA1">
        <w:rPr>
          <w:rFonts w:ascii="Times New Roman" w:eastAsia="Times New Roman" w:hAnsi="Times New Roman" w:cs="Times New Roman"/>
          <w:sz w:val="28"/>
          <w:szCs w:val="28"/>
          <w:lang w:val="ru-RU" w:eastAsia="ru-RU"/>
        </w:rPr>
        <w:t>(дата обращения 1</w:t>
      </w:r>
      <w:r w:rsidR="00F46942" w:rsidRPr="000D4FA1">
        <w:rPr>
          <w:rFonts w:ascii="Times New Roman" w:eastAsia="Times New Roman" w:hAnsi="Times New Roman" w:cs="Times New Roman"/>
          <w:sz w:val="28"/>
          <w:szCs w:val="28"/>
          <w:lang w:val="ru-RU" w:eastAsia="ru-RU"/>
        </w:rPr>
        <w:t>2</w:t>
      </w:r>
      <w:r w:rsidR="000913DE" w:rsidRPr="000D4FA1">
        <w:rPr>
          <w:rFonts w:ascii="Times New Roman" w:eastAsia="Times New Roman" w:hAnsi="Times New Roman" w:cs="Times New Roman"/>
          <w:sz w:val="28"/>
          <w:szCs w:val="28"/>
          <w:lang w:val="ru-RU" w:eastAsia="ru-RU"/>
        </w:rPr>
        <w:t>.02.2025).</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Семенова Н.В., Вяльцин А.С., Авдеев Д.Б., Кузюкова А.В., Мартынова Т.С. Эмоциональное выгорание у медицинских работников. Сетевое научное издание «Современные проблемы науки и образования». 2017. № 2.</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Уэйн Винстон Microsoft Excel. Анализ данных и построение бизнес моделей М.: Издательство: </w:t>
      </w:r>
      <w:hyperlink r:id="rId128" w:history="1">
        <w:r w:rsidRPr="000D4FA1">
          <w:rPr>
            <w:rFonts w:ascii="Times New Roman" w:eastAsia="Times New Roman" w:hAnsi="Times New Roman" w:cs="Times New Roman"/>
            <w:sz w:val="28"/>
            <w:szCs w:val="28"/>
            <w:lang w:val="ru-RU" w:eastAsia="ru-RU"/>
          </w:rPr>
          <w:t>Русская редакция</w:t>
        </w:r>
      </w:hyperlink>
      <w:r w:rsidRPr="000D4FA1">
        <w:rPr>
          <w:rFonts w:ascii="Times New Roman" w:eastAsia="Times New Roman" w:hAnsi="Times New Roman" w:cs="Times New Roman"/>
          <w:sz w:val="28"/>
          <w:szCs w:val="28"/>
          <w:lang w:val="ru-RU" w:eastAsia="ru-RU"/>
        </w:rPr>
        <w:t>, –</w:t>
      </w:r>
      <w:r w:rsidR="00F46942"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 xml:space="preserve">2013. 576 </w:t>
      </w:r>
      <w:proofErr w:type="gramStart"/>
      <w:r w:rsidRPr="000D4FA1">
        <w:rPr>
          <w:rFonts w:ascii="Times New Roman" w:eastAsia="Times New Roman" w:hAnsi="Times New Roman" w:cs="Times New Roman"/>
          <w:sz w:val="28"/>
          <w:szCs w:val="28"/>
          <w:lang w:val="ru-RU" w:eastAsia="ru-RU"/>
        </w:rPr>
        <w:t>с</w:t>
      </w:r>
      <w:proofErr w:type="gramEnd"/>
      <w:r w:rsidRPr="000D4FA1">
        <w:rPr>
          <w:rFonts w:ascii="Times New Roman" w:eastAsia="Times New Roman" w:hAnsi="Times New Roman" w:cs="Times New Roman"/>
          <w:sz w:val="28"/>
          <w:szCs w:val="28"/>
          <w:lang w:val="ru-RU" w:eastAsia="ru-RU"/>
        </w:rPr>
        <w:t>.</w:t>
      </w:r>
    </w:p>
    <w:p w:rsidR="000913D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rPr>
      </w:pPr>
      <w:r w:rsidRPr="000D4FA1">
        <w:rPr>
          <w:rFonts w:ascii="Times New Roman" w:eastAsia="Times New Roman" w:hAnsi="Times New Roman" w:cs="Times New Roman"/>
          <w:sz w:val="28"/>
          <w:szCs w:val="28"/>
          <w:lang w:eastAsia="ru-RU"/>
        </w:rPr>
        <w:t>Montgomery, D.C., Peck, E.A. and Vining, G.G. Introduction to Linear Regression Analysis. 5th Edition, Wiley, Hoboken, New Jersey.</w:t>
      </w:r>
      <w:r w:rsidR="00F46942" w:rsidRPr="000D4FA1">
        <w:rPr>
          <w:rFonts w:ascii="Times New Roman" w:eastAsia="Times New Roman" w:hAnsi="Times New Roman" w:cs="Times New Roman"/>
          <w:sz w:val="28"/>
          <w:szCs w:val="28"/>
          <w:lang w:eastAsia="ru-RU"/>
        </w:rPr>
        <w:t xml:space="preserve"> 2012</w:t>
      </w:r>
      <w:r w:rsidR="00F46942" w:rsidRPr="000D4FA1">
        <w:rPr>
          <w:rFonts w:ascii="Times New Roman" w:eastAsia="Times New Roman" w:hAnsi="Times New Roman" w:cs="Times New Roman"/>
          <w:sz w:val="28"/>
          <w:szCs w:val="28"/>
          <w:lang w:val="ru-RU" w:eastAsia="ru-RU"/>
        </w:rPr>
        <w:t>.</w:t>
      </w:r>
    </w:p>
    <w:p w:rsidR="00653F3E" w:rsidRPr="000D4FA1" w:rsidRDefault="00653F3E" w:rsidP="006C0BBD">
      <w:pPr>
        <w:pStyle w:val="a6"/>
        <w:numPr>
          <w:ilvl w:val="0"/>
          <w:numId w:val="12"/>
        </w:numPr>
        <w:spacing w:after="0" w:line="240" w:lineRule="auto"/>
        <w:ind w:left="0" w:firstLine="360"/>
        <w:jc w:val="both"/>
        <w:rPr>
          <w:rFonts w:ascii="Times New Roman" w:hAnsi="Times New Roman" w:cs="Times New Roman"/>
          <w:bCs/>
          <w:sz w:val="28"/>
          <w:szCs w:val="28"/>
          <w:lang w:val="ru-RU"/>
        </w:rPr>
      </w:pPr>
      <w:r w:rsidRPr="000D4FA1">
        <w:rPr>
          <w:rFonts w:ascii="Times New Roman" w:eastAsia="Times New Roman" w:hAnsi="Times New Roman" w:cs="Times New Roman"/>
          <w:sz w:val="28"/>
          <w:szCs w:val="28"/>
          <w:lang w:val="ru-RU" w:eastAsia="ru-RU"/>
        </w:rPr>
        <w:t>Наследов А. IBM SPSS Statistics 20 и Amos: Профессиональный статистический анализ данных</w:t>
      </w:r>
      <w:r w:rsidR="000913DE"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 xml:space="preserve"> Практическое руководство.</w:t>
      </w:r>
      <w:r w:rsidRPr="000D4FA1">
        <w:rPr>
          <w:rFonts w:ascii="Times New Roman" w:eastAsia="Times New Roman" w:hAnsi="Times New Roman" w:cs="Times New Roman"/>
          <w:sz w:val="28"/>
          <w:szCs w:val="28"/>
          <w:lang w:val="ru-RU" w:eastAsia="ru-RU"/>
        </w:rPr>
        <w:br/>
        <w:t>С</w:t>
      </w:r>
      <w:r w:rsidR="007B767F" w:rsidRPr="000D4FA1">
        <w:rPr>
          <w:rFonts w:ascii="Times New Roman" w:eastAsia="Times New Roman" w:hAnsi="Times New Roman" w:cs="Times New Roman"/>
          <w:sz w:val="28"/>
          <w:szCs w:val="28"/>
          <w:lang w:val="ru-RU" w:eastAsia="ru-RU"/>
        </w:rPr>
        <w:t>–</w:t>
      </w:r>
      <w:r w:rsidRPr="000D4FA1">
        <w:rPr>
          <w:rFonts w:ascii="Times New Roman" w:eastAsia="Times New Roman" w:hAnsi="Times New Roman" w:cs="Times New Roman"/>
          <w:sz w:val="28"/>
          <w:szCs w:val="28"/>
          <w:lang w:val="ru-RU" w:eastAsia="ru-RU"/>
        </w:rPr>
        <w:t>Пб.: Питер, 2013, –</w:t>
      </w:r>
      <w:r w:rsidR="000913DE" w:rsidRPr="000D4FA1">
        <w:rPr>
          <w:rFonts w:ascii="Times New Roman" w:eastAsia="Times New Roman" w:hAnsi="Times New Roman" w:cs="Times New Roman"/>
          <w:sz w:val="28"/>
          <w:szCs w:val="28"/>
          <w:lang w:val="ru-RU" w:eastAsia="ru-RU"/>
        </w:rPr>
        <w:t xml:space="preserve"> </w:t>
      </w:r>
      <w:r w:rsidRPr="000D4FA1">
        <w:rPr>
          <w:rFonts w:ascii="Times New Roman" w:eastAsia="Times New Roman" w:hAnsi="Times New Roman" w:cs="Times New Roman"/>
          <w:sz w:val="28"/>
          <w:szCs w:val="28"/>
          <w:lang w:val="ru-RU" w:eastAsia="ru-RU"/>
        </w:rPr>
        <w:t>416 c.</w:t>
      </w:r>
    </w:p>
    <w:p w:rsidR="00653F3E" w:rsidRPr="005B54C2" w:rsidRDefault="00653F3E" w:rsidP="00653F3E">
      <w:pPr>
        <w:shd w:val="clear" w:color="auto" w:fill="FFFFFF"/>
        <w:spacing w:after="0" w:line="240" w:lineRule="auto"/>
        <w:ind w:left="710"/>
        <w:jc w:val="both"/>
        <w:rPr>
          <w:rFonts w:ascii="Times New Roman" w:eastAsia="Times New Roman" w:hAnsi="Times New Roman" w:cs="Times New Roman"/>
          <w:sz w:val="28"/>
          <w:szCs w:val="28"/>
          <w:lang w:val="ru-RU" w:eastAsia="ru-RU"/>
        </w:rPr>
      </w:pPr>
    </w:p>
    <w:p w:rsidR="00653F3E" w:rsidRPr="005B54C2" w:rsidRDefault="00653F3E" w:rsidP="00653F3E">
      <w:pPr>
        <w:rPr>
          <w:rFonts w:ascii="Times New Roman" w:hAnsi="Times New Roman" w:cs="Times New Roman"/>
          <w:lang w:val="ru-RU"/>
        </w:rPr>
      </w:pPr>
    </w:p>
    <w:p w:rsidR="00653F3E" w:rsidRPr="005B54C2" w:rsidRDefault="00653F3E" w:rsidP="00653F3E">
      <w:pPr>
        <w:spacing w:after="0" w:line="240" w:lineRule="auto"/>
        <w:jc w:val="both"/>
        <w:rPr>
          <w:rFonts w:ascii="Times New Roman" w:hAnsi="Times New Roman" w:cs="Times New Roman"/>
          <w:sz w:val="28"/>
          <w:szCs w:val="28"/>
          <w:lang w:val="ru-RU"/>
        </w:rPr>
      </w:pPr>
    </w:p>
    <w:p w:rsidR="00653F3E" w:rsidRPr="005B54C2" w:rsidRDefault="00653F3E" w:rsidP="00653F3E">
      <w:pPr>
        <w:spacing w:after="0" w:line="240" w:lineRule="auto"/>
        <w:jc w:val="both"/>
        <w:rPr>
          <w:rFonts w:ascii="Times New Roman" w:hAnsi="Times New Roman" w:cs="Times New Roman"/>
          <w:sz w:val="28"/>
          <w:szCs w:val="28"/>
          <w:lang w:val="ru-RU"/>
        </w:rPr>
      </w:pPr>
    </w:p>
    <w:p w:rsidR="00653F3E" w:rsidRPr="005B54C2" w:rsidRDefault="00653F3E" w:rsidP="00653F3E">
      <w:pPr>
        <w:rPr>
          <w:rFonts w:ascii="Times New Roman" w:hAnsi="Times New Roman" w:cs="Times New Roman"/>
          <w:lang w:val="ru-RU"/>
        </w:rPr>
      </w:pPr>
    </w:p>
    <w:p w:rsidR="00653F3E" w:rsidRPr="005B54C2" w:rsidRDefault="00653F3E" w:rsidP="006F1E42">
      <w:pPr>
        <w:spacing w:after="0" w:line="240" w:lineRule="auto"/>
        <w:jc w:val="both"/>
        <w:rPr>
          <w:rFonts w:ascii="Times New Roman" w:hAnsi="Times New Roman" w:cs="Times New Roman"/>
          <w:sz w:val="28"/>
          <w:szCs w:val="28"/>
          <w:lang w:val="ru-RU"/>
        </w:rPr>
      </w:pPr>
    </w:p>
    <w:bookmarkEnd w:id="0"/>
    <w:p w:rsidR="005E17ED" w:rsidRPr="005B54C2" w:rsidRDefault="005E17ED" w:rsidP="006F1E42">
      <w:pPr>
        <w:spacing w:after="0" w:line="240" w:lineRule="auto"/>
        <w:jc w:val="both"/>
        <w:rPr>
          <w:rFonts w:ascii="Times New Roman" w:hAnsi="Times New Roman" w:cs="Times New Roman"/>
          <w:sz w:val="28"/>
          <w:szCs w:val="28"/>
          <w:lang w:val="ru-RU"/>
        </w:rPr>
      </w:pPr>
    </w:p>
    <w:sectPr w:rsidR="005E17ED" w:rsidRPr="005B54C2" w:rsidSect="00BB5D4E">
      <w:footerReference w:type="even" r:id="rId129"/>
      <w:footerReference w:type="default" r:id="rId130"/>
      <w:footerReference w:type="first" r:id="rId13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4FE" w:rsidRDefault="001E74FE">
      <w:pPr>
        <w:spacing w:after="0" w:line="240" w:lineRule="auto"/>
      </w:pPr>
      <w:r>
        <w:separator/>
      </w:r>
    </w:p>
  </w:endnote>
  <w:endnote w:type="continuationSeparator" w:id="0">
    <w:p w:rsidR="001E74FE" w:rsidRDefault="001E7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400711"/>
      <w:docPartObj>
        <w:docPartGallery w:val="Page Numbers (Bottom of Page)"/>
        <w:docPartUnique/>
      </w:docPartObj>
    </w:sdtPr>
    <w:sdtContent>
      <w:p w:rsidR="001B4951" w:rsidRDefault="00432205">
        <w:pPr>
          <w:pStyle w:val="aa"/>
          <w:jc w:val="center"/>
        </w:pPr>
        <w:r>
          <w:fldChar w:fldCharType="begin"/>
        </w:r>
        <w:r w:rsidR="001B4951">
          <w:instrText>PAGE   \* MERGEFORMAT</w:instrText>
        </w:r>
        <w:r>
          <w:fldChar w:fldCharType="separate"/>
        </w:r>
        <w:r w:rsidR="001B4951">
          <w:t>2</w:t>
        </w:r>
        <w:r>
          <w:fldChar w:fldCharType="end"/>
        </w:r>
      </w:p>
    </w:sdtContent>
  </w:sdt>
  <w:p w:rsidR="001B4951" w:rsidRDefault="001B495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6432"/>
      <w:docPartObj>
        <w:docPartGallery w:val="Page Numbers (Bottom of Page)"/>
        <w:docPartUnique/>
      </w:docPartObj>
    </w:sdtPr>
    <w:sdtContent>
      <w:p w:rsidR="001B4951" w:rsidRDefault="00432205">
        <w:pPr>
          <w:pStyle w:val="aa"/>
          <w:jc w:val="center"/>
        </w:pPr>
        <w:r>
          <w:fldChar w:fldCharType="begin"/>
        </w:r>
        <w:r w:rsidR="001B4951">
          <w:instrText>PAGE   \* MERGEFORMAT</w:instrText>
        </w:r>
        <w:r>
          <w:fldChar w:fldCharType="separate"/>
        </w:r>
        <w:r w:rsidR="009668E0">
          <w:rPr>
            <w:noProof/>
          </w:rPr>
          <w:t>3</w:t>
        </w:r>
        <w:r>
          <w:rPr>
            <w:noProof/>
          </w:rPr>
          <w:fldChar w:fldCharType="end"/>
        </w:r>
      </w:p>
    </w:sdtContent>
  </w:sdt>
  <w:p w:rsidR="001B4951" w:rsidRDefault="001B495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951" w:rsidRDefault="001B4951">
    <w:pPr>
      <w:pStyle w:val="aa"/>
      <w:jc w:val="center"/>
    </w:pPr>
  </w:p>
  <w:p w:rsidR="001B4951" w:rsidRDefault="001B495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4FE" w:rsidRDefault="001E74FE">
      <w:pPr>
        <w:spacing w:after="0" w:line="240" w:lineRule="auto"/>
      </w:pPr>
      <w:r>
        <w:separator/>
      </w:r>
    </w:p>
  </w:footnote>
  <w:footnote w:type="continuationSeparator" w:id="0">
    <w:p w:rsidR="001E74FE" w:rsidRDefault="001E74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375"/>
    <w:multiLevelType w:val="hybridMultilevel"/>
    <w:tmpl w:val="683C4B7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nsid w:val="0AAC1A8B"/>
    <w:multiLevelType w:val="hybridMultilevel"/>
    <w:tmpl w:val="E878BF7A"/>
    <w:lvl w:ilvl="0" w:tplc="580A1242">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0DD55388"/>
    <w:multiLevelType w:val="hybridMultilevel"/>
    <w:tmpl w:val="9498F2A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nsid w:val="0F93271D"/>
    <w:multiLevelType w:val="hybridMultilevel"/>
    <w:tmpl w:val="6AA6C4EE"/>
    <w:lvl w:ilvl="0" w:tplc="658E7BC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847641"/>
    <w:multiLevelType w:val="multilevel"/>
    <w:tmpl w:val="F42602A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5923E41"/>
    <w:multiLevelType w:val="hybridMultilevel"/>
    <w:tmpl w:val="E474D83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nsid w:val="31BA7032"/>
    <w:multiLevelType w:val="multilevel"/>
    <w:tmpl w:val="0426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1F7720"/>
    <w:multiLevelType w:val="hybridMultilevel"/>
    <w:tmpl w:val="B87619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4BF66570"/>
    <w:multiLevelType w:val="multilevel"/>
    <w:tmpl w:val="A814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0B1E41"/>
    <w:multiLevelType w:val="hybridMultilevel"/>
    <w:tmpl w:val="94D05DB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nsid w:val="71A05653"/>
    <w:multiLevelType w:val="hybridMultilevel"/>
    <w:tmpl w:val="E2CA1D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nsid w:val="71A35D4A"/>
    <w:multiLevelType w:val="hybridMultilevel"/>
    <w:tmpl w:val="2DE862C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5"/>
  </w:num>
  <w:num w:numId="4">
    <w:abstractNumId w:val="11"/>
  </w:num>
  <w:num w:numId="5">
    <w:abstractNumId w:val="0"/>
  </w:num>
  <w:num w:numId="6">
    <w:abstractNumId w:val="10"/>
  </w:num>
  <w:num w:numId="7">
    <w:abstractNumId w:val="6"/>
  </w:num>
  <w:num w:numId="8">
    <w:abstractNumId w:val="8"/>
  </w:num>
  <w:num w:numId="9">
    <w:abstractNumId w:val="7"/>
  </w:num>
  <w:num w:numId="10">
    <w:abstractNumId w:val="3"/>
  </w:num>
  <w:num w:numId="11">
    <w:abstractNumId w:val="4"/>
  </w:num>
  <w:num w:numId="12">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hyphenationZone w:val="141"/>
  <w:characterSpacingControl w:val="doNotCompress"/>
  <w:footnotePr>
    <w:footnote w:id="-1"/>
    <w:footnote w:id="0"/>
  </w:footnotePr>
  <w:endnotePr>
    <w:endnote w:id="-1"/>
    <w:endnote w:id="0"/>
  </w:endnotePr>
  <w:compat/>
  <w:rsids>
    <w:rsidRoot w:val="007A2F5F"/>
    <w:rsid w:val="00000457"/>
    <w:rsid w:val="00002C88"/>
    <w:rsid w:val="00005E51"/>
    <w:rsid w:val="00006447"/>
    <w:rsid w:val="00006F16"/>
    <w:rsid w:val="000078F8"/>
    <w:rsid w:val="000136BA"/>
    <w:rsid w:val="00013C82"/>
    <w:rsid w:val="00020595"/>
    <w:rsid w:val="00025267"/>
    <w:rsid w:val="00025901"/>
    <w:rsid w:val="00034AF5"/>
    <w:rsid w:val="0004140E"/>
    <w:rsid w:val="00044A65"/>
    <w:rsid w:val="00046DBF"/>
    <w:rsid w:val="00052E2D"/>
    <w:rsid w:val="00061436"/>
    <w:rsid w:val="0006176B"/>
    <w:rsid w:val="00065CDB"/>
    <w:rsid w:val="0007417D"/>
    <w:rsid w:val="00074D63"/>
    <w:rsid w:val="00086998"/>
    <w:rsid w:val="0009067C"/>
    <w:rsid w:val="00090B62"/>
    <w:rsid w:val="000913DE"/>
    <w:rsid w:val="000B57CA"/>
    <w:rsid w:val="000B63C5"/>
    <w:rsid w:val="000C6667"/>
    <w:rsid w:val="000D02BC"/>
    <w:rsid w:val="000D07D5"/>
    <w:rsid w:val="000D12D4"/>
    <w:rsid w:val="000D2A7D"/>
    <w:rsid w:val="000D4884"/>
    <w:rsid w:val="000D4FA1"/>
    <w:rsid w:val="000D5158"/>
    <w:rsid w:val="000E0F23"/>
    <w:rsid w:val="000E1A07"/>
    <w:rsid w:val="000E2F77"/>
    <w:rsid w:val="000F005D"/>
    <w:rsid w:val="000F1B37"/>
    <w:rsid w:val="000F1B61"/>
    <w:rsid w:val="000F332D"/>
    <w:rsid w:val="000F715C"/>
    <w:rsid w:val="000F7209"/>
    <w:rsid w:val="000F7908"/>
    <w:rsid w:val="00100F49"/>
    <w:rsid w:val="00107B1B"/>
    <w:rsid w:val="00111384"/>
    <w:rsid w:val="001140E9"/>
    <w:rsid w:val="00122F7A"/>
    <w:rsid w:val="00125204"/>
    <w:rsid w:val="00143055"/>
    <w:rsid w:val="00150B88"/>
    <w:rsid w:val="00151FA0"/>
    <w:rsid w:val="00160C8A"/>
    <w:rsid w:val="00176735"/>
    <w:rsid w:val="00177575"/>
    <w:rsid w:val="0018017A"/>
    <w:rsid w:val="001808AE"/>
    <w:rsid w:val="00186469"/>
    <w:rsid w:val="001875B2"/>
    <w:rsid w:val="001933CB"/>
    <w:rsid w:val="00196CB4"/>
    <w:rsid w:val="001B2136"/>
    <w:rsid w:val="001B4951"/>
    <w:rsid w:val="001C1975"/>
    <w:rsid w:val="001C5355"/>
    <w:rsid w:val="001C53BB"/>
    <w:rsid w:val="001D6589"/>
    <w:rsid w:val="001E09AE"/>
    <w:rsid w:val="001E74FE"/>
    <w:rsid w:val="001F0F21"/>
    <w:rsid w:val="001F2B84"/>
    <w:rsid w:val="001F3260"/>
    <w:rsid w:val="001F360A"/>
    <w:rsid w:val="001F6AE0"/>
    <w:rsid w:val="0020050B"/>
    <w:rsid w:val="002047F3"/>
    <w:rsid w:val="00205CB4"/>
    <w:rsid w:val="00210715"/>
    <w:rsid w:val="00210E81"/>
    <w:rsid w:val="00217812"/>
    <w:rsid w:val="00226369"/>
    <w:rsid w:val="0022712A"/>
    <w:rsid w:val="00230ED7"/>
    <w:rsid w:val="00235B0C"/>
    <w:rsid w:val="00235CF6"/>
    <w:rsid w:val="00241D60"/>
    <w:rsid w:val="00246896"/>
    <w:rsid w:val="0025600B"/>
    <w:rsid w:val="00272456"/>
    <w:rsid w:val="002742C9"/>
    <w:rsid w:val="00275F21"/>
    <w:rsid w:val="00277297"/>
    <w:rsid w:val="0028258E"/>
    <w:rsid w:val="00286926"/>
    <w:rsid w:val="002902AA"/>
    <w:rsid w:val="002902D7"/>
    <w:rsid w:val="002A4E1B"/>
    <w:rsid w:val="002A55D4"/>
    <w:rsid w:val="002A647B"/>
    <w:rsid w:val="002A761D"/>
    <w:rsid w:val="002B2717"/>
    <w:rsid w:val="002B3956"/>
    <w:rsid w:val="002B48EF"/>
    <w:rsid w:val="002B4B1D"/>
    <w:rsid w:val="002B5225"/>
    <w:rsid w:val="002B7BF3"/>
    <w:rsid w:val="002C1B82"/>
    <w:rsid w:val="002C2BA0"/>
    <w:rsid w:val="002D45B4"/>
    <w:rsid w:val="002D56BA"/>
    <w:rsid w:val="002D694C"/>
    <w:rsid w:val="002F1BD7"/>
    <w:rsid w:val="002F244B"/>
    <w:rsid w:val="002F38E4"/>
    <w:rsid w:val="002F6D8E"/>
    <w:rsid w:val="0030289A"/>
    <w:rsid w:val="00306CE0"/>
    <w:rsid w:val="0031462A"/>
    <w:rsid w:val="003161A6"/>
    <w:rsid w:val="0032401F"/>
    <w:rsid w:val="00324129"/>
    <w:rsid w:val="003479AF"/>
    <w:rsid w:val="003533D2"/>
    <w:rsid w:val="0036377D"/>
    <w:rsid w:val="0036668B"/>
    <w:rsid w:val="003708F3"/>
    <w:rsid w:val="003725B3"/>
    <w:rsid w:val="00382DE9"/>
    <w:rsid w:val="003855B7"/>
    <w:rsid w:val="00387B30"/>
    <w:rsid w:val="003A20D1"/>
    <w:rsid w:val="003B467A"/>
    <w:rsid w:val="003C072C"/>
    <w:rsid w:val="003C096F"/>
    <w:rsid w:val="003C138F"/>
    <w:rsid w:val="003C1CE3"/>
    <w:rsid w:val="003C3179"/>
    <w:rsid w:val="003C613D"/>
    <w:rsid w:val="003D265D"/>
    <w:rsid w:val="003E0A53"/>
    <w:rsid w:val="003E1FF8"/>
    <w:rsid w:val="003E6F65"/>
    <w:rsid w:val="003F01F7"/>
    <w:rsid w:val="003F2611"/>
    <w:rsid w:val="003F2DA1"/>
    <w:rsid w:val="003F470A"/>
    <w:rsid w:val="004005EE"/>
    <w:rsid w:val="00406624"/>
    <w:rsid w:val="0041509B"/>
    <w:rsid w:val="0042536B"/>
    <w:rsid w:val="00432205"/>
    <w:rsid w:val="00432629"/>
    <w:rsid w:val="004344F5"/>
    <w:rsid w:val="004365F3"/>
    <w:rsid w:val="00437817"/>
    <w:rsid w:val="004555C4"/>
    <w:rsid w:val="0046312C"/>
    <w:rsid w:val="00464279"/>
    <w:rsid w:val="004645CF"/>
    <w:rsid w:val="00464AB2"/>
    <w:rsid w:val="00471A9E"/>
    <w:rsid w:val="00472493"/>
    <w:rsid w:val="004770BF"/>
    <w:rsid w:val="00481714"/>
    <w:rsid w:val="00485031"/>
    <w:rsid w:val="004874A5"/>
    <w:rsid w:val="00492236"/>
    <w:rsid w:val="004A1691"/>
    <w:rsid w:val="004B08EE"/>
    <w:rsid w:val="004B14F3"/>
    <w:rsid w:val="004B490F"/>
    <w:rsid w:val="004B73C2"/>
    <w:rsid w:val="004C039A"/>
    <w:rsid w:val="004C2B40"/>
    <w:rsid w:val="004C4231"/>
    <w:rsid w:val="004C45CC"/>
    <w:rsid w:val="004C497E"/>
    <w:rsid w:val="004E0031"/>
    <w:rsid w:val="004E5E46"/>
    <w:rsid w:val="004E6AD1"/>
    <w:rsid w:val="0050346E"/>
    <w:rsid w:val="00512B98"/>
    <w:rsid w:val="005201A8"/>
    <w:rsid w:val="00520B11"/>
    <w:rsid w:val="00522E98"/>
    <w:rsid w:val="005311B9"/>
    <w:rsid w:val="00543F54"/>
    <w:rsid w:val="00544CBC"/>
    <w:rsid w:val="00546069"/>
    <w:rsid w:val="00552E02"/>
    <w:rsid w:val="00567744"/>
    <w:rsid w:val="0057104C"/>
    <w:rsid w:val="00575EAA"/>
    <w:rsid w:val="00580B68"/>
    <w:rsid w:val="005853F0"/>
    <w:rsid w:val="00590D3F"/>
    <w:rsid w:val="00594A86"/>
    <w:rsid w:val="00594D3B"/>
    <w:rsid w:val="0059623B"/>
    <w:rsid w:val="005B54C2"/>
    <w:rsid w:val="005B6103"/>
    <w:rsid w:val="005C60A7"/>
    <w:rsid w:val="005C704A"/>
    <w:rsid w:val="005E0221"/>
    <w:rsid w:val="005E05EA"/>
    <w:rsid w:val="005E17ED"/>
    <w:rsid w:val="005E5A3A"/>
    <w:rsid w:val="005E72AF"/>
    <w:rsid w:val="005F07F2"/>
    <w:rsid w:val="005F1D3A"/>
    <w:rsid w:val="005F4039"/>
    <w:rsid w:val="005F6BF4"/>
    <w:rsid w:val="005F7ED7"/>
    <w:rsid w:val="00603EFB"/>
    <w:rsid w:val="0062664E"/>
    <w:rsid w:val="00630328"/>
    <w:rsid w:val="00632739"/>
    <w:rsid w:val="0063546C"/>
    <w:rsid w:val="006356BD"/>
    <w:rsid w:val="00644159"/>
    <w:rsid w:val="006444FC"/>
    <w:rsid w:val="00645364"/>
    <w:rsid w:val="00653F3E"/>
    <w:rsid w:val="00654996"/>
    <w:rsid w:val="00660FEC"/>
    <w:rsid w:val="0066446B"/>
    <w:rsid w:val="00664A03"/>
    <w:rsid w:val="00665413"/>
    <w:rsid w:val="0066569C"/>
    <w:rsid w:val="00666945"/>
    <w:rsid w:val="00671D1D"/>
    <w:rsid w:val="00672CF8"/>
    <w:rsid w:val="00673293"/>
    <w:rsid w:val="00673666"/>
    <w:rsid w:val="006740FC"/>
    <w:rsid w:val="00682C81"/>
    <w:rsid w:val="0068338D"/>
    <w:rsid w:val="00685383"/>
    <w:rsid w:val="00690968"/>
    <w:rsid w:val="00694FFF"/>
    <w:rsid w:val="00697D50"/>
    <w:rsid w:val="006A122F"/>
    <w:rsid w:val="006A16BF"/>
    <w:rsid w:val="006A20A1"/>
    <w:rsid w:val="006A2132"/>
    <w:rsid w:val="006B526A"/>
    <w:rsid w:val="006B6208"/>
    <w:rsid w:val="006B79A0"/>
    <w:rsid w:val="006C0BBD"/>
    <w:rsid w:val="006C64BA"/>
    <w:rsid w:val="006E2083"/>
    <w:rsid w:val="006E5ACB"/>
    <w:rsid w:val="006E660C"/>
    <w:rsid w:val="006F1E42"/>
    <w:rsid w:val="00707582"/>
    <w:rsid w:val="00710BAD"/>
    <w:rsid w:val="00714FEB"/>
    <w:rsid w:val="00722F21"/>
    <w:rsid w:val="00731195"/>
    <w:rsid w:val="007343CF"/>
    <w:rsid w:val="007433F3"/>
    <w:rsid w:val="00743D70"/>
    <w:rsid w:val="00746021"/>
    <w:rsid w:val="007464BE"/>
    <w:rsid w:val="00751417"/>
    <w:rsid w:val="007637EC"/>
    <w:rsid w:val="00764881"/>
    <w:rsid w:val="0076702E"/>
    <w:rsid w:val="00773427"/>
    <w:rsid w:val="007775F3"/>
    <w:rsid w:val="00786371"/>
    <w:rsid w:val="00787A43"/>
    <w:rsid w:val="00791B7E"/>
    <w:rsid w:val="00791BEE"/>
    <w:rsid w:val="00792223"/>
    <w:rsid w:val="007936F7"/>
    <w:rsid w:val="007A29DE"/>
    <w:rsid w:val="007A2F5F"/>
    <w:rsid w:val="007A4F6D"/>
    <w:rsid w:val="007A6624"/>
    <w:rsid w:val="007B09AC"/>
    <w:rsid w:val="007B767F"/>
    <w:rsid w:val="007B77F6"/>
    <w:rsid w:val="007C3AFE"/>
    <w:rsid w:val="007C5022"/>
    <w:rsid w:val="007D184E"/>
    <w:rsid w:val="007E2C9F"/>
    <w:rsid w:val="007F139C"/>
    <w:rsid w:val="007F2240"/>
    <w:rsid w:val="007F3605"/>
    <w:rsid w:val="007F50FD"/>
    <w:rsid w:val="00802450"/>
    <w:rsid w:val="00805F55"/>
    <w:rsid w:val="008105C4"/>
    <w:rsid w:val="00832ADA"/>
    <w:rsid w:val="0083648C"/>
    <w:rsid w:val="00837CF4"/>
    <w:rsid w:val="00837F1E"/>
    <w:rsid w:val="00845D6E"/>
    <w:rsid w:val="008506F2"/>
    <w:rsid w:val="00852533"/>
    <w:rsid w:val="00852D1D"/>
    <w:rsid w:val="0085322D"/>
    <w:rsid w:val="0087121B"/>
    <w:rsid w:val="00877F71"/>
    <w:rsid w:val="00885145"/>
    <w:rsid w:val="0089442C"/>
    <w:rsid w:val="008A0082"/>
    <w:rsid w:val="008A294D"/>
    <w:rsid w:val="008A2EB1"/>
    <w:rsid w:val="008A38ED"/>
    <w:rsid w:val="008B500E"/>
    <w:rsid w:val="008C3A95"/>
    <w:rsid w:val="008C5B90"/>
    <w:rsid w:val="008D1A3C"/>
    <w:rsid w:val="008F0025"/>
    <w:rsid w:val="008F09A5"/>
    <w:rsid w:val="008F36F8"/>
    <w:rsid w:val="008F43C6"/>
    <w:rsid w:val="008F79EE"/>
    <w:rsid w:val="00901638"/>
    <w:rsid w:val="00902016"/>
    <w:rsid w:val="00907A1C"/>
    <w:rsid w:val="009235CC"/>
    <w:rsid w:val="0092715E"/>
    <w:rsid w:val="00933F8B"/>
    <w:rsid w:val="00935C7D"/>
    <w:rsid w:val="009379EE"/>
    <w:rsid w:val="00942D9E"/>
    <w:rsid w:val="00955843"/>
    <w:rsid w:val="00961574"/>
    <w:rsid w:val="00963698"/>
    <w:rsid w:val="009668E0"/>
    <w:rsid w:val="00970AB1"/>
    <w:rsid w:val="009839CE"/>
    <w:rsid w:val="0098798D"/>
    <w:rsid w:val="009A5C4B"/>
    <w:rsid w:val="009A6F34"/>
    <w:rsid w:val="009B5406"/>
    <w:rsid w:val="009C3042"/>
    <w:rsid w:val="009C3821"/>
    <w:rsid w:val="009D1BBE"/>
    <w:rsid w:val="009D24CC"/>
    <w:rsid w:val="009D30F5"/>
    <w:rsid w:val="009E10BA"/>
    <w:rsid w:val="009E3592"/>
    <w:rsid w:val="009E77ED"/>
    <w:rsid w:val="009F3628"/>
    <w:rsid w:val="009F7164"/>
    <w:rsid w:val="00A00396"/>
    <w:rsid w:val="00A00AD5"/>
    <w:rsid w:val="00A00EB3"/>
    <w:rsid w:val="00A0266F"/>
    <w:rsid w:val="00A06362"/>
    <w:rsid w:val="00A101C8"/>
    <w:rsid w:val="00A136FC"/>
    <w:rsid w:val="00A1792C"/>
    <w:rsid w:val="00A1797F"/>
    <w:rsid w:val="00A237EF"/>
    <w:rsid w:val="00A36E67"/>
    <w:rsid w:val="00A4535F"/>
    <w:rsid w:val="00A60371"/>
    <w:rsid w:val="00A66A1C"/>
    <w:rsid w:val="00A75C60"/>
    <w:rsid w:val="00A858E5"/>
    <w:rsid w:val="00A85C0E"/>
    <w:rsid w:val="00A96844"/>
    <w:rsid w:val="00AA391A"/>
    <w:rsid w:val="00AA5DF0"/>
    <w:rsid w:val="00AB6B2C"/>
    <w:rsid w:val="00AD106C"/>
    <w:rsid w:val="00AD5F16"/>
    <w:rsid w:val="00AD74CA"/>
    <w:rsid w:val="00AD7F1B"/>
    <w:rsid w:val="00AE7025"/>
    <w:rsid w:val="00AF07C0"/>
    <w:rsid w:val="00AF3C89"/>
    <w:rsid w:val="00B1073F"/>
    <w:rsid w:val="00B10D9A"/>
    <w:rsid w:val="00B26151"/>
    <w:rsid w:val="00B26BDD"/>
    <w:rsid w:val="00B50253"/>
    <w:rsid w:val="00B50258"/>
    <w:rsid w:val="00B57636"/>
    <w:rsid w:val="00B665FC"/>
    <w:rsid w:val="00B72B9C"/>
    <w:rsid w:val="00B775CB"/>
    <w:rsid w:val="00B80F8B"/>
    <w:rsid w:val="00B81329"/>
    <w:rsid w:val="00B8787D"/>
    <w:rsid w:val="00B90860"/>
    <w:rsid w:val="00BA603A"/>
    <w:rsid w:val="00BB46B1"/>
    <w:rsid w:val="00BB5D4E"/>
    <w:rsid w:val="00BB684F"/>
    <w:rsid w:val="00BC2A43"/>
    <w:rsid w:val="00BC2EA1"/>
    <w:rsid w:val="00BD1569"/>
    <w:rsid w:val="00BD3CF4"/>
    <w:rsid w:val="00BD4611"/>
    <w:rsid w:val="00BD6448"/>
    <w:rsid w:val="00BD7556"/>
    <w:rsid w:val="00BF4979"/>
    <w:rsid w:val="00BF574E"/>
    <w:rsid w:val="00C246C2"/>
    <w:rsid w:val="00C266E7"/>
    <w:rsid w:val="00C317F6"/>
    <w:rsid w:val="00C32F9D"/>
    <w:rsid w:val="00C47686"/>
    <w:rsid w:val="00C56C03"/>
    <w:rsid w:val="00C6407E"/>
    <w:rsid w:val="00C76C5B"/>
    <w:rsid w:val="00C820F8"/>
    <w:rsid w:val="00C87FD5"/>
    <w:rsid w:val="00CB3244"/>
    <w:rsid w:val="00CB367A"/>
    <w:rsid w:val="00CC7F8C"/>
    <w:rsid w:val="00CD051E"/>
    <w:rsid w:val="00CF4ED3"/>
    <w:rsid w:val="00CF7476"/>
    <w:rsid w:val="00D01714"/>
    <w:rsid w:val="00D0346E"/>
    <w:rsid w:val="00D049AB"/>
    <w:rsid w:val="00D05F9E"/>
    <w:rsid w:val="00D108DF"/>
    <w:rsid w:val="00D10E85"/>
    <w:rsid w:val="00D11882"/>
    <w:rsid w:val="00D144D6"/>
    <w:rsid w:val="00D154A6"/>
    <w:rsid w:val="00D15A12"/>
    <w:rsid w:val="00D17049"/>
    <w:rsid w:val="00D17CE5"/>
    <w:rsid w:val="00D25A8F"/>
    <w:rsid w:val="00D3667F"/>
    <w:rsid w:val="00D36C45"/>
    <w:rsid w:val="00D409BB"/>
    <w:rsid w:val="00D41D32"/>
    <w:rsid w:val="00D52DF4"/>
    <w:rsid w:val="00D535D6"/>
    <w:rsid w:val="00D53C2A"/>
    <w:rsid w:val="00D56D5C"/>
    <w:rsid w:val="00D74D46"/>
    <w:rsid w:val="00D764F7"/>
    <w:rsid w:val="00D82E99"/>
    <w:rsid w:val="00D95D9B"/>
    <w:rsid w:val="00D96177"/>
    <w:rsid w:val="00D96C4B"/>
    <w:rsid w:val="00D97030"/>
    <w:rsid w:val="00D97FC7"/>
    <w:rsid w:val="00DA0D9E"/>
    <w:rsid w:val="00DA5A2B"/>
    <w:rsid w:val="00DB11E5"/>
    <w:rsid w:val="00DB1FF2"/>
    <w:rsid w:val="00DB3A41"/>
    <w:rsid w:val="00DB46DA"/>
    <w:rsid w:val="00DB4BCB"/>
    <w:rsid w:val="00DB61DD"/>
    <w:rsid w:val="00DB69BC"/>
    <w:rsid w:val="00DC0715"/>
    <w:rsid w:val="00DC09BC"/>
    <w:rsid w:val="00DD2145"/>
    <w:rsid w:val="00DD24CF"/>
    <w:rsid w:val="00DD256A"/>
    <w:rsid w:val="00DD37A7"/>
    <w:rsid w:val="00DD4662"/>
    <w:rsid w:val="00DE335F"/>
    <w:rsid w:val="00DE3728"/>
    <w:rsid w:val="00DE530C"/>
    <w:rsid w:val="00DE5F1A"/>
    <w:rsid w:val="00DE6FE3"/>
    <w:rsid w:val="00DE7AB2"/>
    <w:rsid w:val="00DF389E"/>
    <w:rsid w:val="00DF600D"/>
    <w:rsid w:val="00E004C5"/>
    <w:rsid w:val="00E05267"/>
    <w:rsid w:val="00E075F4"/>
    <w:rsid w:val="00E11ACA"/>
    <w:rsid w:val="00E12AE0"/>
    <w:rsid w:val="00E14086"/>
    <w:rsid w:val="00E16CD8"/>
    <w:rsid w:val="00E20261"/>
    <w:rsid w:val="00E25037"/>
    <w:rsid w:val="00E25E6C"/>
    <w:rsid w:val="00E3054E"/>
    <w:rsid w:val="00E34609"/>
    <w:rsid w:val="00E37610"/>
    <w:rsid w:val="00E50613"/>
    <w:rsid w:val="00E54F9A"/>
    <w:rsid w:val="00E56A48"/>
    <w:rsid w:val="00E6207E"/>
    <w:rsid w:val="00E70769"/>
    <w:rsid w:val="00E738EB"/>
    <w:rsid w:val="00E768D7"/>
    <w:rsid w:val="00E809ED"/>
    <w:rsid w:val="00E82683"/>
    <w:rsid w:val="00E87156"/>
    <w:rsid w:val="00E90ED9"/>
    <w:rsid w:val="00E91BAA"/>
    <w:rsid w:val="00E932EE"/>
    <w:rsid w:val="00E9370D"/>
    <w:rsid w:val="00E94ECF"/>
    <w:rsid w:val="00E96602"/>
    <w:rsid w:val="00EB066B"/>
    <w:rsid w:val="00EB3C41"/>
    <w:rsid w:val="00EB686B"/>
    <w:rsid w:val="00EC0998"/>
    <w:rsid w:val="00EC1829"/>
    <w:rsid w:val="00EC4CEC"/>
    <w:rsid w:val="00EC4EE5"/>
    <w:rsid w:val="00ED0D22"/>
    <w:rsid w:val="00ED5D01"/>
    <w:rsid w:val="00EE129A"/>
    <w:rsid w:val="00EE6001"/>
    <w:rsid w:val="00EF3393"/>
    <w:rsid w:val="00F0178D"/>
    <w:rsid w:val="00F04E45"/>
    <w:rsid w:val="00F06470"/>
    <w:rsid w:val="00F07861"/>
    <w:rsid w:val="00F136E9"/>
    <w:rsid w:val="00F22554"/>
    <w:rsid w:val="00F26304"/>
    <w:rsid w:val="00F33440"/>
    <w:rsid w:val="00F33B4F"/>
    <w:rsid w:val="00F377FC"/>
    <w:rsid w:val="00F41269"/>
    <w:rsid w:val="00F42D02"/>
    <w:rsid w:val="00F45F03"/>
    <w:rsid w:val="00F46942"/>
    <w:rsid w:val="00F46AED"/>
    <w:rsid w:val="00F54F38"/>
    <w:rsid w:val="00F55C3F"/>
    <w:rsid w:val="00F56C04"/>
    <w:rsid w:val="00F57F2F"/>
    <w:rsid w:val="00F7028D"/>
    <w:rsid w:val="00F713BD"/>
    <w:rsid w:val="00F82F5E"/>
    <w:rsid w:val="00F93305"/>
    <w:rsid w:val="00F97D8C"/>
    <w:rsid w:val="00FA259F"/>
    <w:rsid w:val="00FA31F5"/>
    <w:rsid w:val="00FA4478"/>
    <w:rsid w:val="00FA6263"/>
    <w:rsid w:val="00FB27FF"/>
    <w:rsid w:val="00FB2960"/>
    <w:rsid w:val="00FC4F42"/>
    <w:rsid w:val="00FD0FB3"/>
    <w:rsid w:val="00FD30C5"/>
    <w:rsid w:val="00FD4A34"/>
    <w:rsid w:val="00FD4F8C"/>
    <w:rsid w:val="00FD77BA"/>
    <w:rsid w:val="00FE4EC1"/>
    <w:rsid w:val="00FF2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624"/>
    <w:pPr>
      <w:spacing w:after="200" w:line="276" w:lineRule="auto"/>
    </w:pPr>
    <w:rPr>
      <w:rFonts w:ascii="Consolas" w:eastAsia="Consolas" w:hAnsi="Consolas" w:cs="Consolas"/>
      <w:lang w:val="en-US"/>
    </w:rPr>
  </w:style>
  <w:style w:type="paragraph" w:styleId="1">
    <w:name w:val="heading 1"/>
    <w:basedOn w:val="a"/>
    <w:next w:val="a"/>
    <w:link w:val="10"/>
    <w:uiPriority w:val="9"/>
    <w:qFormat/>
    <w:rsid w:val="005E5A3A"/>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paragraph" w:styleId="2">
    <w:name w:val="heading 2"/>
    <w:basedOn w:val="a"/>
    <w:next w:val="a"/>
    <w:link w:val="20"/>
    <w:uiPriority w:val="9"/>
    <w:semiHidden/>
    <w:unhideWhenUsed/>
    <w:qFormat/>
    <w:rsid w:val="00D144D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link w:val="30"/>
    <w:uiPriority w:val="9"/>
    <w:unhideWhenUsed/>
    <w:qFormat/>
    <w:rsid w:val="00D144D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4">
    <w:name w:val="heading 4"/>
    <w:basedOn w:val="a"/>
    <w:next w:val="a"/>
    <w:link w:val="40"/>
    <w:uiPriority w:val="9"/>
    <w:semiHidden/>
    <w:unhideWhenUsed/>
    <w:qFormat/>
    <w:rsid w:val="00D144D6"/>
    <w:pPr>
      <w:keepNext/>
      <w:keepLines/>
      <w:spacing w:before="80" w:after="40" w:line="259" w:lineRule="auto"/>
      <w:outlineLvl w:val="3"/>
    </w:pPr>
    <w:rPr>
      <w:rFonts w:asciiTheme="minorHAnsi" w:eastAsiaTheme="majorEastAsia" w:hAnsiTheme="minorHAnsi" w:cstheme="majorBidi"/>
      <w:i/>
      <w:iCs/>
      <w:color w:val="2E74B5" w:themeColor="accent1" w:themeShade="BF"/>
      <w:kern w:val="2"/>
    </w:rPr>
  </w:style>
  <w:style w:type="paragraph" w:styleId="5">
    <w:name w:val="heading 5"/>
    <w:basedOn w:val="a"/>
    <w:next w:val="a"/>
    <w:link w:val="50"/>
    <w:uiPriority w:val="9"/>
    <w:semiHidden/>
    <w:unhideWhenUsed/>
    <w:qFormat/>
    <w:rsid w:val="00D144D6"/>
    <w:pPr>
      <w:keepNext/>
      <w:keepLines/>
      <w:spacing w:before="80" w:after="40" w:line="259" w:lineRule="auto"/>
      <w:outlineLvl w:val="4"/>
    </w:pPr>
    <w:rPr>
      <w:rFonts w:asciiTheme="minorHAnsi" w:eastAsiaTheme="majorEastAsia" w:hAnsiTheme="minorHAnsi" w:cstheme="majorBidi"/>
      <w:color w:val="2E74B5" w:themeColor="accent1" w:themeShade="BF"/>
      <w:kern w:val="2"/>
    </w:rPr>
  </w:style>
  <w:style w:type="paragraph" w:styleId="6">
    <w:name w:val="heading 6"/>
    <w:basedOn w:val="a"/>
    <w:next w:val="a"/>
    <w:link w:val="60"/>
    <w:uiPriority w:val="9"/>
    <w:semiHidden/>
    <w:unhideWhenUsed/>
    <w:qFormat/>
    <w:rsid w:val="00D144D6"/>
    <w:pPr>
      <w:keepNext/>
      <w:keepLines/>
      <w:spacing w:before="40" w:after="0" w:line="259" w:lineRule="auto"/>
      <w:outlineLvl w:val="5"/>
    </w:pPr>
    <w:rPr>
      <w:rFonts w:asciiTheme="minorHAnsi" w:eastAsiaTheme="majorEastAsia" w:hAnsiTheme="minorHAnsi" w:cstheme="majorBidi"/>
      <w:i/>
      <w:iCs/>
      <w:color w:val="595959" w:themeColor="text1" w:themeTint="A6"/>
      <w:kern w:val="2"/>
    </w:rPr>
  </w:style>
  <w:style w:type="paragraph" w:styleId="7">
    <w:name w:val="heading 7"/>
    <w:basedOn w:val="a"/>
    <w:next w:val="a"/>
    <w:link w:val="70"/>
    <w:uiPriority w:val="9"/>
    <w:semiHidden/>
    <w:unhideWhenUsed/>
    <w:qFormat/>
    <w:rsid w:val="00D144D6"/>
    <w:pPr>
      <w:keepNext/>
      <w:keepLines/>
      <w:spacing w:before="40" w:after="0" w:line="259" w:lineRule="auto"/>
      <w:outlineLvl w:val="6"/>
    </w:pPr>
    <w:rPr>
      <w:rFonts w:asciiTheme="minorHAnsi" w:eastAsiaTheme="majorEastAsia" w:hAnsiTheme="minorHAnsi" w:cstheme="majorBidi"/>
      <w:color w:val="595959" w:themeColor="text1" w:themeTint="A6"/>
      <w:kern w:val="2"/>
    </w:rPr>
  </w:style>
  <w:style w:type="paragraph" w:styleId="8">
    <w:name w:val="heading 8"/>
    <w:basedOn w:val="a"/>
    <w:next w:val="a"/>
    <w:link w:val="80"/>
    <w:uiPriority w:val="9"/>
    <w:semiHidden/>
    <w:unhideWhenUsed/>
    <w:qFormat/>
    <w:rsid w:val="00D144D6"/>
    <w:pPr>
      <w:keepNext/>
      <w:keepLines/>
      <w:spacing w:after="0" w:line="259" w:lineRule="auto"/>
      <w:outlineLvl w:val="7"/>
    </w:pPr>
    <w:rPr>
      <w:rFonts w:asciiTheme="minorHAnsi" w:eastAsiaTheme="majorEastAsia" w:hAnsiTheme="minorHAnsi" w:cstheme="majorBidi"/>
      <w:i/>
      <w:iCs/>
      <w:color w:val="272727" w:themeColor="text1" w:themeTint="D8"/>
      <w:kern w:val="2"/>
    </w:rPr>
  </w:style>
  <w:style w:type="paragraph" w:styleId="9">
    <w:name w:val="heading 9"/>
    <w:basedOn w:val="a"/>
    <w:next w:val="a"/>
    <w:link w:val="90"/>
    <w:uiPriority w:val="9"/>
    <w:semiHidden/>
    <w:unhideWhenUsed/>
    <w:qFormat/>
    <w:rsid w:val="00D144D6"/>
    <w:pPr>
      <w:keepNext/>
      <w:keepLines/>
      <w:spacing w:after="0" w:line="259" w:lineRule="auto"/>
      <w:outlineLvl w:val="8"/>
    </w:pPr>
    <w:rPr>
      <w:rFonts w:asciiTheme="minorHAnsi" w:eastAsiaTheme="majorEastAsia" w:hAnsiTheme="minorHAnsi" w:cstheme="majorBidi"/>
      <w:color w:val="272727" w:themeColor="text1" w:themeTint="D8"/>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2"/>
    <w:locked/>
    <w:rsid w:val="00406624"/>
    <w:rPr>
      <w:rFonts w:ascii="Batang" w:eastAsia="Batang" w:hAnsi="Batang" w:cs="Batang"/>
      <w:shd w:val="clear" w:color="auto" w:fill="FFFFFF"/>
    </w:rPr>
  </w:style>
  <w:style w:type="paragraph" w:customStyle="1" w:styleId="12">
    <w:name w:val="Основной текст12"/>
    <w:basedOn w:val="a"/>
    <w:link w:val="a3"/>
    <w:rsid w:val="00406624"/>
    <w:pPr>
      <w:widowControl w:val="0"/>
      <w:shd w:val="clear" w:color="auto" w:fill="FFFFFF"/>
      <w:spacing w:before="1200" w:after="0" w:line="0" w:lineRule="atLeast"/>
    </w:pPr>
    <w:rPr>
      <w:rFonts w:ascii="Batang" w:eastAsia="Batang" w:hAnsi="Batang" w:cs="Batang"/>
      <w:lang w:val="ru-RU"/>
    </w:rPr>
  </w:style>
  <w:style w:type="paragraph" w:styleId="a4">
    <w:name w:val="Normal (Web)"/>
    <w:basedOn w:val="a"/>
    <w:uiPriority w:val="99"/>
    <w:unhideWhenUsed/>
    <w:rsid w:val="004066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406624"/>
    <w:rPr>
      <w:b/>
      <w:bCs/>
    </w:rPr>
  </w:style>
  <w:style w:type="paragraph" w:styleId="a6">
    <w:name w:val="List Paragraph"/>
    <w:basedOn w:val="a"/>
    <w:uiPriority w:val="34"/>
    <w:qFormat/>
    <w:rsid w:val="007A6624"/>
    <w:pPr>
      <w:ind w:left="720"/>
      <w:contextualSpacing/>
    </w:pPr>
  </w:style>
  <w:style w:type="character" w:customStyle="1" w:styleId="overflow-hidden">
    <w:name w:val="overflow-hidden"/>
    <w:basedOn w:val="a0"/>
    <w:rsid w:val="00714FEB"/>
  </w:style>
  <w:style w:type="character" w:styleId="a7">
    <w:name w:val="Emphasis"/>
    <w:basedOn w:val="a0"/>
    <w:uiPriority w:val="20"/>
    <w:qFormat/>
    <w:rsid w:val="00E37610"/>
    <w:rPr>
      <w:i/>
      <w:iCs/>
    </w:rPr>
  </w:style>
  <w:style w:type="paragraph" w:customStyle="1" w:styleId="ed">
    <w:name w:val="Обычыedый"/>
    <w:rsid w:val="005E5A3A"/>
    <w:pPr>
      <w:widowControl w:val="0"/>
      <w:spacing w:after="0" w:line="240" w:lineRule="auto"/>
    </w:pPr>
    <w:rPr>
      <w:rFonts w:ascii="Arial" w:eastAsia="Times New Roman" w:hAnsi="Arial" w:cs="Arial"/>
      <w:sz w:val="20"/>
      <w:szCs w:val="20"/>
      <w:lang w:eastAsia="ru-RU"/>
    </w:rPr>
  </w:style>
  <w:style w:type="paragraph" w:styleId="a8">
    <w:name w:val="Body Text"/>
    <w:basedOn w:val="a"/>
    <w:link w:val="a9"/>
    <w:uiPriority w:val="99"/>
    <w:unhideWhenUsed/>
    <w:qFormat/>
    <w:rsid w:val="005E5A3A"/>
    <w:pPr>
      <w:spacing w:after="120"/>
    </w:pPr>
    <w:rPr>
      <w:rFonts w:ascii="Calibri" w:eastAsia="Calibri" w:hAnsi="Calibri" w:cs="Times New Roman"/>
      <w:lang w:val="ru-RU"/>
    </w:rPr>
  </w:style>
  <w:style w:type="character" w:customStyle="1" w:styleId="a9">
    <w:name w:val="Основной текст Знак"/>
    <w:basedOn w:val="a0"/>
    <w:link w:val="a8"/>
    <w:uiPriority w:val="99"/>
    <w:rsid w:val="005E5A3A"/>
    <w:rPr>
      <w:rFonts w:ascii="Calibri" w:eastAsia="Calibri" w:hAnsi="Calibri" w:cs="Times New Roman"/>
    </w:rPr>
  </w:style>
  <w:style w:type="paragraph" w:styleId="aa">
    <w:name w:val="footer"/>
    <w:basedOn w:val="a"/>
    <w:link w:val="ab"/>
    <w:uiPriority w:val="99"/>
    <w:unhideWhenUsed/>
    <w:rsid w:val="005E5A3A"/>
    <w:pPr>
      <w:tabs>
        <w:tab w:val="center" w:pos="4677"/>
        <w:tab w:val="right" w:pos="9355"/>
      </w:tabs>
      <w:spacing w:after="0" w:line="240" w:lineRule="auto"/>
    </w:pPr>
    <w:rPr>
      <w:rFonts w:ascii="Calibri" w:eastAsia="Calibri" w:hAnsi="Calibri" w:cs="Times New Roman"/>
      <w:lang w:val="ru-RU"/>
    </w:rPr>
  </w:style>
  <w:style w:type="character" w:customStyle="1" w:styleId="ab">
    <w:name w:val="Нижний колонтитул Знак"/>
    <w:basedOn w:val="a0"/>
    <w:link w:val="aa"/>
    <w:uiPriority w:val="99"/>
    <w:rsid w:val="005E5A3A"/>
    <w:rPr>
      <w:rFonts w:ascii="Calibri" w:eastAsia="Calibri" w:hAnsi="Calibri" w:cs="Times New Roman"/>
    </w:rPr>
  </w:style>
  <w:style w:type="character" w:customStyle="1" w:styleId="10">
    <w:name w:val="Заголовок 1 Знак"/>
    <w:basedOn w:val="a0"/>
    <w:link w:val="1"/>
    <w:uiPriority w:val="9"/>
    <w:rsid w:val="005E5A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D144D6"/>
    <w:rPr>
      <w:rFonts w:asciiTheme="majorHAnsi" w:eastAsiaTheme="majorEastAsia" w:hAnsiTheme="majorHAnsi" w:cstheme="majorBidi"/>
      <w:color w:val="2E74B5" w:themeColor="accent1" w:themeShade="BF"/>
      <w:kern w:val="2"/>
      <w:sz w:val="32"/>
      <w:szCs w:val="32"/>
    </w:rPr>
  </w:style>
  <w:style w:type="character" w:customStyle="1" w:styleId="30">
    <w:name w:val="Заголовок 3 Знак"/>
    <w:basedOn w:val="a0"/>
    <w:link w:val="3"/>
    <w:uiPriority w:val="9"/>
    <w:rsid w:val="00D144D6"/>
    <w:rPr>
      <w:rFonts w:eastAsiaTheme="majorEastAsia" w:cstheme="majorBidi"/>
      <w:color w:val="2E74B5" w:themeColor="accent1" w:themeShade="BF"/>
      <w:kern w:val="2"/>
      <w:sz w:val="28"/>
      <w:szCs w:val="28"/>
    </w:rPr>
  </w:style>
  <w:style w:type="character" w:customStyle="1" w:styleId="40">
    <w:name w:val="Заголовок 4 Знак"/>
    <w:basedOn w:val="a0"/>
    <w:link w:val="4"/>
    <w:uiPriority w:val="9"/>
    <w:semiHidden/>
    <w:rsid w:val="00D144D6"/>
    <w:rPr>
      <w:rFonts w:eastAsiaTheme="majorEastAsia" w:cstheme="majorBidi"/>
      <w:i/>
      <w:iCs/>
      <w:color w:val="2E74B5" w:themeColor="accent1" w:themeShade="BF"/>
      <w:kern w:val="2"/>
    </w:rPr>
  </w:style>
  <w:style w:type="character" w:customStyle="1" w:styleId="50">
    <w:name w:val="Заголовок 5 Знак"/>
    <w:basedOn w:val="a0"/>
    <w:link w:val="5"/>
    <w:uiPriority w:val="9"/>
    <w:semiHidden/>
    <w:rsid w:val="00D144D6"/>
    <w:rPr>
      <w:rFonts w:eastAsiaTheme="majorEastAsia" w:cstheme="majorBidi"/>
      <w:color w:val="2E74B5" w:themeColor="accent1" w:themeShade="BF"/>
      <w:kern w:val="2"/>
    </w:rPr>
  </w:style>
  <w:style w:type="character" w:customStyle="1" w:styleId="60">
    <w:name w:val="Заголовок 6 Знак"/>
    <w:basedOn w:val="a0"/>
    <w:link w:val="6"/>
    <w:uiPriority w:val="9"/>
    <w:semiHidden/>
    <w:rsid w:val="00D144D6"/>
    <w:rPr>
      <w:rFonts w:eastAsiaTheme="majorEastAsia" w:cstheme="majorBidi"/>
      <w:i/>
      <w:iCs/>
      <w:color w:val="595959" w:themeColor="text1" w:themeTint="A6"/>
      <w:kern w:val="2"/>
    </w:rPr>
  </w:style>
  <w:style w:type="character" w:customStyle="1" w:styleId="70">
    <w:name w:val="Заголовок 7 Знак"/>
    <w:basedOn w:val="a0"/>
    <w:link w:val="7"/>
    <w:uiPriority w:val="9"/>
    <w:semiHidden/>
    <w:rsid w:val="00D144D6"/>
    <w:rPr>
      <w:rFonts w:eastAsiaTheme="majorEastAsia" w:cstheme="majorBidi"/>
      <w:color w:val="595959" w:themeColor="text1" w:themeTint="A6"/>
      <w:kern w:val="2"/>
    </w:rPr>
  </w:style>
  <w:style w:type="character" w:customStyle="1" w:styleId="80">
    <w:name w:val="Заголовок 8 Знак"/>
    <w:basedOn w:val="a0"/>
    <w:link w:val="8"/>
    <w:uiPriority w:val="9"/>
    <w:semiHidden/>
    <w:rsid w:val="00D144D6"/>
    <w:rPr>
      <w:rFonts w:eastAsiaTheme="majorEastAsia" w:cstheme="majorBidi"/>
      <w:i/>
      <w:iCs/>
      <w:color w:val="272727" w:themeColor="text1" w:themeTint="D8"/>
      <w:kern w:val="2"/>
    </w:rPr>
  </w:style>
  <w:style w:type="character" w:customStyle="1" w:styleId="90">
    <w:name w:val="Заголовок 9 Знак"/>
    <w:basedOn w:val="a0"/>
    <w:link w:val="9"/>
    <w:uiPriority w:val="9"/>
    <w:semiHidden/>
    <w:rsid w:val="00D144D6"/>
    <w:rPr>
      <w:rFonts w:eastAsiaTheme="majorEastAsia" w:cstheme="majorBidi"/>
      <w:color w:val="272727" w:themeColor="text1" w:themeTint="D8"/>
      <w:kern w:val="2"/>
    </w:rPr>
  </w:style>
  <w:style w:type="paragraph" w:styleId="ac">
    <w:name w:val="Title"/>
    <w:basedOn w:val="a"/>
    <w:next w:val="a"/>
    <w:link w:val="ad"/>
    <w:uiPriority w:val="10"/>
    <w:qFormat/>
    <w:rsid w:val="00D14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c"/>
    <w:uiPriority w:val="10"/>
    <w:rsid w:val="00D144D6"/>
    <w:rPr>
      <w:rFonts w:asciiTheme="majorHAnsi" w:eastAsiaTheme="majorEastAsia" w:hAnsiTheme="majorHAnsi" w:cstheme="majorBidi"/>
      <w:spacing w:val="-10"/>
      <w:kern w:val="28"/>
      <w:sz w:val="56"/>
      <w:szCs w:val="56"/>
    </w:rPr>
  </w:style>
  <w:style w:type="paragraph" w:styleId="ae">
    <w:name w:val="Subtitle"/>
    <w:basedOn w:val="a"/>
    <w:next w:val="a"/>
    <w:link w:val="af"/>
    <w:uiPriority w:val="11"/>
    <w:qFormat/>
    <w:rsid w:val="00D144D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af">
    <w:name w:val="Подзаголовок Знак"/>
    <w:basedOn w:val="a0"/>
    <w:link w:val="ae"/>
    <w:uiPriority w:val="11"/>
    <w:rsid w:val="00D144D6"/>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D144D6"/>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22">
    <w:name w:val="Цитата 2 Знак"/>
    <w:basedOn w:val="a0"/>
    <w:link w:val="21"/>
    <w:uiPriority w:val="29"/>
    <w:rsid w:val="00D144D6"/>
    <w:rPr>
      <w:i/>
      <w:iCs/>
      <w:color w:val="404040" w:themeColor="text1" w:themeTint="BF"/>
      <w:kern w:val="2"/>
    </w:rPr>
  </w:style>
  <w:style w:type="character" w:styleId="af0">
    <w:name w:val="Intense Emphasis"/>
    <w:basedOn w:val="a0"/>
    <w:uiPriority w:val="21"/>
    <w:qFormat/>
    <w:rsid w:val="00D144D6"/>
    <w:rPr>
      <w:i/>
      <w:iCs/>
      <w:color w:val="2E74B5" w:themeColor="accent1" w:themeShade="BF"/>
    </w:rPr>
  </w:style>
  <w:style w:type="paragraph" w:styleId="af1">
    <w:name w:val="Intense Quote"/>
    <w:basedOn w:val="a"/>
    <w:next w:val="a"/>
    <w:link w:val="af2"/>
    <w:uiPriority w:val="30"/>
    <w:qFormat/>
    <w:rsid w:val="00D144D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rPr>
  </w:style>
  <w:style w:type="character" w:customStyle="1" w:styleId="af2">
    <w:name w:val="Выделенная цитата Знак"/>
    <w:basedOn w:val="a0"/>
    <w:link w:val="af1"/>
    <w:uiPriority w:val="30"/>
    <w:rsid w:val="00D144D6"/>
    <w:rPr>
      <w:i/>
      <w:iCs/>
      <w:color w:val="2E74B5" w:themeColor="accent1" w:themeShade="BF"/>
      <w:kern w:val="2"/>
    </w:rPr>
  </w:style>
  <w:style w:type="character" w:styleId="af3">
    <w:name w:val="Intense Reference"/>
    <w:basedOn w:val="a0"/>
    <w:uiPriority w:val="32"/>
    <w:qFormat/>
    <w:rsid w:val="00D144D6"/>
    <w:rPr>
      <w:b/>
      <w:bCs/>
      <w:smallCaps/>
      <w:color w:val="2E74B5" w:themeColor="accent1" w:themeShade="BF"/>
      <w:spacing w:val="5"/>
    </w:rPr>
  </w:style>
  <w:style w:type="paragraph" w:customStyle="1" w:styleId="11">
    <w:name w:val="Заголовок1"/>
    <w:basedOn w:val="a"/>
    <w:rsid w:val="00D144D6"/>
    <w:pPr>
      <w:spacing w:before="100" w:beforeAutospacing="1" w:after="100" w:afterAutospacing="1" w:line="240" w:lineRule="auto"/>
    </w:pPr>
    <w:rPr>
      <w:rFonts w:ascii="Times New Roman" w:eastAsia="Times New Roman" w:hAnsi="Times New Roman" w:cs="Times New Roman"/>
      <w:sz w:val="24"/>
      <w:szCs w:val="24"/>
    </w:rPr>
  </w:style>
  <w:style w:type="table" w:styleId="af4">
    <w:name w:val="Table Grid"/>
    <w:basedOn w:val="a1"/>
    <w:uiPriority w:val="39"/>
    <w:rsid w:val="00D144D6"/>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unhideWhenUsed/>
    <w:rsid w:val="003C096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C096F"/>
    <w:rPr>
      <w:rFonts w:ascii="Consolas" w:eastAsia="Consolas" w:hAnsi="Consolas" w:cs="Consolas"/>
      <w:lang w:val="en-US"/>
    </w:rPr>
  </w:style>
  <w:style w:type="character" w:styleId="af7">
    <w:name w:val="Hyperlink"/>
    <w:basedOn w:val="a0"/>
    <w:uiPriority w:val="99"/>
    <w:unhideWhenUsed/>
    <w:rsid w:val="00492236"/>
    <w:rPr>
      <w:color w:val="0563C1" w:themeColor="hyperlink"/>
      <w:u w:val="single"/>
    </w:rPr>
  </w:style>
  <w:style w:type="paragraph" w:styleId="z-">
    <w:name w:val="HTML Top of Form"/>
    <w:basedOn w:val="a"/>
    <w:next w:val="a"/>
    <w:link w:val="z-0"/>
    <w:hidden/>
    <w:uiPriority w:val="99"/>
    <w:semiHidden/>
    <w:unhideWhenUsed/>
    <w:rsid w:val="006E2083"/>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6E208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E2083"/>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6E2083"/>
    <w:rPr>
      <w:rFonts w:ascii="Arial" w:eastAsia="Times New Roman" w:hAnsi="Arial" w:cs="Arial"/>
      <w:vanish/>
      <w:sz w:val="16"/>
      <w:szCs w:val="16"/>
      <w:lang w:eastAsia="ru-RU"/>
    </w:rPr>
  </w:style>
  <w:style w:type="paragraph" w:customStyle="1" w:styleId="Default">
    <w:name w:val="Default"/>
    <w:rsid w:val="006F1E42"/>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Balloon Text"/>
    <w:basedOn w:val="a"/>
    <w:link w:val="af9"/>
    <w:uiPriority w:val="99"/>
    <w:semiHidden/>
    <w:unhideWhenUsed/>
    <w:rsid w:val="00A36E67"/>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A36E67"/>
    <w:rPr>
      <w:rFonts w:ascii="Segoe UI" w:eastAsia="Consolas" w:hAnsi="Segoe UI" w:cs="Segoe UI"/>
      <w:sz w:val="18"/>
      <w:szCs w:val="18"/>
      <w:lang w:val="en-US"/>
    </w:rPr>
  </w:style>
  <w:style w:type="character" w:customStyle="1" w:styleId="ms-1">
    <w:name w:val="ms-1"/>
    <w:basedOn w:val="a0"/>
    <w:rsid w:val="005C60A7"/>
  </w:style>
  <w:style w:type="character" w:customStyle="1" w:styleId="max-w-15ch">
    <w:name w:val="max-w-[15ch]"/>
    <w:basedOn w:val="a0"/>
    <w:rsid w:val="005C60A7"/>
  </w:style>
  <w:style w:type="character" w:customStyle="1" w:styleId="UnresolvedMention">
    <w:name w:val="Unresolved Mention"/>
    <w:basedOn w:val="a0"/>
    <w:uiPriority w:val="99"/>
    <w:semiHidden/>
    <w:unhideWhenUsed/>
    <w:rsid w:val="00BC2A43"/>
    <w:rPr>
      <w:color w:val="605E5C"/>
      <w:shd w:val="clear" w:color="auto" w:fill="E1DFDD"/>
    </w:rPr>
  </w:style>
  <w:style w:type="character" w:styleId="afa">
    <w:name w:val="FollowedHyperlink"/>
    <w:basedOn w:val="a0"/>
    <w:uiPriority w:val="99"/>
    <w:semiHidden/>
    <w:unhideWhenUsed/>
    <w:rsid w:val="00653F3E"/>
    <w:rPr>
      <w:color w:val="954F72" w:themeColor="followedHyperlink"/>
      <w:u w:val="single"/>
    </w:rPr>
  </w:style>
  <w:style w:type="character" w:customStyle="1" w:styleId="whitespace-normal">
    <w:name w:val="whitespace-normal"/>
    <w:basedOn w:val="a0"/>
    <w:rsid w:val="002A761D"/>
  </w:style>
</w:styles>
</file>

<file path=word/webSettings.xml><?xml version="1.0" encoding="utf-8"?>
<w:webSettings xmlns:r="http://schemas.openxmlformats.org/officeDocument/2006/relationships" xmlns:w="http://schemas.openxmlformats.org/wordprocessingml/2006/main">
  <w:divs>
    <w:div w:id="6180198">
      <w:bodyDiv w:val="1"/>
      <w:marLeft w:val="0"/>
      <w:marRight w:val="0"/>
      <w:marTop w:val="0"/>
      <w:marBottom w:val="0"/>
      <w:divBdr>
        <w:top w:val="none" w:sz="0" w:space="0" w:color="auto"/>
        <w:left w:val="none" w:sz="0" w:space="0" w:color="auto"/>
        <w:bottom w:val="none" w:sz="0" w:space="0" w:color="auto"/>
        <w:right w:val="none" w:sz="0" w:space="0" w:color="auto"/>
      </w:divBdr>
    </w:div>
    <w:div w:id="86927770">
      <w:bodyDiv w:val="1"/>
      <w:marLeft w:val="0"/>
      <w:marRight w:val="0"/>
      <w:marTop w:val="0"/>
      <w:marBottom w:val="0"/>
      <w:divBdr>
        <w:top w:val="none" w:sz="0" w:space="0" w:color="auto"/>
        <w:left w:val="none" w:sz="0" w:space="0" w:color="auto"/>
        <w:bottom w:val="none" w:sz="0" w:space="0" w:color="auto"/>
        <w:right w:val="none" w:sz="0" w:space="0" w:color="auto"/>
      </w:divBdr>
    </w:div>
    <w:div w:id="166751844">
      <w:bodyDiv w:val="1"/>
      <w:marLeft w:val="0"/>
      <w:marRight w:val="0"/>
      <w:marTop w:val="0"/>
      <w:marBottom w:val="0"/>
      <w:divBdr>
        <w:top w:val="none" w:sz="0" w:space="0" w:color="auto"/>
        <w:left w:val="none" w:sz="0" w:space="0" w:color="auto"/>
        <w:bottom w:val="none" w:sz="0" w:space="0" w:color="auto"/>
        <w:right w:val="none" w:sz="0" w:space="0" w:color="auto"/>
      </w:divBdr>
    </w:div>
    <w:div w:id="225796966">
      <w:bodyDiv w:val="1"/>
      <w:marLeft w:val="0"/>
      <w:marRight w:val="0"/>
      <w:marTop w:val="0"/>
      <w:marBottom w:val="0"/>
      <w:divBdr>
        <w:top w:val="none" w:sz="0" w:space="0" w:color="auto"/>
        <w:left w:val="none" w:sz="0" w:space="0" w:color="auto"/>
        <w:bottom w:val="none" w:sz="0" w:space="0" w:color="auto"/>
        <w:right w:val="none" w:sz="0" w:space="0" w:color="auto"/>
      </w:divBdr>
    </w:div>
    <w:div w:id="289357416">
      <w:bodyDiv w:val="1"/>
      <w:marLeft w:val="0"/>
      <w:marRight w:val="0"/>
      <w:marTop w:val="0"/>
      <w:marBottom w:val="0"/>
      <w:divBdr>
        <w:top w:val="none" w:sz="0" w:space="0" w:color="auto"/>
        <w:left w:val="none" w:sz="0" w:space="0" w:color="auto"/>
        <w:bottom w:val="none" w:sz="0" w:space="0" w:color="auto"/>
        <w:right w:val="none" w:sz="0" w:space="0" w:color="auto"/>
      </w:divBdr>
    </w:div>
    <w:div w:id="304822094">
      <w:bodyDiv w:val="1"/>
      <w:marLeft w:val="0"/>
      <w:marRight w:val="0"/>
      <w:marTop w:val="0"/>
      <w:marBottom w:val="0"/>
      <w:divBdr>
        <w:top w:val="none" w:sz="0" w:space="0" w:color="auto"/>
        <w:left w:val="none" w:sz="0" w:space="0" w:color="auto"/>
        <w:bottom w:val="none" w:sz="0" w:space="0" w:color="auto"/>
        <w:right w:val="none" w:sz="0" w:space="0" w:color="auto"/>
      </w:divBdr>
    </w:div>
    <w:div w:id="389960330">
      <w:bodyDiv w:val="1"/>
      <w:marLeft w:val="0"/>
      <w:marRight w:val="0"/>
      <w:marTop w:val="0"/>
      <w:marBottom w:val="0"/>
      <w:divBdr>
        <w:top w:val="none" w:sz="0" w:space="0" w:color="auto"/>
        <w:left w:val="none" w:sz="0" w:space="0" w:color="auto"/>
        <w:bottom w:val="none" w:sz="0" w:space="0" w:color="auto"/>
        <w:right w:val="none" w:sz="0" w:space="0" w:color="auto"/>
      </w:divBdr>
    </w:div>
    <w:div w:id="492726418">
      <w:bodyDiv w:val="1"/>
      <w:marLeft w:val="0"/>
      <w:marRight w:val="0"/>
      <w:marTop w:val="0"/>
      <w:marBottom w:val="0"/>
      <w:divBdr>
        <w:top w:val="none" w:sz="0" w:space="0" w:color="auto"/>
        <w:left w:val="none" w:sz="0" w:space="0" w:color="auto"/>
        <w:bottom w:val="none" w:sz="0" w:space="0" w:color="auto"/>
        <w:right w:val="none" w:sz="0" w:space="0" w:color="auto"/>
      </w:divBdr>
    </w:div>
    <w:div w:id="569119926">
      <w:bodyDiv w:val="1"/>
      <w:marLeft w:val="0"/>
      <w:marRight w:val="0"/>
      <w:marTop w:val="0"/>
      <w:marBottom w:val="0"/>
      <w:divBdr>
        <w:top w:val="none" w:sz="0" w:space="0" w:color="auto"/>
        <w:left w:val="none" w:sz="0" w:space="0" w:color="auto"/>
        <w:bottom w:val="none" w:sz="0" w:space="0" w:color="auto"/>
        <w:right w:val="none" w:sz="0" w:space="0" w:color="auto"/>
      </w:divBdr>
    </w:div>
    <w:div w:id="577833761">
      <w:bodyDiv w:val="1"/>
      <w:marLeft w:val="0"/>
      <w:marRight w:val="0"/>
      <w:marTop w:val="0"/>
      <w:marBottom w:val="0"/>
      <w:divBdr>
        <w:top w:val="none" w:sz="0" w:space="0" w:color="auto"/>
        <w:left w:val="none" w:sz="0" w:space="0" w:color="auto"/>
        <w:bottom w:val="none" w:sz="0" w:space="0" w:color="auto"/>
        <w:right w:val="none" w:sz="0" w:space="0" w:color="auto"/>
      </w:divBdr>
    </w:div>
    <w:div w:id="580872818">
      <w:bodyDiv w:val="1"/>
      <w:marLeft w:val="0"/>
      <w:marRight w:val="0"/>
      <w:marTop w:val="0"/>
      <w:marBottom w:val="0"/>
      <w:divBdr>
        <w:top w:val="none" w:sz="0" w:space="0" w:color="auto"/>
        <w:left w:val="none" w:sz="0" w:space="0" w:color="auto"/>
        <w:bottom w:val="none" w:sz="0" w:space="0" w:color="auto"/>
        <w:right w:val="none" w:sz="0" w:space="0" w:color="auto"/>
      </w:divBdr>
    </w:div>
    <w:div w:id="626933114">
      <w:bodyDiv w:val="1"/>
      <w:marLeft w:val="0"/>
      <w:marRight w:val="0"/>
      <w:marTop w:val="0"/>
      <w:marBottom w:val="0"/>
      <w:divBdr>
        <w:top w:val="none" w:sz="0" w:space="0" w:color="auto"/>
        <w:left w:val="none" w:sz="0" w:space="0" w:color="auto"/>
        <w:bottom w:val="none" w:sz="0" w:space="0" w:color="auto"/>
        <w:right w:val="none" w:sz="0" w:space="0" w:color="auto"/>
      </w:divBdr>
    </w:div>
    <w:div w:id="689066108">
      <w:bodyDiv w:val="1"/>
      <w:marLeft w:val="0"/>
      <w:marRight w:val="0"/>
      <w:marTop w:val="0"/>
      <w:marBottom w:val="0"/>
      <w:divBdr>
        <w:top w:val="none" w:sz="0" w:space="0" w:color="auto"/>
        <w:left w:val="none" w:sz="0" w:space="0" w:color="auto"/>
        <w:bottom w:val="none" w:sz="0" w:space="0" w:color="auto"/>
        <w:right w:val="none" w:sz="0" w:space="0" w:color="auto"/>
      </w:divBdr>
    </w:div>
    <w:div w:id="758603204">
      <w:bodyDiv w:val="1"/>
      <w:marLeft w:val="0"/>
      <w:marRight w:val="0"/>
      <w:marTop w:val="0"/>
      <w:marBottom w:val="0"/>
      <w:divBdr>
        <w:top w:val="none" w:sz="0" w:space="0" w:color="auto"/>
        <w:left w:val="none" w:sz="0" w:space="0" w:color="auto"/>
        <w:bottom w:val="none" w:sz="0" w:space="0" w:color="auto"/>
        <w:right w:val="none" w:sz="0" w:space="0" w:color="auto"/>
      </w:divBdr>
    </w:div>
    <w:div w:id="854853688">
      <w:bodyDiv w:val="1"/>
      <w:marLeft w:val="0"/>
      <w:marRight w:val="0"/>
      <w:marTop w:val="0"/>
      <w:marBottom w:val="0"/>
      <w:divBdr>
        <w:top w:val="none" w:sz="0" w:space="0" w:color="auto"/>
        <w:left w:val="none" w:sz="0" w:space="0" w:color="auto"/>
        <w:bottom w:val="none" w:sz="0" w:space="0" w:color="auto"/>
        <w:right w:val="none" w:sz="0" w:space="0" w:color="auto"/>
      </w:divBdr>
    </w:div>
    <w:div w:id="1105880465">
      <w:bodyDiv w:val="1"/>
      <w:marLeft w:val="0"/>
      <w:marRight w:val="0"/>
      <w:marTop w:val="0"/>
      <w:marBottom w:val="0"/>
      <w:divBdr>
        <w:top w:val="none" w:sz="0" w:space="0" w:color="auto"/>
        <w:left w:val="none" w:sz="0" w:space="0" w:color="auto"/>
        <w:bottom w:val="none" w:sz="0" w:space="0" w:color="auto"/>
        <w:right w:val="none" w:sz="0" w:space="0" w:color="auto"/>
      </w:divBdr>
    </w:div>
    <w:div w:id="1119959138">
      <w:bodyDiv w:val="1"/>
      <w:marLeft w:val="0"/>
      <w:marRight w:val="0"/>
      <w:marTop w:val="0"/>
      <w:marBottom w:val="0"/>
      <w:divBdr>
        <w:top w:val="none" w:sz="0" w:space="0" w:color="auto"/>
        <w:left w:val="none" w:sz="0" w:space="0" w:color="auto"/>
        <w:bottom w:val="none" w:sz="0" w:space="0" w:color="auto"/>
        <w:right w:val="none" w:sz="0" w:space="0" w:color="auto"/>
      </w:divBdr>
    </w:div>
    <w:div w:id="1434010927">
      <w:bodyDiv w:val="1"/>
      <w:marLeft w:val="0"/>
      <w:marRight w:val="0"/>
      <w:marTop w:val="0"/>
      <w:marBottom w:val="0"/>
      <w:divBdr>
        <w:top w:val="none" w:sz="0" w:space="0" w:color="auto"/>
        <w:left w:val="none" w:sz="0" w:space="0" w:color="auto"/>
        <w:bottom w:val="none" w:sz="0" w:space="0" w:color="auto"/>
        <w:right w:val="none" w:sz="0" w:space="0" w:color="auto"/>
      </w:divBdr>
    </w:div>
    <w:div w:id="1448545758">
      <w:bodyDiv w:val="1"/>
      <w:marLeft w:val="0"/>
      <w:marRight w:val="0"/>
      <w:marTop w:val="0"/>
      <w:marBottom w:val="0"/>
      <w:divBdr>
        <w:top w:val="none" w:sz="0" w:space="0" w:color="auto"/>
        <w:left w:val="none" w:sz="0" w:space="0" w:color="auto"/>
        <w:bottom w:val="none" w:sz="0" w:space="0" w:color="auto"/>
        <w:right w:val="none" w:sz="0" w:space="0" w:color="auto"/>
      </w:divBdr>
    </w:div>
    <w:div w:id="1533497577">
      <w:bodyDiv w:val="1"/>
      <w:marLeft w:val="0"/>
      <w:marRight w:val="0"/>
      <w:marTop w:val="0"/>
      <w:marBottom w:val="0"/>
      <w:divBdr>
        <w:top w:val="none" w:sz="0" w:space="0" w:color="auto"/>
        <w:left w:val="none" w:sz="0" w:space="0" w:color="auto"/>
        <w:bottom w:val="none" w:sz="0" w:space="0" w:color="auto"/>
        <w:right w:val="none" w:sz="0" w:space="0" w:color="auto"/>
      </w:divBdr>
    </w:div>
    <w:div w:id="1608082931">
      <w:bodyDiv w:val="1"/>
      <w:marLeft w:val="0"/>
      <w:marRight w:val="0"/>
      <w:marTop w:val="0"/>
      <w:marBottom w:val="0"/>
      <w:divBdr>
        <w:top w:val="none" w:sz="0" w:space="0" w:color="auto"/>
        <w:left w:val="none" w:sz="0" w:space="0" w:color="auto"/>
        <w:bottom w:val="none" w:sz="0" w:space="0" w:color="auto"/>
        <w:right w:val="none" w:sz="0" w:space="0" w:color="auto"/>
      </w:divBdr>
      <w:divsChild>
        <w:div w:id="2095855034">
          <w:marLeft w:val="0"/>
          <w:marRight w:val="0"/>
          <w:marTop w:val="0"/>
          <w:marBottom w:val="0"/>
          <w:divBdr>
            <w:top w:val="none" w:sz="0" w:space="0" w:color="auto"/>
            <w:left w:val="none" w:sz="0" w:space="0" w:color="auto"/>
            <w:bottom w:val="none" w:sz="0" w:space="0" w:color="auto"/>
            <w:right w:val="none" w:sz="0" w:space="0" w:color="auto"/>
          </w:divBdr>
          <w:divsChild>
            <w:div w:id="1359622087">
              <w:marLeft w:val="0"/>
              <w:marRight w:val="0"/>
              <w:marTop w:val="0"/>
              <w:marBottom w:val="0"/>
              <w:divBdr>
                <w:top w:val="none" w:sz="0" w:space="0" w:color="auto"/>
                <w:left w:val="none" w:sz="0" w:space="0" w:color="auto"/>
                <w:bottom w:val="none" w:sz="0" w:space="0" w:color="auto"/>
                <w:right w:val="none" w:sz="0" w:space="0" w:color="auto"/>
              </w:divBdr>
              <w:divsChild>
                <w:div w:id="652370212">
                  <w:marLeft w:val="0"/>
                  <w:marRight w:val="0"/>
                  <w:marTop w:val="0"/>
                  <w:marBottom w:val="0"/>
                  <w:divBdr>
                    <w:top w:val="none" w:sz="0" w:space="0" w:color="auto"/>
                    <w:left w:val="none" w:sz="0" w:space="0" w:color="auto"/>
                    <w:bottom w:val="none" w:sz="0" w:space="0" w:color="auto"/>
                    <w:right w:val="none" w:sz="0" w:space="0" w:color="auto"/>
                  </w:divBdr>
                  <w:divsChild>
                    <w:div w:id="10939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7314">
          <w:marLeft w:val="0"/>
          <w:marRight w:val="0"/>
          <w:marTop w:val="0"/>
          <w:marBottom w:val="0"/>
          <w:divBdr>
            <w:top w:val="none" w:sz="0" w:space="0" w:color="auto"/>
            <w:left w:val="none" w:sz="0" w:space="0" w:color="auto"/>
            <w:bottom w:val="none" w:sz="0" w:space="0" w:color="auto"/>
            <w:right w:val="none" w:sz="0" w:space="0" w:color="auto"/>
          </w:divBdr>
          <w:divsChild>
            <w:div w:id="1269191445">
              <w:marLeft w:val="0"/>
              <w:marRight w:val="0"/>
              <w:marTop w:val="0"/>
              <w:marBottom w:val="0"/>
              <w:divBdr>
                <w:top w:val="none" w:sz="0" w:space="0" w:color="auto"/>
                <w:left w:val="none" w:sz="0" w:space="0" w:color="auto"/>
                <w:bottom w:val="none" w:sz="0" w:space="0" w:color="auto"/>
                <w:right w:val="none" w:sz="0" w:space="0" w:color="auto"/>
              </w:divBdr>
              <w:divsChild>
                <w:div w:id="489979521">
                  <w:marLeft w:val="0"/>
                  <w:marRight w:val="0"/>
                  <w:marTop w:val="0"/>
                  <w:marBottom w:val="0"/>
                  <w:divBdr>
                    <w:top w:val="none" w:sz="0" w:space="0" w:color="auto"/>
                    <w:left w:val="none" w:sz="0" w:space="0" w:color="auto"/>
                    <w:bottom w:val="none" w:sz="0" w:space="0" w:color="auto"/>
                    <w:right w:val="none" w:sz="0" w:space="0" w:color="auto"/>
                  </w:divBdr>
                  <w:divsChild>
                    <w:div w:id="7639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1381">
      <w:bodyDiv w:val="1"/>
      <w:marLeft w:val="0"/>
      <w:marRight w:val="0"/>
      <w:marTop w:val="0"/>
      <w:marBottom w:val="0"/>
      <w:divBdr>
        <w:top w:val="none" w:sz="0" w:space="0" w:color="auto"/>
        <w:left w:val="none" w:sz="0" w:space="0" w:color="auto"/>
        <w:bottom w:val="none" w:sz="0" w:space="0" w:color="auto"/>
        <w:right w:val="none" w:sz="0" w:space="0" w:color="auto"/>
      </w:divBdr>
    </w:div>
    <w:div w:id="1620069392">
      <w:bodyDiv w:val="1"/>
      <w:marLeft w:val="0"/>
      <w:marRight w:val="0"/>
      <w:marTop w:val="0"/>
      <w:marBottom w:val="0"/>
      <w:divBdr>
        <w:top w:val="none" w:sz="0" w:space="0" w:color="auto"/>
        <w:left w:val="none" w:sz="0" w:space="0" w:color="auto"/>
        <w:bottom w:val="none" w:sz="0" w:space="0" w:color="auto"/>
        <w:right w:val="none" w:sz="0" w:space="0" w:color="auto"/>
      </w:divBdr>
    </w:div>
    <w:div w:id="1647198155">
      <w:bodyDiv w:val="1"/>
      <w:marLeft w:val="0"/>
      <w:marRight w:val="0"/>
      <w:marTop w:val="0"/>
      <w:marBottom w:val="0"/>
      <w:divBdr>
        <w:top w:val="none" w:sz="0" w:space="0" w:color="auto"/>
        <w:left w:val="none" w:sz="0" w:space="0" w:color="auto"/>
        <w:bottom w:val="none" w:sz="0" w:space="0" w:color="auto"/>
        <w:right w:val="none" w:sz="0" w:space="0" w:color="auto"/>
      </w:divBdr>
    </w:div>
    <w:div w:id="1715353527">
      <w:bodyDiv w:val="1"/>
      <w:marLeft w:val="0"/>
      <w:marRight w:val="0"/>
      <w:marTop w:val="0"/>
      <w:marBottom w:val="0"/>
      <w:divBdr>
        <w:top w:val="none" w:sz="0" w:space="0" w:color="auto"/>
        <w:left w:val="none" w:sz="0" w:space="0" w:color="auto"/>
        <w:bottom w:val="none" w:sz="0" w:space="0" w:color="auto"/>
        <w:right w:val="none" w:sz="0" w:space="0" w:color="auto"/>
      </w:divBdr>
    </w:div>
    <w:div w:id="1984385576">
      <w:bodyDiv w:val="1"/>
      <w:marLeft w:val="0"/>
      <w:marRight w:val="0"/>
      <w:marTop w:val="0"/>
      <w:marBottom w:val="0"/>
      <w:divBdr>
        <w:top w:val="none" w:sz="0" w:space="0" w:color="auto"/>
        <w:left w:val="none" w:sz="0" w:space="0" w:color="auto"/>
        <w:bottom w:val="none" w:sz="0" w:space="0" w:color="auto"/>
        <w:right w:val="none" w:sz="0" w:space="0" w:color="auto"/>
      </w:divBdr>
    </w:div>
    <w:div w:id="2059162098">
      <w:bodyDiv w:val="1"/>
      <w:marLeft w:val="0"/>
      <w:marRight w:val="0"/>
      <w:marTop w:val="0"/>
      <w:marBottom w:val="0"/>
      <w:divBdr>
        <w:top w:val="none" w:sz="0" w:space="0" w:color="auto"/>
        <w:left w:val="none" w:sz="0" w:space="0" w:color="auto"/>
        <w:bottom w:val="none" w:sz="0" w:space="0" w:color="auto"/>
        <w:right w:val="none" w:sz="0" w:space="0" w:color="auto"/>
      </w:divBdr>
    </w:div>
    <w:div w:id="2060670263">
      <w:bodyDiv w:val="1"/>
      <w:marLeft w:val="0"/>
      <w:marRight w:val="0"/>
      <w:marTop w:val="0"/>
      <w:marBottom w:val="0"/>
      <w:divBdr>
        <w:top w:val="none" w:sz="0" w:space="0" w:color="auto"/>
        <w:left w:val="none" w:sz="0" w:space="0" w:color="auto"/>
        <w:bottom w:val="none" w:sz="0" w:space="0" w:color="auto"/>
        <w:right w:val="none" w:sz="0" w:space="0" w:color="auto"/>
      </w:divBdr>
    </w:div>
    <w:div w:id="2103646562">
      <w:bodyDiv w:val="1"/>
      <w:marLeft w:val="0"/>
      <w:marRight w:val="0"/>
      <w:marTop w:val="0"/>
      <w:marBottom w:val="0"/>
      <w:divBdr>
        <w:top w:val="none" w:sz="0" w:space="0" w:color="auto"/>
        <w:left w:val="none" w:sz="0" w:space="0" w:color="auto"/>
        <w:bottom w:val="none" w:sz="0" w:space="0" w:color="auto"/>
        <w:right w:val="none" w:sz="0" w:space="0" w:color="auto"/>
      </w:divBdr>
    </w:div>
    <w:div w:id="2112582369">
      <w:bodyDiv w:val="1"/>
      <w:marLeft w:val="0"/>
      <w:marRight w:val="0"/>
      <w:marTop w:val="0"/>
      <w:marBottom w:val="0"/>
      <w:divBdr>
        <w:top w:val="none" w:sz="0" w:space="0" w:color="auto"/>
        <w:left w:val="none" w:sz="0" w:space="0" w:color="auto"/>
        <w:bottom w:val="none" w:sz="0" w:space="0" w:color="auto"/>
        <w:right w:val="none" w:sz="0" w:space="0" w:color="auto"/>
      </w:divBdr>
    </w:div>
    <w:div w:id="21386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mk.edu.kz/shtatnoe-raspisanie/" TargetMode="External"/><Relationship Id="rId117" Type="http://schemas.openxmlformats.org/officeDocument/2006/relationships/hyperlink" Target="https://zakon.uchet.kz/rus/docs/P2400000141?utm_source=chatgpt.com" TargetMode="External"/><Relationship Id="rId21" Type="http://schemas.openxmlformats.org/officeDocument/2006/relationships/hyperlink" Target="https://ped.kz/kolledzhi-shymkenta/vysshij-medicinskij-kolledzh-shymkenta/?utm_source=chatgpt.com" TargetMode="External"/><Relationship Id="rId42" Type="http://schemas.openxmlformats.org/officeDocument/2006/relationships/chart" Target="charts/chart4.xml"/><Relationship Id="rId47" Type="http://schemas.openxmlformats.org/officeDocument/2006/relationships/chart" Target="charts/chart8.xml"/><Relationship Id="rId63" Type="http://schemas.openxmlformats.org/officeDocument/2006/relationships/hyperlink" Target="https://cyberleninka.ru/article/n/ustoychivoe-razvitie-obrazovatelnoy-organizatsii-na-osnove-upravleniya-strategicheskim-potentsialom/viewer" TargetMode="External"/><Relationship Id="rId68" Type="http://schemas.openxmlformats.org/officeDocument/2006/relationships/hyperlink" Target="https://action-education.org/wp-content/uploads/2017/09/Rapport_BanqueMondiale-Education_2017.pdf" TargetMode="External"/><Relationship Id="rId84" Type="http://schemas.openxmlformats.org/officeDocument/2006/relationships/hyperlink" Target="https://doi.org/10.25115/psye.v7i3.519" TargetMode="External"/><Relationship Id="rId89" Type="http://schemas.openxmlformats.org/officeDocument/2006/relationships/hyperlink" Target="https://onlinelibrary.wiley.com/doi/10.1111/ijtd.12276" TargetMode="External"/><Relationship Id="rId112" Type="http://schemas.openxmlformats.org/officeDocument/2006/relationships/hyperlink" Target="https://www.un.org/sustainabledevelopment/ru/globalpartnerships/" TargetMode="External"/><Relationship Id="rId133" Type="http://schemas.openxmlformats.org/officeDocument/2006/relationships/theme" Target="theme/theme1.xml"/><Relationship Id="rId16" Type="http://schemas.openxmlformats.org/officeDocument/2006/relationships/hyperlink" Target="https://ped.kz/kolledzhi-shymkenta/vysshij-medicinskij-kolledzh-shymkenta/?utm_source=chatgpt.com" TargetMode="External"/><Relationship Id="rId107" Type="http://schemas.openxmlformats.org/officeDocument/2006/relationships/hyperlink" Target="https://www.jstor.org/stable/259035" TargetMode="External"/><Relationship Id="rId11" Type="http://schemas.openxmlformats.org/officeDocument/2006/relationships/hyperlink" Target="https://ped.kz/kolledzhi-shymkenta/vysshij-medicinskij-kolledzh-shymkenta/?utm_source=chatgpt.com" TargetMode="External"/><Relationship Id="rId32" Type="http://schemas.openxmlformats.org/officeDocument/2006/relationships/image" Target="media/image5.png"/><Relationship Id="rId37" Type="http://schemas.openxmlformats.org/officeDocument/2006/relationships/image" Target="media/image9.png"/><Relationship Id="rId53" Type="http://schemas.openxmlformats.org/officeDocument/2006/relationships/image" Target="media/image18.png"/><Relationship Id="rId58" Type="http://schemas.openxmlformats.org/officeDocument/2006/relationships/hyperlink" Target="https://adilet.zan.kz/rus/docs/P2300000249" TargetMode="External"/><Relationship Id="rId74" Type="http://schemas.openxmlformats.org/officeDocument/2006/relationships/hyperlink" Target="https://journals.sagepub.com/doi/abs/10.3102/0091732X16678602" TargetMode="External"/><Relationship Id="rId79" Type="http://schemas.openxmlformats.org/officeDocument/2006/relationships/hyperlink" Target="https://www.etf.europa.eu/sites/default/files/2021-01/ppps_for_skills_development_volume_i.pdf" TargetMode="External"/><Relationship Id="rId102" Type="http://schemas.openxmlformats.org/officeDocument/2006/relationships/hyperlink" Target="https://doi.org/10.1016/j.jik.2025.100497" TargetMode="External"/><Relationship Id="rId123" Type="http://schemas.openxmlformats.org/officeDocument/2006/relationships/hyperlink" Target="https://adilet.zan.kz/rus/docs/V2200029329?utm_source=chatgpt.com" TargetMode="External"/><Relationship Id="rId128" Type="http://schemas.openxmlformats.org/officeDocument/2006/relationships/hyperlink" Target="https://www.labirint.ru/pubhouse/2506/" TargetMode="External"/><Relationship Id="rId5" Type="http://schemas.openxmlformats.org/officeDocument/2006/relationships/webSettings" Target="webSettings.xml"/><Relationship Id="rId90" Type="http://schemas.openxmlformats.org/officeDocument/2006/relationships/hyperlink" Target="https://www.gov.kz/memleket/entities/edu" TargetMode="External"/><Relationship Id="rId95" Type="http://schemas.openxmlformats.org/officeDocument/2006/relationships/hyperlink" Target="https://edvision-group.com/blog/sistemy-professionalnogo-obrazovaniya-za-rubezhom-dualnaya-model-kolledzhi-i-tvet-provajdery/" TargetMode="External"/><Relationship Id="rId14" Type="http://schemas.openxmlformats.org/officeDocument/2006/relationships/hyperlink" Target="https://ped.kz/kolledzhi-shymkenta/vysshij-medicinskij-kolledzh-shymkenta/?utm_source=chatgpt.com" TargetMode="External"/><Relationship Id="rId22" Type="http://schemas.openxmlformats.org/officeDocument/2006/relationships/hyperlink" Target="https://shmk.edu.kz/uchebnaya-chast/?utm_source=chatgpt.com" TargetMode="External"/><Relationship Id="rId27" Type="http://schemas.openxmlformats.org/officeDocument/2006/relationships/hyperlink" Target="https://shmk.edu.kz/kak-postupit/" TargetMode="External"/><Relationship Id="rId30" Type="http://schemas.openxmlformats.org/officeDocument/2006/relationships/hyperlink" Target="https://shmk.edu.kz/shtatnoe-raspisanie/" TargetMode="External"/><Relationship Id="rId35" Type="http://schemas.openxmlformats.org/officeDocument/2006/relationships/image" Target="media/image7.png"/><Relationship Id="rId43" Type="http://schemas.openxmlformats.org/officeDocument/2006/relationships/chart" Target="charts/chart5.xml"/><Relationship Id="rId48" Type="http://schemas.openxmlformats.org/officeDocument/2006/relationships/image" Target="media/image13.png"/><Relationship Id="rId56" Type="http://schemas.openxmlformats.org/officeDocument/2006/relationships/hyperlink" Target="https://www.gov.kz/memleket/entities/maidd" TargetMode="External"/><Relationship Id="rId64" Type="http://schemas.openxmlformats.org/officeDocument/2006/relationships/hyperlink" Target="https://moluch.ru/archive/556/122269" TargetMode="External"/><Relationship Id="rId69" Type="http://schemas.openxmlformats.org/officeDocument/2006/relationships/hyperlink" Target="file:///C:/Users/Admin/Downloads/osnovnye&#8211;napravleniya&#8211;gosudarstvennoy&#8211;politiki&#8211;v&#8211;professionalnom&#8211;obrazovanii&#8211;i&#8211;puti&#8211;ih&#8211;realizatsii.pdf" TargetMode="External"/><Relationship Id="rId77" Type="http://schemas.openxmlformats.org/officeDocument/2006/relationships/hyperlink" Target="https://revue.ijafame.com/index.php/home/article/downloadd" TargetMode="External"/><Relationship Id="rId100" Type="http://schemas.openxmlformats.org/officeDocument/2006/relationships/hyperlink" Target="https://doi.org/10.3389/fpsyg.2024.1376399" TargetMode="External"/><Relationship Id="rId105" Type="http://schemas.openxmlformats.org/officeDocument/2006/relationships/hyperlink" Target="https://ejbm.apu.edu.my/index.php/EJBM/article/download/18/16" TargetMode="External"/><Relationship Id="rId113" Type="http://schemas.openxmlformats.org/officeDocument/2006/relationships/hyperlink" Target="https://wecoop.eu/ru/glossary/green-deal" TargetMode="External"/><Relationship Id="rId118" Type="http://schemas.openxmlformats.org/officeDocument/2006/relationships/hyperlink" Target="https://zakon.uchet.kz/rus/docs/P2400000454?utm_source=chatgpt.com" TargetMode="External"/><Relationship Id="rId126" Type="http://schemas.openxmlformats.org/officeDocument/2006/relationships/hyperlink" Target="https://adilet.zan.kz/rus/docs/V2200028716" TargetMode="External"/><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hyperlink" Target="https://cyberleninka.ru/article/n/obrazovatelnye&#8211;tehnologii&#8211;kak&#8211;potentsial&#8211;rosta&#8211;adaptatsii&#8211;vypusknikov&#8211;vuzov" TargetMode="External"/><Relationship Id="rId80" Type="http://schemas.openxmlformats.org/officeDocument/2006/relationships/hyperlink" Target="https://www.researchgate.net/publication/280702844_The_Dual_System_of_Vocational_Education_and_Training_in_Germany_&#8211;What_Can_Be_Learnt_About_Education_for_Other_Professions" TargetMode="External"/><Relationship Id="rId85" Type="http://schemas.openxmlformats.org/officeDocument/2006/relationships/hyperlink" Target="OECD" TargetMode="External"/><Relationship Id="rId93" Type="http://schemas.openxmlformats.org/officeDocument/2006/relationships/hyperlink" Target="https://wikicity.kz/biz/evraziyskiy-agrarnyy-kolledzh-almaty" TargetMode="External"/><Relationship Id="rId98" Type="http://schemas.openxmlformats.org/officeDocument/2006/relationships/hyperlink" Target="https://www.gov.kz/memleket/entities/mfa/press/news/details/1000264" TargetMode="External"/><Relationship Id="rId121" Type="http://schemas.openxmlformats.org/officeDocument/2006/relationships/hyperlink" Target="https://atameken.kz/ru/services/16&#8211;professionalnyye&#8211;standarty&#8211;i&#8211;tsentry&#8211;sertifikatsii&#8211;nsk" TargetMode="External"/><Relationship Id="rId3" Type="http://schemas.openxmlformats.org/officeDocument/2006/relationships/styles" Target="styles.xml"/><Relationship Id="rId12" Type="http://schemas.openxmlformats.org/officeDocument/2006/relationships/hyperlink" Target="https://ped.kz/kolledzhi-shymkenta/vysshij-medicinskij-kolledzh-shymkenta/?utm_source=chatgpt.com" TargetMode="External"/><Relationship Id="rId17" Type="http://schemas.openxmlformats.org/officeDocument/2006/relationships/hyperlink" Target="https://ped.kz/kolledzhi-shymkenta/vysshij-medicinskij-kolledzh-shymkenta/?utm_source=chatgpt.com" TargetMode="External"/><Relationship Id="rId25" Type="http://schemas.openxmlformats.org/officeDocument/2006/relationships/hyperlink" Target="https://shmk.edu.kz/kak-postupit/" TargetMode="External"/><Relationship Id="rId33" Type="http://schemas.openxmlformats.org/officeDocument/2006/relationships/image" Target="media/image6.png"/><Relationship Id="rId38" Type="http://schemas.openxmlformats.org/officeDocument/2006/relationships/image" Target="media/image10.png"/><Relationship Id="rId46" Type="http://schemas.openxmlformats.org/officeDocument/2006/relationships/image" Target="media/image12.png"/><Relationship Id="rId59" Type="http://schemas.openxmlformats.org/officeDocument/2006/relationships/hyperlink" Target="https://shmk.edu.kz/about-us/" TargetMode="External"/><Relationship Id="rId67" Type="http://schemas.openxmlformats.org/officeDocument/2006/relationships/hyperlink" Target="https://cyberleninka.ru/article/n/innovatsionnye-obrazovatelnye-tehnologii-v-universitetah-i-kolledzhah-transnatsionalnyy-trend" TargetMode="External"/><Relationship Id="rId103" Type="http://schemas.openxmlformats.org/officeDocument/2006/relationships/hyperlink" Target="https://www.sciencedirect.com/science/article/pii/S2444569X25000599" TargetMode="External"/><Relationship Id="rId108" Type="http://schemas.openxmlformats.org/officeDocument/2006/relationships/hyperlink" Target="https://jeffreypfeffer.com/books/the&#8211;human&#8211;equation" TargetMode="External"/><Relationship Id="rId116" Type="http://schemas.openxmlformats.org/officeDocument/2006/relationships/hyperlink" Target="https://adilet.zan.kz/rus/docs/P2200000945?utm_source=chatgpt.com" TargetMode="External"/><Relationship Id="rId124" Type="http://schemas.openxmlformats.org/officeDocument/2006/relationships/hyperlink" Target="https://www.gov.kz/memleket/entities/edu/documents/details/120909?lang=ru" TargetMode="External"/><Relationship Id="rId129" Type="http://schemas.openxmlformats.org/officeDocument/2006/relationships/footer" Target="footer1.xml"/><Relationship Id="rId20" Type="http://schemas.openxmlformats.org/officeDocument/2006/relationships/hyperlink" Target="https://ped.kz/kolledzhi-shymkenta/vysshij-medicinskij-kolledzh-shymkenta/?utm_source=chatgpt.com" TargetMode="External"/><Relationship Id="rId41" Type="http://schemas.openxmlformats.org/officeDocument/2006/relationships/image" Target="media/image11.emf"/><Relationship Id="rId54" Type="http://schemas.openxmlformats.org/officeDocument/2006/relationships/image" Target="media/image19.png"/><Relationship Id="rId62" Type="http://schemas.openxmlformats.org/officeDocument/2006/relationships/hyperlink" Target="https://www.scientific-heritage.com/wp-content/uploads/2025/08/The-scientific-heritage-No-167-167-2025.pdf" TargetMode="External"/><Relationship Id="rId70" Type="http://schemas.openxmlformats.org/officeDocument/2006/relationships/hyperlink" Target="https://www.worldbank.org" TargetMode="External"/><Relationship Id="rId75" Type="http://schemas.openxmlformats.org/officeDocument/2006/relationships/hyperlink" Target="https://www.researchgate.net/publication/362471192_Models_of_private_sector_involvement_in_vocational_education_and_training" TargetMode="External"/><Relationship Id="rId83" Type="http://schemas.openxmlformats.org/officeDocument/2006/relationships/hyperlink" Target="https://doi.org/10.51379/KPJ.2023.158.1.046" TargetMode="External"/><Relationship Id="rId88" Type="http://schemas.openxmlformats.org/officeDocument/2006/relationships/hyperlink" Target="https://doi.org/" TargetMode="External"/><Relationship Id="rId91" Type="http://schemas.openxmlformats.org/officeDocument/2006/relationships/hyperlink" Target="https://www.gov.kz/memleket/entities/edu" TargetMode="External"/><Relationship Id="rId96" Type="http://schemas.openxmlformats.org/officeDocument/2006/relationships/hyperlink" Target="https://cpk.aues.kz/en/laboratories/2" TargetMode="External"/><Relationship Id="rId111" Type="http://schemas.openxmlformats.org/officeDocument/2006/relationships/hyperlink" Target="https://academic.oup.com/book/26255"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ed.kz/kolledzhi-shymkenta/vysshij-medicinskij-kolledzh-shymkenta/?utm_source=chatgpt.com" TargetMode="External"/><Relationship Id="rId23" Type="http://schemas.openxmlformats.org/officeDocument/2006/relationships/hyperlink" Target="https://adilet.zan.kz/rus/docs/V2200028716?utm_source=chatgpt.com" TargetMode="External"/><Relationship Id="rId28" Type="http://schemas.openxmlformats.org/officeDocument/2006/relationships/hyperlink" Target="https://shmk.kz/torzhestvennoe-meropriyatie-posvyashhennoe-dnyu-uchitelya-i-dnyu-pozhilyh-lyudej/?utm_source=chatgpt.com" TargetMode="External"/><Relationship Id="rId36" Type="http://schemas.openxmlformats.org/officeDocument/2006/relationships/image" Target="media/image8.png"/><Relationship Id="rId49" Type="http://schemas.openxmlformats.org/officeDocument/2006/relationships/image" Target="media/image14.emf"/><Relationship Id="rId57" Type="http://schemas.openxmlformats.org/officeDocument/2006/relationships/hyperlink" Target="https://www.gov.kz/memleket/entities/maidd/activities/14764" TargetMode="External"/><Relationship Id="rId106" Type="http://schemas.openxmlformats.org/officeDocument/2006/relationships/hyperlink" Target="https://www.mdpi.com/2071-1050/17/5/2015" TargetMode="External"/><Relationship Id="rId114" Type="http://schemas.openxmlformats.org/officeDocument/2006/relationships/hyperlink" Target="https://www.iso.org/obp/ui" TargetMode="External"/><Relationship Id="rId119" Type="http://schemas.openxmlformats.org/officeDocument/2006/relationships/hyperlink" Target="https://adilet.zan.kz/rus/docs/Z070000319" TargetMode="External"/><Relationship Id="rId127" Type="http://schemas.openxmlformats.org/officeDocument/2006/relationships/hyperlink" Target="https://adilet.zan.kz/rus/docs/V2200028716" TargetMode="External"/><Relationship Id="rId10" Type="http://schemas.openxmlformats.org/officeDocument/2006/relationships/image" Target="media/image3.png"/><Relationship Id="rId31" Type="http://schemas.openxmlformats.org/officeDocument/2006/relationships/hyperlink" Target="https://shmk.edu.kz/kak-postupit/" TargetMode="External"/><Relationship Id="rId44" Type="http://schemas.openxmlformats.org/officeDocument/2006/relationships/chart" Target="charts/chart6.xml"/><Relationship Id="rId52" Type="http://schemas.openxmlformats.org/officeDocument/2006/relationships/image" Target="media/image17.png"/><Relationship Id="rId60" Type="http://schemas.openxmlformats.org/officeDocument/2006/relationships/hyperlink" Target="https://stat.gov.kz/ru/industries/social-statistics/stat-edu-science-inno/publications/282704/" TargetMode="External"/><Relationship Id="rId65" Type="http://schemas.openxmlformats.org/officeDocument/2006/relationships/hyperlink" Target="https://doi.org/10.30525/2256-0742/2021-7-2-118-128" TargetMode="External"/><Relationship Id="rId73" Type="http://schemas.openxmlformats.org/officeDocument/2006/relationships/hyperlink" Target="https://www.mdpi.com/2076-328X/14/10/859" TargetMode="External"/><Relationship Id="rId78" Type="http://schemas.openxmlformats.org/officeDocument/2006/relationships/hyperlink" Target="https://thomasremington.com/wp&#8211;content/uploads/2022/08/Public&#8211;private&#8211;partnerships&#8211;in&#8211;TVET&#8211;adapting&#8211;the&#8211;dual&#8211;system&#8211;in&#8211;US&#8211;JVET&#8211;TR&#8211;2018.pdf" TargetMode="External"/><Relationship Id="rId81" Type="http://schemas.openxmlformats.org/officeDocument/2006/relationships/hyperlink" Target="https://www.bertelsmann&#8211;stiftung.de/fileadmin/files/BSt/Publikationen/GrauePublikationen/GP_Germanys_dual_vocational_training_system.pdf" TargetMode="External"/><Relationship Id="rId86" Type="http://schemas.openxmlformats.org/officeDocument/2006/relationships/hyperlink" Target="https://www.oecd.org/en/publications/vocational&#8211;education&#8211;and&#8211;training&#8211;and&#8211;the&#8211;green&#8211;transition&#8211;in&#8211;finland_4d29a34a&#8211;en/full&#8211;report/supporting&#8211;learners&#8211;in&#8211;the&#8211;green&#8211;transition&#8211;through&#8211;strong&#8211;career&#8211;guidance&#8211;and&#8211;excellence&#8211;in&#8211;teaching&#8211;in&#8211;vocational&#8211;education&#8211;and&#8211;training_27d30cd1.html?" TargetMode="External"/><Relationship Id="rId94" Type="http://schemas.openxmlformats.org/officeDocument/2006/relationships/hyperlink" Target="https://shtk.edu.kz/ru/dualnoe-obrazovanie/" TargetMode="External"/><Relationship Id="rId99" Type="http://schemas.openxmlformats.org/officeDocument/2006/relationships/hyperlink" Target="https://inbusiness.kz/ru/last/uchebnye-kursy-siemens-budut-integrirovanny-v-kazahstanskuyu-sistemu" TargetMode="External"/><Relationship Id="rId101" Type="http://schemas.openxmlformats.org/officeDocument/2006/relationships/hyperlink" Target="https://www.frontiersin.org/articles/10.3389/fpsyg.2024.1376399/full" TargetMode="External"/><Relationship Id="rId122" Type="http://schemas.openxmlformats.org/officeDocument/2006/relationships/hyperlink" Target="https://adilet.zan.kz/rus/docs/V2200029031" TargetMode="External"/><Relationship Id="rId13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ped.kz/kolledzhi-shymkenta/vysshij-medicinskij-kolledzh-shymkenta/?utm_source=chatgpt.com" TargetMode="External"/><Relationship Id="rId18" Type="http://schemas.openxmlformats.org/officeDocument/2006/relationships/hyperlink" Target="https://ped.kz/kolledzhi-shymkenta/vysshij-medicinskij-kolledzh-shymkenta/?utm_source=chatgpt.com" TargetMode="External"/><Relationship Id="rId39" Type="http://schemas.openxmlformats.org/officeDocument/2006/relationships/chart" Target="charts/chart2.xml"/><Relationship Id="rId109" Type="http://schemas.openxmlformats.org/officeDocument/2006/relationships/hyperlink" Target="https://books.google.kz/books/about/Organizational_Culture_and_Leadership.html?id=THQa4txcMl4C&amp;redir_esc=y" TargetMode="External"/><Relationship Id="rId34" Type="http://schemas.openxmlformats.org/officeDocument/2006/relationships/chart" Target="charts/chart1.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hyperlink" Target="https://lib.iitta.gov.ua/id/eprint/731889/193-1-10-20230206.pdf" TargetMode="External"/><Relationship Id="rId97" Type="http://schemas.openxmlformats.org/officeDocument/2006/relationships/hyperlink" Target="https://ineu.edu.kz/ru/novosti-i-sobytija/501-vstrecha-uchastnikov-proekta-dualnoe-obuchenie-specialistov-po-avtomatizacii-i-robototehnike.html" TargetMode="External"/><Relationship Id="rId104" Type="http://schemas.openxmlformats.org/officeDocument/2006/relationships/hyperlink" Target="https://ejbm.apu.edu.my/index.php/EJBM/article/view/18" TargetMode="External"/><Relationship Id="rId120" Type="http://schemas.openxmlformats.org/officeDocument/2006/relationships/hyperlink" Target="https://adilet.zan.kz/rus/docs/V2300031672?utm_source=chatgpt.com" TargetMode="External"/><Relationship Id="rId125" Type="http://schemas.openxmlformats.org/officeDocument/2006/relationships/hyperlink" Target="https://www.gov.kz/memleket/entities/dsm/documents/details/16750?lang=ru" TargetMode="External"/><Relationship Id="rId7" Type="http://schemas.openxmlformats.org/officeDocument/2006/relationships/endnotes" Target="endnotes.xml"/><Relationship Id="rId71" Type="http://schemas.openxmlformats.org/officeDocument/2006/relationships/hyperlink" Target="https://www.research-collection.ethz.ch/server/api/core/bitstreams/e7019191-63d7-40fe-8402-3b4a0023b952/content" TargetMode="External"/><Relationship Id="rId92" Type="http://schemas.openxmlformats.org/officeDocument/2006/relationships/hyperlink" Target="https://www.gov.kz/memleket/entities/edu/press/news/details/501209" TargetMode="External"/><Relationship Id="rId2" Type="http://schemas.openxmlformats.org/officeDocument/2006/relationships/numbering" Target="numbering.xml"/><Relationship Id="rId29" Type="http://schemas.openxmlformats.org/officeDocument/2006/relationships/hyperlink" Target="https://new.skma.edu.kz/uploads/%D0%9A%D0%B0%D1%84%D0%B5%D0%B4%D1%80%D1%8B/%D0%9A%D0%B0%D1%84%D0%B5%D0%B4%D1%80%D0%B0%20%D1%82%D0%B5%D1%80%D0%B0%D0%BF%D0%B5%D0%B2%D1%82%D0%B8%D1%87%D0%B5%D1%81%D0%BA%D0%BE%D0%B9%20%D0%B8%20%D0%B4%D0%B5%D1%82%D1%81%D0%BA%D0%BE%D0%B9%20%D1%81%D1%82%D0%BE%D0%BC%D0%B0%D1%82%D0%BE%D0%BB%D0%BE%D0%B3%D0%B8%D0%B8/%D0%9F%D0%BE%D1%80%D1%82%D1%84%D0%BE%D0%BB%D0%B8%D0%BE/%D0%91%D0%B0%D1%82%D1%8B%D1%80%D1%85%D0%BE%D0%B4%D0%B6%D0%B0%D0%B5%D0%B2%D0%B0%20%D0%9C%D0%B0%D0%B4%D0%B8%D0%BD%D0%B0.pdf?utm_source=chatgpt.com" TargetMode="External"/><Relationship Id="rId24" Type="http://schemas.openxmlformats.org/officeDocument/2006/relationships/image" Target="media/image4.png"/><Relationship Id="rId40" Type="http://schemas.openxmlformats.org/officeDocument/2006/relationships/chart" Target="charts/chart3.xml"/><Relationship Id="rId45" Type="http://schemas.openxmlformats.org/officeDocument/2006/relationships/chart" Target="charts/chart7.xml"/><Relationship Id="rId66" Type="http://schemas.openxmlformats.org/officeDocument/2006/relationships/hyperlink" Target="https://pdfs.semanticscholar.org/7245/f29632c546435bb7f07523ccf6357ff48383.pdf" TargetMode="External"/><Relationship Id="rId87" Type="http://schemas.openxmlformats.org/officeDocument/2006/relationships/hyperlink" Target="https://adilet.zan.kz/rus/docs/P1800000746" TargetMode="External"/><Relationship Id="rId110" Type="http://schemas.openxmlformats.org/officeDocument/2006/relationships/hyperlink" Target="https://academic.oup.com/book/26255" TargetMode="External"/><Relationship Id="rId115" Type="http://schemas.openxmlformats.org/officeDocument/2006/relationships/hyperlink" Target="https://damu.kz/ru/o-fonde/esg/esg_pr" TargetMode="External"/><Relationship Id="rId131" Type="http://schemas.openxmlformats.org/officeDocument/2006/relationships/footer" Target="footer3.xml"/><Relationship Id="rId61" Type="http://schemas.openxmlformats.org/officeDocument/2006/relationships/hyperlink" Target="https://shmk.edu.kz/media/" TargetMode="External"/><Relationship Id="rId82" Type="http://schemas.openxmlformats.org/officeDocument/2006/relationships/hyperlink" Target="https://drpress.org/ojs/index.php/jeer/article/view/29762" TargetMode="External"/><Relationship Id="rId19" Type="http://schemas.openxmlformats.org/officeDocument/2006/relationships/hyperlink" Target="https://ped.kz/kolledzhi-shymkenta/vysshij-medicinskij-kolledzh-shymkenta/?utm_source=chatgpt.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29531a464203b681/&#1056;&#1072;&#1073;&#1086;&#1095;&#1080;&#1081;%20&#1089;&#1090;&#1086;&#1083;/&#1045;&#1096;&#1086;&#1074;&#1072;/&#1088;&#1077;&#1075;&#1088;&#1077;&#1089;&#1089;&#1080;&#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1727\Downloads\4.2.%20&#1063;&#1080;&#1089;&#1083;&#1077;&#1085;&#1085;&#1086;&#1089;&#1090;&#1100;%20&#1089;&#1090;&#1091;&#1076;&#1077;&#1085;&#1090;&#1086;&#1074;%20&#1058;&#1048;&#1055;&#105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1727\Downloads\4.5.%20&#1063;&#1080;&#1089;&#1083;&#1077;&#1085;&#1085;&#1086;&#1089;&#1090;&#1100;%20&#1087;&#1088;&#1077;&#1087;&#1086;&#1076;&#1086;&#1074;&#1072;&#1090;&#1077;&#1083;&#1077;&#1081;%20&#1074;%20&#1086;&#1088;&#1075;&#1072;&#1085;&#1080;&#1079;&#1072;&#1094;&#1080;&#1103;&#1093;%20&#1058;&#1048;&#1055;&#105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1727\Downloads\4.3.%20&#1055;&#1088;&#1080;&#1077;&#1084;%20&#1086;&#1073;&#1091;&#1095;&#1072;&#1102;&#1097;&#1080;&#1093;&#1089;&#1103;%20&#1074;%20&#1086;&#1088;&#1075;&#1072;&#1085;&#1080;&#1079;&#1072;&#1094;&#1080;&#1103;&#1093;%20&#1058;&#1048;&#1055;&#1054;.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d.docs.live.net/29531a464203b681/&#1056;&#1072;&#1073;&#1086;&#1095;&#1080;&#1081;%20&#1089;&#1090;&#1086;&#1083;/&#1040;&#1073;&#1080;&#1096;&#1077;&#1074;/4.2%20(version%20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d.docs.live.net/29531a464203b681/&#1056;&#1072;&#1073;&#1086;&#1095;&#1080;&#1081;%20&#1089;&#1090;&#1086;&#1083;/&#1040;&#1073;&#1080;&#1096;&#1077;&#1074;%20&#1052;&#1080;&#1088;&#1074;&#1099;&#1077;%20&#1076;&#1072;&#1085;&#1085;&#1099;&#107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d.docs.live.net/29531a464203b681/&#1056;&#1072;&#1073;&#1086;&#1095;&#1080;&#1081;%20&#1089;&#1090;&#1086;&#1083;/&#1040;&#1073;&#1080;&#1096;&#1077;&#1074;/&#1043;&#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Лист3!$K$3</c:f>
              <c:strCache>
                <c:ptCount val="1"/>
                <c:pt idx="0">
                  <c:v>Штатные</c:v>
                </c:pt>
              </c:strCache>
            </c:strRef>
          </c:tx>
          <c:spPr>
            <a:solidFill>
              <a:schemeClr val="accent3">
                <a:lumMod val="20000"/>
                <a:lumOff val="80000"/>
              </a:schemeClr>
            </a:solidFill>
            <a:ln>
              <a:noFill/>
            </a:ln>
            <a:effectLst/>
          </c:spPr>
          <c:cat>
            <c:strRef>
              <c:f>Лист3!$J$4:$J$8</c:f>
              <c:strCache>
                <c:ptCount val="5"/>
                <c:pt idx="0">
                  <c:v>2020–2021</c:v>
                </c:pt>
                <c:pt idx="1">
                  <c:v>2021–2022</c:v>
                </c:pt>
                <c:pt idx="2">
                  <c:v>2022–2023</c:v>
                </c:pt>
                <c:pt idx="3">
                  <c:v>2023–2024</c:v>
                </c:pt>
                <c:pt idx="4">
                  <c:v>2024–2025</c:v>
                </c:pt>
              </c:strCache>
            </c:strRef>
          </c:cat>
          <c:val>
            <c:numRef>
              <c:f>Лист3!$K$4:$K$8</c:f>
              <c:numCache>
                <c:formatCode>General</c:formatCode>
                <c:ptCount val="5"/>
                <c:pt idx="0">
                  <c:v>132</c:v>
                </c:pt>
                <c:pt idx="1">
                  <c:v>141</c:v>
                </c:pt>
                <c:pt idx="2">
                  <c:v>144</c:v>
                </c:pt>
                <c:pt idx="3">
                  <c:v>167</c:v>
                </c:pt>
                <c:pt idx="4">
                  <c:v>167</c:v>
                </c:pt>
              </c:numCache>
            </c:numRef>
          </c:val>
          <c:extLst xmlns:c16r2="http://schemas.microsoft.com/office/drawing/2015/06/chart">
            <c:ext xmlns:c16="http://schemas.microsoft.com/office/drawing/2014/chart" uri="{C3380CC4-5D6E-409C-BE32-E72D297353CC}">
              <c16:uniqueId val="{00000000-B5F2-478B-8D37-D0CEB86A28DA}"/>
            </c:ext>
          </c:extLst>
        </c:ser>
        <c:gapWidth val="36"/>
        <c:overlap val="-27"/>
        <c:axId val="260314240"/>
        <c:axId val="260317184"/>
      </c:barChart>
      <c:lineChart>
        <c:grouping val="stacked"/>
        <c:ser>
          <c:idx val="1"/>
          <c:order val="1"/>
          <c:tx>
            <c:strRef>
              <c:f>Лист3!$L$3</c:f>
              <c:strCache>
                <c:ptCount val="1"/>
                <c:pt idx="0">
                  <c:v>Доля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Лист3!$J$4:$J$8</c:f>
              <c:strCache>
                <c:ptCount val="5"/>
                <c:pt idx="0">
                  <c:v>2020–2021</c:v>
                </c:pt>
                <c:pt idx="1">
                  <c:v>2021–2022</c:v>
                </c:pt>
                <c:pt idx="2">
                  <c:v>2022–2023</c:v>
                </c:pt>
                <c:pt idx="3">
                  <c:v>2023–2024</c:v>
                </c:pt>
                <c:pt idx="4">
                  <c:v>2024–2025</c:v>
                </c:pt>
              </c:strCache>
            </c:strRef>
          </c:cat>
          <c:val>
            <c:numRef>
              <c:f>Лист3!$L$4:$L$8</c:f>
              <c:numCache>
                <c:formatCode>General</c:formatCode>
                <c:ptCount val="5"/>
                <c:pt idx="0">
                  <c:v>71.3</c:v>
                </c:pt>
                <c:pt idx="1">
                  <c:v>68.099999999999994</c:v>
                </c:pt>
                <c:pt idx="2">
                  <c:v>82.3</c:v>
                </c:pt>
                <c:pt idx="3">
                  <c:v>77.7</c:v>
                </c:pt>
                <c:pt idx="4">
                  <c:v>81</c:v>
                </c:pt>
              </c:numCache>
            </c:numRef>
          </c:val>
          <c:extLst xmlns:c16r2="http://schemas.microsoft.com/office/drawing/2015/06/chart">
            <c:ext xmlns:c16="http://schemas.microsoft.com/office/drawing/2014/chart" uri="{C3380CC4-5D6E-409C-BE32-E72D297353CC}">
              <c16:uniqueId val="{00000001-B5F2-478B-8D37-D0CEB86A28DA}"/>
            </c:ext>
          </c:extLst>
        </c:ser>
        <c:marker val="1"/>
        <c:axId val="260348160"/>
        <c:axId val="260346624"/>
      </c:lineChart>
      <c:catAx>
        <c:axId val="2603142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17184"/>
        <c:crosses val="autoZero"/>
        <c:auto val="1"/>
        <c:lblAlgn val="ctr"/>
        <c:lblOffset val="100"/>
      </c:catAx>
      <c:valAx>
        <c:axId val="2603171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14240"/>
        <c:crosses val="autoZero"/>
        <c:crossBetween val="between"/>
      </c:valAx>
      <c:valAx>
        <c:axId val="260346624"/>
        <c:scaling>
          <c:orientation val="minMax"/>
        </c:scaling>
        <c:axPos val="r"/>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48160"/>
        <c:crosses val="max"/>
        <c:crossBetween val="between"/>
      </c:valAx>
      <c:catAx>
        <c:axId val="260348160"/>
        <c:scaling>
          <c:orientation val="minMax"/>
        </c:scaling>
        <c:delete val="1"/>
        <c:axPos val="b"/>
        <c:numFmt formatCode="General" sourceLinked="1"/>
        <c:tickLblPos val="none"/>
        <c:crossAx val="260346624"/>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Лист1!$J$3</c:f>
              <c:strCache>
                <c:ptCount val="1"/>
                <c:pt idx="0">
                  <c:v>Количество организаций, ед.</c:v>
                </c:pt>
              </c:strCache>
            </c:strRef>
          </c:tx>
          <c:spPr>
            <a:solidFill>
              <a:schemeClr val="accent3">
                <a:lumMod val="40000"/>
                <a:lumOff val="60000"/>
              </a:schemeClr>
            </a:solidFill>
            <a:ln>
              <a:noFill/>
            </a:ln>
            <a:effectLst/>
          </c:spPr>
          <c:dLbls>
            <c:dLbl>
              <c:idx val="11"/>
              <c:layout>
                <c:manualLayout>
                  <c:x val="-3.9447725628954438E-3"/>
                  <c:y val="0.1282051282051281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9F-4A1D-A00E-5F8E1473C57F}"/>
                </c:ext>
              </c:extLst>
            </c:dLbl>
            <c:dLbl>
              <c:idx val="17"/>
              <c:layout>
                <c:manualLayout>
                  <c:x val="-1.4463998974599568E-16"/>
                  <c:y val="0.1153846153846153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9F-4A1D-A00E-5F8E1473C57F}"/>
                </c:ext>
              </c:extLst>
            </c:dLbl>
            <c:dLbl>
              <c:idx val="18"/>
              <c:layout>
                <c:manualLayout>
                  <c:x val="0"/>
                  <c:y val="0.1987179487179489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9F-4A1D-A00E-5F8E1473C57F}"/>
                </c:ext>
              </c:extLst>
            </c:dLbl>
            <c:dLbl>
              <c:idx val="19"/>
              <c:layout>
                <c:manualLayout>
                  <c:x val="0"/>
                  <c:y val="0.1602564102564104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9F-4A1D-A00E-5F8E1473C57F}"/>
                </c:ext>
              </c:extLst>
            </c:dLbl>
            <c:spPr>
              <a:noFill/>
              <a:ln>
                <a:solidFill>
                  <a:schemeClr val="accent3">
                    <a:lumMod val="60000"/>
                    <a:lumOff val="4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Лист1!$I$4:$I$23</c:f>
              <c:strCache>
                <c:ptCount val="20"/>
                <c:pt idx="0">
                  <c:v>Абай</c:v>
                </c:pt>
                <c:pt idx="1">
                  <c:v>Акмолинская</c:v>
                </c:pt>
                <c:pt idx="2">
                  <c:v>Актюбинская</c:v>
                </c:pt>
                <c:pt idx="3">
                  <c:v>Алматинская</c:v>
                </c:pt>
                <c:pt idx="4">
                  <c:v>Атырауская</c:v>
                </c:pt>
                <c:pt idx="5">
                  <c:v>Западно-Казахстанская</c:v>
                </c:pt>
                <c:pt idx="6">
                  <c:v>Жамбылская</c:v>
                </c:pt>
                <c:pt idx="7">
                  <c:v>Жетысу</c:v>
                </c:pt>
                <c:pt idx="8">
                  <c:v>Карагандинская</c:v>
                </c:pt>
                <c:pt idx="9">
                  <c:v>Костанайская</c:v>
                </c:pt>
                <c:pt idx="10">
                  <c:v>Кызылординская</c:v>
                </c:pt>
                <c:pt idx="11">
                  <c:v>Мангистауская</c:v>
                </c:pt>
                <c:pt idx="12">
                  <c:v>Павлодарская</c:v>
                </c:pt>
                <c:pt idx="13">
                  <c:v>Северо-Казахстанская</c:v>
                </c:pt>
                <c:pt idx="14">
                  <c:v>Туркестанская</c:v>
                </c:pt>
                <c:pt idx="15">
                  <c:v>Улытау</c:v>
                </c:pt>
                <c:pt idx="16">
                  <c:v>Восточно-Казахстанская</c:v>
                </c:pt>
                <c:pt idx="17">
                  <c:v>г. Астана</c:v>
                </c:pt>
                <c:pt idx="18">
                  <c:v>г. Алматы</c:v>
                </c:pt>
                <c:pt idx="19">
                  <c:v>г. Шымкент</c:v>
                </c:pt>
              </c:strCache>
            </c:strRef>
          </c:cat>
          <c:val>
            <c:numRef>
              <c:f>Лист1!$J$4:$J$23</c:f>
              <c:numCache>
                <c:formatCode>General</c:formatCode>
                <c:ptCount val="20"/>
                <c:pt idx="0">
                  <c:v>35</c:v>
                </c:pt>
                <c:pt idx="1">
                  <c:v>31</c:v>
                </c:pt>
                <c:pt idx="2">
                  <c:v>39</c:v>
                </c:pt>
                <c:pt idx="3">
                  <c:v>38</c:v>
                </c:pt>
                <c:pt idx="4">
                  <c:v>26</c:v>
                </c:pt>
                <c:pt idx="5">
                  <c:v>34</c:v>
                </c:pt>
                <c:pt idx="6">
                  <c:v>42</c:v>
                </c:pt>
                <c:pt idx="7">
                  <c:v>22</c:v>
                </c:pt>
                <c:pt idx="8">
                  <c:v>47</c:v>
                </c:pt>
                <c:pt idx="9">
                  <c:v>33</c:v>
                </c:pt>
                <c:pt idx="10">
                  <c:v>28</c:v>
                </c:pt>
                <c:pt idx="11">
                  <c:v>24</c:v>
                </c:pt>
                <c:pt idx="12">
                  <c:v>41</c:v>
                </c:pt>
                <c:pt idx="13">
                  <c:v>24</c:v>
                </c:pt>
                <c:pt idx="14">
                  <c:v>48</c:v>
                </c:pt>
                <c:pt idx="15">
                  <c:v>14</c:v>
                </c:pt>
                <c:pt idx="16">
                  <c:v>35</c:v>
                </c:pt>
                <c:pt idx="17">
                  <c:v>30</c:v>
                </c:pt>
                <c:pt idx="18">
                  <c:v>82</c:v>
                </c:pt>
                <c:pt idx="19">
                  <c:v>38</c:v>
                </c:pt>
              </c:numCache>
            </c:numRef>
          </c:val>
          <c:extLst xmlns:c16r2="http://schemas.microsoft.com/office/drawing/2015/06/chart">
            <c:ext xmlns:c16="http://schemas.microsoft.com/office/drawing/2014/chart" uri="{C3380CC4-5D6E-409C-BE32-E72D297353CC}">
              <c16:uniqueId val="{00000004-D29F-4A1D-A00E-5F8E1473C57F}"/>
            </c:ext>
          </c:extLst>
        </c:ser>
        <c:gapWidth val="26"/>
        <c:axId val="334569472"/>
        <c:axId val="334563200"/>
      </c:barChart>
      <c:lineChart>
        <c:grouping val="standard"/>
        <c:ser>
          <c:idx val="1"/>
          <c:order val="1"/>
          <c:tx>
            <c:strRef>
              <c:f>Лист1!$K$3</c:f>
              <c:strCache>
                <c:ptCount val="1"/>
                <c:pt idx="0">
                  <c:v>Количество студентов, чел.</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Лист1!$I$4:$I$23</c:f>
              <c:strCache>
                <c:ptCount val="20"/>
                <c:pt idx="0">
                  <c:v>Абай</c:v>
                </c:pt>
                <c:pt idx="1">
                  <c:v>Акмолинская</c:v>
                </c:pt>
                <c:pt idx="2">
                  <c:v>Актюбинская</c:v>
                </c:pt>
                <c:pt idx="3">
                  <c:v>Алматинская</c:v>
                </c:pt>
                <c:pt idx="4">
                  <c:v>Атырауская</c:v>
                </c:pt>
                <c:pt idx="5">
                  <c:v>Западно-Казахстанская</c:v>
                </c:pt>
                <c:pt idx="6">
                  <c:v>Жамбылская</c:v>
                </c:pt>
                <c:pt idx="7">
                  <c:v>Жетысу</c:v>
                </c:pt>
                <c:pt idx="8">
                  <c:v>Карагандинская</c:v>
                </c:pt>
                <c:pt idx="9">
                  <c:v>Костанайская</c:v>
                </c:pt>
                <c:pt idx="10">
                  <c:v>Кызылординская</c:v>
                </c:pt>
                <c:pt idx="11">
                  <c:v>Мангистауская</c:v>
                </c:pt>
                <c:pt idx="12">
                  <c:v>Павлодарская</c:v>
                </c:pt>
                <c:pt idx="13">
                  <c:v>Северо-Казахстанская</c:v>
                </c:pt>
                <c:pt idx="14">
                  <c:v>Туркестанская</c:v>
                </c:pt>
                <c:pt idx="15">
                  <c:v>Улытау</c:v>
                </c:pt>
                <c:pt idx="16">
                  <c:v>Восточно-Казахстанская</c:v>
                </c:pt>
                <c:pt idx="17">
                  <c:v>г. Астана</c:v>
                </c:pt>
                <c:pt idx="18">
                  <c:v>г. Алматы</c:v>
                </c:pt>
                <c:pt idx="19">
                  <c:v>г. Шымкент</c:v>
                </c:pt>
              </c:strCache>
            </c:strRef>
          </c:cat>
          <c:val>
            <c:numRef>
              <c:f>Лист1!$K$4:$K$23</c:f>
              <c:numCache>
                <c:formatCode>#,##0</c:formatCode>
                <c:ptCount val="20"/>
                <c:pt idx="0">
                  <c:v>21922</c:v>
                </c:pt>
                <c:pt idx="1">
                  <c:v>21122</c:v>
                </c:pt>
                <c:pt idx="2">
                  <c:v>29016</c:v>
                </c:pt>
                <c:pt idx="3">
                  <c:v>19247</c:v>
                </c:pt>
                <c:pt idx="4">
                  <c:v>20371</c:v>
                </c:pt>
                <c:pt idx="5">
                  <c:v>16710</c:v>
                </c:pt>
                <c:pt idx="6">
                  <c:v>26917</c:v>
                </c:pt>
                <c:pt idx="7">
                  <c:v>14626</c:v>
                </c:pt>
                <c:pt idx="8">
                  <c:v>34474</c:v>
                </c:pt>
                <c:pt idx="9">
                  <c:v>22178</c:v>
                </c:pt>
                <c:pt idx="10">
                  <c:v>20220</c:v>
                </c:pt>
                <c:pt idx="11">
                  <c:v>22137</c:v>
                </c:pt>
                <c:pt idx="12">
                  <c:v>23173</c:v>
                </c:pt>
                <c:pt idx="13">
                  <c:v>11134</c:v>
                </c:pt>
                <c:pt idx="14">
                  <c:v>39521</c:v>
                </c:pt>
                <c:pt idx="15">
                  <c:v>6406</c:v>
                </c:pt>
                <c:pt idx="16">
                  <c:v>19026</c:v>
                </c:pt>
                <c:pt idx="17">
                  <c:v>37603</c:v>
                </c:pt>
                <c:pt idx="18">
                  <c:v>88285</c:v>
                </c:pt>
                <c:pt idx="19">
                  <c:v>33906</c:v>
                </c:pt>
              </c:numCache>
            </c:numRef>
          </c:val>
          <c:extLst xmlns:c16r2="http://schemas.microsoft.com/office/drawing/2015/06/chart">
            <c:ext xmlns:c16="http://schemas.microsoft.com/office/drawing/2014/chart" uri="{C3380CC4-5D6E-409C-BE32-E72D297353CC}">
              <c16:uniqueId val="{00000005-D29F-4A1D-A00E-5F8E1473C57F}"/>
            </c:ext>
          </c:extLst>
        </c:ser>
        <c:marker val="1"/>
        <c:axId val="296258560"/>
        <c:axId val="334561664"/>
      </c:lineChart>
      <c:catAx>
        <c:axId val="296258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4561664"/>
        <c:crosses val="autoZero"/>
        <c:auto val="1"/>
        <c:lblAlgn val="ctr"/>
        <c:lblOffset val="100"/>
      </c:catAx>
      <c:valAx>
        <c:axId val="33456166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258560"/>
        <c:crosses val="autoZero"/>
        <c:crossBetween val="between"/>
      </c:valAx>
      <c:valAx>
        <c:axId val="334563200"/>
        <c:scaling>
          <c:orientation val="minMax"/>
        </c:scaling>
        <c:axPos val="r"/>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4569472"/>
        <c:crosses val="max"/>
        <c:crossBetween val="between"/>
      </c:valAx>
      <c:catAx>
        <c:axId val="334569472"/>
        <c:scaling>
          <c:orientation val="minMax"/>
        </c:scaling>
        <c:delete val="1"/>
        <c:axPos val="b"/>
        <c:numFmt formatCode="General" sourceLinked="1"/>
        <c:tickLblPos val="none"/>
        <c:crossAx val="334563200"/>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9.848452582826149E-2"/>
          <c:y val="2.8938325194429387E-2"/>
          <c:w val="0.87703022097196093"/>
          <c:h val="0.8412789828292625"/>
        </c:manualLayout>
      </c:layout>
      <c:lineChart>
        <c:grouping val="standard"/>
        <c:ser>
          <c:idx val="0"/>
          <c:order val="0"/>
          <c:tx>
            <c:strRef>
              <c:f>'Всего (2)'!$A$13</c:f>
              <c:strCache>
                <c:ptCount val="1"/>
                <c:pt idx="0">
                  <c:v>Республика Казахстан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lgDash"/>
              </a:ln>
              <a:effectLst/>
            </c:spPr>
            <c:trendlineType val="poly"/>
            <c:order val="3"/>
            <c:forward val="3"/>
            <c:dispRSqr val="1"/>
            <c:dispEq val="1"/>
            <c:trendlineLbl>
              <c:layout>
                <c:manualLayout>
                  <c:x val="-0.19343245283609331"/>
                  <c:y val="-3.6221285683855776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400" baseline="0"/>
                      <a:t>y = 165.57x</a:t>
                    </a:r>
                    <a:r>
                      <a:rPr lang="en-US" sz="1400" baseline="30000"/>
                      <a:t>3</a:t>
                    </a:r>
                    <a:r>
                      <a:rPr lang="en-US" sz="1400" baseline="0"/>
                      <a:t> - 8155.9x</a:t>
                    </a:r>
                    <a:r>
                      <a:rPr lang="en-US" sz="1400" baseline="30000"/>
                      <a:t>2</a:t>
                    </a:r>
                    <a:r>
                      <a:rPr lang="en-US" sz="1400" baseline="0"/>
                      <a:t> + 123950x - 41673</a:t>
                    </a:r>
                    <a:br>
                      <a:rPr lang="en-US" sz="1400" baseline="0"/>
                    </a:br>
                    <a:r>
                      <a:rPr lang="en-US" sz="1400" baseline="0"/>
                      <a:t>R² = 0.8917</a:t>
                    </a:r>
                    <a:endParaRPr lang="en-US" sz="1400"/>
                  </a:p>
                </c:rich>
              </c:tx>
              <c:numFmt formatCode="General" sourceLinked="0"/>
              <c:spPr>
                <a:noFill/>
                <a:ln>
                  <a:noFill/>
                </a:ln>
                <a:effectLst/>
              </c:spPr>
            </c:trendlineLbl>
          </c:trendline>
          <c:cat>
            <c:numRef>
              <c:f>'Всего (2)'!$B$12:$Z$12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'Всего (2)'!$B$13:$Z$13</c:f>
              <c:numCache>
                <c:formatCode>#,##0</c:formatCode>
                <c:ptCount val="25"/>
                <c:pt idx="0">
                  <c:v>168189</c:v>
                </c:pt>
                <c:pt idx="1">
                  <c:v>196239</c:v>
                </c:pt>
                <c:pt idx="2">
                  <c:v>211346</c:v>
                </c:pt>
                <c:pt idx="3">
                  <c:v>250935</c:v>
                </c:pt>
                <c:pt idx="4">
                  <c:v>336728</c:v>
                </c:pt>
                <c:pt idx="5">
                  <c:v>397631</c:v>
                </c:pt>
                <c:pt idx="6">
                  <c:v>452203</c:v>
                </c:pt>
                <c:pt idx="7">
                  <c:v>499546</c:v>
                </c:pt>
                <c:pt idx="8">
                  <c:v>612760</c:v>
                </c:pt>
                <c:pt idx="9">
                  <c:v>610667</c:v>
                </c:pt>
                <c:pt idx="10">
                  <c:v>604244</c:v>
                </c:pt>
                <c:pt idx="11">
                  <c:v>601790</c:v>
                </c:pt>
                <c:pt idx="12">
                  <c:v>588151</c:v>
                </c:pt>
                <c:pt idx="13">
                  <c:v>561184</c:v>
                </c:pt>
                <c:pt idx="14">
                  <c:v>532910</c:v>
                </c:pt>
                <c:pt idx="15">
                  <c:v>498965</c:v>
                </c:pt>
                <c:pt idx="16">
                  <c:v>488926</c:v>
                </c:pt>
                <c:pt idx="17">
                  <c:v>489337</c:v>
                </c:pt>
                <c:pt idx="18" formatCode="###\ ###\ ###\ ##0">
                  <c:v>489818</c:v>
                </c:pt>
                <c:pt idx="19" formatCode="###\ ###\ ###\ ##0">
                  <c:v>475443</c:v>
                </c:pt>
                <c:pt idx="20" formatCode="###\ ###\ ###\ ##0">
                  <c:v>477539</c:v>
                </c:pt>
                <c:pt idx="21" formatCode="###\ ###\ ###\ ##0">
                  <c:v>494042</c:v>
                </c:pt>
                <c:pt idx="22" formatCode="###\ ###\ ###\ ##0">
                  <c:v>525909</c:v>
                </c:pt>
                <c:pt idx="23" formatCode="###\ ###\ ###\ ##0">
                  <c:v>547994</c:v>
                </c:pt>
                <c:pt idx="24" formatCode="###\ ###\ ###\ ##0">
                  <c:v>557021</c:v>
                </c:pt>
              </c:numCache>
            </c:numRef>
          </c:val>
          <c:extLst xmlns:c16r2="http://schemas.microsoft.com/office/drawing/2015/06/chart">
            <c:ext xmlns:c16="http://schemas.microsoft.com/office/drawing/2014/chart" uri="{C3380CC4-5D6E-409C-BE32-E72D297353CC}">
              <c16:uniqueId val="{00000001-CD7D-42DF-8AA5-FEBCB47BE276}"/>
            </c:ext>
          </c:extLst>
        </c:ser>
        <c:marker val="1"/>
        <c:axId val="348467584"/>
        <c:axId val="348469120"/>
      </c:lineChart>
      <c:catAx>
        <c:axId val="348467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69120"/>
        <c:crosses val="autoZero"/>
        <c:auto val="1"/>
        <c:lblAlgn val="ctr"/>
        <c:lblOffset val="100"/>
      </c:catAx>
      <c:valAx>
        <c:axId val="34846912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675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autoTitleDeleted val="1"/>
    <c:plotArea>
      <c:layout/>
      <c:lineChart>
        <c:grouping val="standard"/>
        <c:ser>
          <c:idx val="0"/>
          <c:order val="0"/>
          <c:tx>
            <c:strRef>
              <c:f>Женщины!$A$14</c:f>
              <c:strCache>
                <c:ptCount val="1"/>
                <c:pt idx="0">
                  <c:v>Республика Казахстан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lgDash"/>
              </a:ln>
              <a:effectLst/>
            </c:spPr>
            <c:trendlineType val="poly"/>
            <c:order val="3"/>
            <c:forward val="3"/>
            <c:dispRSqr val="1"/>
            <c:dispEq val="1"/>
            <c:trendlineLbl>
              <c:layout>
                <c:manualLayout>
                  <c:x val="-4.6332274410842762E-2"/>
                  <c:y val="-0.13945448334401714"/>
                </c:manualLayout>
              </c:layout>
              <c:numFmt formatCode="General" sourceLinked="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trendlineLbl>
          </c:trendline>
          <c:cat>
            <c:numRef>
              <c:f>Женщины!$B$13:$Z$13</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Женщины!$B$14:$Z$14</c:f>
              <c:numCache>
                <c:formatCode>###\ ###\ ###\ ##0</c:formatCode>
                <c:ptCount val="25"/>
                <c:pt idx="0">
                  <c:v>12130</c:v>
                </c:pt>
                <c:pt idx="1">
                  <c:v>13619</c:v>
                </c:pt>
                <c:pt idx="2">
                  <c:v>13964</c:v>
                </c:pt>
                <c:pt idx="3">
                  <c:v>15474</c:v>
                </c:pt>
                <c:pt idx="4">
                  <c:v>17964</c:v>
                </c:pt>
                <c:pt idx="5">
                  <c:v>20238</c:v>
                </c:pt>
                <c:pt idx="6">
                  <c:v>21826</c:v>
                </c:pt>
                <c:pt idx="7">
                  <c:v>23349</c:v>
                </c:pt>
                <c:pt idx="8">
                  <c:v>29204</c:v>
                </c:pt>
                <c:pt idx="9">
                  <c:v>29545</c:v>
                </c:pt>
                <c:pt idx="10">
                  <c:v>29072</c:v>
                </c:pt>
                <c:pt idx="11">
                  <c:v>29030</c:v>
                </c:pt>
                <c:pt idx="12">
                  <c:v>28895</c:v>
                </c:pt>
                <c:pt idx="13">
                  <c:v>28231</c:v>
                </c:pt>
                <c:pt idx="14">
                  <c:v>27902</c:v>
                </c:pt>
                <c:pt idx="15">
                  <c:v>27508</c:v>
                </c:pt>
                <c:pt idx="16">
                  <c:v>27131</c:v>
                </c:pt>
                <c:pt idx="17">
                  <c:v>27546</c:v>
                </c:pt>
                <c:pt idx="18">
                  <c:v>27191</c:v>
                </c:pt>
                <c:pt idx="19">
                  <c:v>26731</c:v>
                </c:pt>
                <c:pt idx="20">
                  <c:v>26510</c:v>
                </c:pt>
                <c:pt idx="21">
                  <c:v>25985</c:v>
                </c:pt>
                <c:pt idx="22">
                  <c:v>26428</c:v>
                </c:pt>
                <c:pt idx="23">
                  <c:v>27130</c:v>
                </c:pt>
                <c:pt idx="24">
                  <c:v>27323</c:v>
                </c:pt>
              </c:numCache>
            </c:numRef>
          </c:val>
          <c:extLst xmlns:c16r2="http://schemas.microsoft.com/office/drawing/2015/06/chart">
            <c:ext xmlns:c16="http://schemas.microsoft.com/office/drawing/2014/chart" uri="{C3380CC4-5D6E-409C-BE32-E72D297353CC}">
              <c16:uniqueId val="{00000001-6798-43A8-8092-A1B61BBBCBC3}"/>
            </c:ext>
          </c:extLst>
        </c:ser>
        <c:marker val="1"/>
        <c:axId val="418918400"/>
        <c:axId val="418919936"/>
      </c:lineChart>
      <c:catAx>
        <c:axId val="4189184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8919936"/>
        <c:crosses val="autoZero"/>
        <c:auto val="1"/>
        <c:lblAlgn val="ctr"/>
        <c:lblOffset val="100"/>
      </c:catAx>
      <c:valAx>
        <c:axId val="418919936"/>
        <c:scaling>
          <c:orientation val="minMax"/>
        </c:scaling>
        <c:axPos val="l"/>
        <c:majorGridlines>
          <c:spPr>
            <a:ln w="9525" cap="flat" cmpd="sng" algn="ctr">
              <a:solidFill>
                <a:schemeClr val="tx1">
                  <a:lumMod val="15000"/>
                  <a:lumOff val="85000"/>
                </a:schemeClr>
              </a:solidFill>
              <a:round/>
            </a:ln>
            <a:effectLst/>
          </c:spPr>
        </c:majorGridlines>
        <c:numFmt formatCode="###\ ###\ ###\ ##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891840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Всего!$A$13</c:f>
              <c:strCache>
                <c:ptCount val="1"/>
                <c:pt idx="0">
                  <c:v>Республика Казахстан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lgDash"/>
              </a:ln>
              <a:effectLst/>
            </c:spPr>
            <c:trendlineType val="poly"/>
            <c:order val="3"/>
            <c:forward val="2"/>
            <c:dispRSqr val="1"/>
            <c:dispEq val="1"/>
            <c:trendlineLbl>
              <c:layout>
                <c:manualLayout>
                  <c:x val="-7.8780935053659129E-2"/>
                  <c:y val="4.5976659942300706E-2"/>
                </c:manualLayout>
              </c:layout>
              <c:numFmt formatCode="General" sourceLinked="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trendlineLbl>
          </c:trendline>
          <c:cat>
            <c:numRef>
              <c:f>Всего!$B$12:$Z$12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Всего!$B$13:$Z$13</c:f>
              <c:numCache>
                <c:formatCode>###\ ###\ ###\ ##0</c:formatCode>
                <c:ptCount val="25"/>
                <c:pt idx="0">
                  <c:v>77784</c:v>
                </c:pt>
                <c:pt idx="1">
                  <c:v>86822</c:v>
                </c:pt>
                <c:pt idx="2">
                  <c:v>83116</c:v>
                </c:pt>
                <c:pt idx="3">
                  <c:v>114398</c:v>
                </c:pt>
                <c:pt idx="4">
                  <c:v>165246</c:v>
                </c:pt>
                <c:pt idx="5">
                  <c:v>158629</c:v>
                </c:pt>
                <c:pt idx="6">
                  <c:v>182496</c:v>
                </c:pt>
                <c:pt idx="7">
                  <c:v>192446</c:v>
                </c:pt>
                <c:pt idx="8">
                  <c:v>214921</c:v>
                </c:pt>
                <c:pt idx="9">
                  <c:v>210654</c:v>
                </c:pt>
                <c:pt idx="10">
                  <c:v>216705</c:v>
                </c:pt>
                <c:pt idx="11">
                  <c:v>217465</c:v>
                </c:pt>
                <c:pt idx="12">
                  <c:v>204366</c:v>
                </c:pt>
                <c:pt idx="13">
                  <c:v>185930</c:v>
                </c:pt>
                <c:pt idx="14">
                  <c:v>174558</c:v>
                </c:pt>
                <c:pt idx="15">
                  <c:v>162931</c:v>
                </c:pt>
                <c:pt idx="16">
                  <c:v>162613</c:v>
                </c:pt>
                <c:pt idx="17">
                  <c:v>168956</c:v>
                </c:pt>
                <c:pt idx="18">
                  <c:v>165857</c:v>
                </c:pt>
                <c:pt idx="19">
                  <c:v>153123</c:v>
                </c:pt>
                <c:pt idx="20">
                  <c:v>164644</c:v>
                </c:pt>
                <c:pt idx="21">
                  <c:v>176884</c:v>
                </c:pt>
                <c:pt idx="22">
                  <c:v>195189</c:v>
                </c:pt>
                <c:pt idx="23">
                  <c:v>192843</c:v>
                </c:pt>
                <c:pt idx="24">
                  <c:v>194703</c:v>
                </c:pt>
              </c:numCache>
            </c:numRef>
          </c:val>
          <c:extLst xmlns:c16r2="http://schemas.microsoft.com/office/drawing/2015/06/chart">
            <c:ext xmlns:c16="http://schemas.microsoft.com/office/drawing/2014/chart" uri="{C3380CC4-5D6E-409C-BE32-E72D297353CC}">
              <c16:uniqueId val="{00000001-2F01-405B-8FBC-C8889DB4EE5A}"/>
            </c:ext>
          </c:extLst>
        </c:ser>
        <c:marker val="1"/>
        <c:axId val="200509312"/>
        <c:axId val="200510848"/>
      </c:lineChart>
      <c:catAx>
        <c:axId val="2005093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510848"/>
        <c:crosses val="autoZero"/>
        <c:auto val="1"/>
        <c:lblAlgn val="ctr"/>
        <c:lblOffset val="100"/>
      </c:catAx>
      <c:valAx>
        <c:axId val="200510848"/>
        <c:scaling>
          <c:orientation val="minMax"/>
        </c:scaling>
        <c:axPos val="l"/>
        <c:majorGridlines>
          <c:spPr>
            <a:ln w="9525" cap="flat" cmpd="sng" algn="ctr">
              <a:solidFill>
                <a:schemeClr val="tx1">
                  <a:lumMod val="15000"/>
                  <a:lumOff val="85000"/>
                </a:schemeClr>
              </a:solidFill>
              <a:round/>
            </a:ln>
            <a:effectLst/>
          </c:spPr>
        </c:majorGridlines>
        <c:numFmt formatCode="###\ ###\ ###\ ##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5093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Всего!$A$38</c:f>
              <c:strCache>
                <c:ptCount val="1"/>
                <c:pt idx="0">
                  <c:v>Доля стдентов 1 курса от общего кол.</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Всего!$B$12:$Z$12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Всего!$B$38:$Z$38</c:f>
              <c:numCache>
                <c:formatCode>0.00</c:formatCode>
                <c:ptCount val="25"/>
                <c:pt idx="0">
                  <c:v>46.247971032588339</c:v>
                </c:pt>
                <c:pt idx="1">
                  <c:v>44.242989415967244</c:v>
                </c:pt>
                <c:pt idx="2">
                  <c:v>39.326980401805528</c:v>
                </c:pt>
                <c:pt idx="3">
                  <c:v>45.588698268475945</c:v>
                </c:pt>
                <c:pt idx="4">
                  <c:v>49.074030077688796</c:v>
                </c:pt>
                <c:pt idx="5">
                  <c:v>39.893519368459785</c:v>
                </c:pt>
                <c:pt idx="6">
                  <c:v>40.357096259865507</c:v>
                </c:pt>
                <c:pt idx="7">
                  <c:v>38.524179955399504</c:v>
                </c:pt>
                <c:pt idx="8">
                  <c:v>35.074254194138</c:v>
                </c:pt>
                <c:pt idx="9">
                  <c:v>34.495723528535244</c:v>
                </c:pt>
                <c:pt idx="10">
                  <c:v>35.863823223730805</c:v>
                </c:pt>
                <c:pt idx="11">
                  <c:v>36.136359859751785</c:v>
                </c:pt>
                <c:pt idx="12">
                  <c:v>34.747199273655916</c:v>
                </c:pt>
                <c:pt idx="13">
                  <c:v>33.131735758681643</c:v>
                </c:pt>
                <c:pt idx="14">
                  <c:v>32.755624777166844</c:v>
                </c:pt>
                <c:pt idx="15">
                  <c:v>32.653793352239134</c:v>
                </c:pt>
                <c:pt idx="16">
                  <c:v>33.259225322441431</c:v>
                </c:pt>
                <c:pt idx="17">
                  <c:v>34.527534194226064</c:v>
                </c:pt>
                <c:pt idx="18">
                  <c:v>33.860944269095846</c:v>
                </c:pt>
                <c:pt idx="19">
                  <c:v>32.206384361532294</c:v>
                </c:pt>
                <c:pt idx="20">
                  <c:v>34.477602876414274</c:v>
                </c:pt>
                <c:pt idx="21">
                  <c:v>35.803433716161813</c:v>
                </c:pt>
                <c:pt idx="22">
                  <c:v>37.114595871148808</c:v>
                </c:pt>
                <c:pt idx="23">
                  <c:v>35.190713766939126</c:v>
                </c:pt>
                <c:pt idx="24">
                  <c:v>34.954337448677876</c:v>
                </c:pt>
              </c:numCache>
            </c:numRef>
          </c:val>
          <c:extLst xmlns:c16r2="http://schemas.microsoft.com/office/drawing/2015/06/chart">
            <c:ext xmlns:c16="http://schemas.microsoft.com/office/drawing/2014/chart" uri="{C3380CC4-5D6E-409C-BE32-E72D297353CC}">
              <c16:uniqueId val="{00000000-4838-4914-B30C-34CB11832B30}"/>
            </c:ext>
          </c:extLst>
        </c:ser>
        <c:marker val="1"/>
        <c:axId val="258698624"/>
        <c:axId val="260338816"/>
      </c:lineChart>
      <c:catAx>
        <c:axId val="258698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338816"/>
        <c:crosses val="autoZero"/>
        <c:auto val="1"/>
        <c:lblAlgn val="ctr"/>
        <c:lblOffset val="100"/>
      </c:catAx>
      <c:valAx>
        <c:axId val="260338816"/>
        <c:scaling>
          <c:orientation val="minMax"/>
          <c:min val="30"/>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8698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'GDP per capita (current US$ (2)'!$B$5</c:f>
              <c:strCache>
                <c:ptCount val="1"/>
                <c:pt idx="0">
                  <c:v>Bermuda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(2)'!$C$5:$L$5</c:f>
              <c:numCache>
                <c:formatCode>0.0</c:formatCode>
                <c:ptCount val="10"/>
                <c:pt idx="0">
                  <c:v>104855.3668221354</c:v>
                </c:pt>
                <c:pt idx="1">
                  <c:v>108747.35614430488</c:v>
                </c:pt>
                <c:pt idx="2">
                  <c:v>112339.42558746737</c:v>
                </c:pt>
                <c:pt idx="3">
                  <c:v>113204.82210837994</c:v>
                </c:pt>
                <c:pt idx="4">
                  <c:v>115798.04077557831</c:v>
                </c:pt>
                <c:pt idx="5">
                  <c:v>106976.54623963205</c:v>
                </c:pt>
                <c:pt idx="6">
                  <c:v>112765.08167306027</c:v>
                </c:pt>
                <c:pt idx="7">
                  <c:v>121613.93998362897</c:v>
                </c:pt>
                <c:pt idx="8">
                  <c:v>132604.43908621595</c:v>
                </c:pt>
                <c:pt idx="9">
                  <c:v>138934.95884646327</c:v>
                </c:pt>
              </c:numCache>
            </c:numRef>
          </c:val>
          <c:extLst xmlns:c16r2="http://schemas.microsoft.com/office/drawing/2015/06/chart">
            <c:ext xmlns:c16="http://schemas.microsoft.com/office/drawing/2014/chart" uri="{C3380CC4-5D6E-409C-BE32-E72D297353CC}">
              <c16:uniqueId val="{00000000-AAF5-4823-801D-F800DEA6714E}"/>
            </c:ext>
          </c:extLst>
        </c:ser>
        <c:ser>
          <c:idx val="1"/>
          <c:order val="1"/>
          <c:tx>
            <c:strRef>
              <c:f>'GDP per capita (current US$ (2)'!$B$6</c:f>
              <c:strCache>
                <c:ptCount val="1"/>
                <c:pt idx="0">
                  <c:v>Luxembourg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6"/>
              <c:layout>
                <c:manualLayout>
                  <c:x val="-2.5816249050873239E-2"/>
                  <c:y val="-6.672623740955087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F5-4823-801D-F800DEA6714E}"/>
                </c:ext>
              </c:extLst>
            </c:dLbl>
            <c:delete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(2)'!$C$6:$L$6</c:f>
              <c:numCache>
                <c:formatCode>0.0</c:formatCode>
                <c:ptCount val="10"/>
                <c:pt idx="0">
                  <c:v>105462.01258442244</c:v>
                </c:pt>
                <c:pt idx="1">
                  <c:v>106899.29354955163</c:v>
                </c:pt>
                <c:pt idx="2">
                  <c:v>110193.21379722773</c:v>
                </c:pt>
                <c:pt idx="3">
                  <c:v>116926.75959390485</c:v>
                </c:pt>
                <c:pt idx="4">
                  <c:v>112696.649059674</c:v>
                </c:pt>
                <c:pt idx="5">
                  <c:v>116860.02817235976</c:v>
                </c:pt>
                <c:pt idx="6">
                  <c:v>134965.81544215148</c:v>
                </c:pt>
                <c:pt idx="7">
                  <c:v>123719.65891599639</c:v>
                </c:pt>
                <c:pt idx="8">
                  <c:v>131407.68136451321</c:v>
                </c:pt>
                <c:pt idx="9">
                  <c:v>137516.58732436682</c:v>
                </c:pt>
              </c:numCache>
            </c:numRef>
          </c:val>
          <c:extLst xmlns:c16r2="http://schemas.microsoft.com/office/drawing/2015/06/chart">
            <c:ext xmlns:c16="http://schemas.microsoft.com/office/drawing/2014/chart" uri="{C3380CC4-5D6E-409C-BE32-E72D297353CC}">
              <c16:uniqueId val="{00000002-AAF5-4823-801D-F800DEA6714E}"/>
            </c:ext>
          </c:extLst>
        </c:ser>
        <c:ser>
          <c:idx val="2"/>
          <c:order val="2"/>
          <c:tx>
            <c:strRef>
              <c:f>'GDP per capita (current US$ (2)'!$B$7</c:f>
              <c:strCache>
                <c:ptCount val="1"/>
                <c:pt idx="0">
                  <c:v>Ireland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(2)'!$C$7:$L$7</c:f>
              <c:numCache>
                <c:formatCode>0.0</c:formatCode>
                <c:ptCount val="10"/>
                <c:pt idx="0">
                  <c:v>64311.823468405724</c:v>
                </c:pt>
                <c:pt idx="1">
                  <c:v>64192.941805317838</c:v>
                </c:pt>
                <c:pt idx="2">
                  <c:v>72198.107699537693</c:v>
                </c:pt>
                <c:pt idx="3">
                  <c:v>80738.962883469372</c:v>
                </c:pt>
                <c:pt idx="4">
                  <c:v>81810.192648140641</c:v>
                </c:pt>
                <c:pt idx="5">
                  <c:v>86622.506725129337</c:v>
                </c:pt>
                <c:pt idx="6">
                  <c:v>103961.97635064941</c:v>
                </c:pt>
                <c:pt idx="7">
                  <c:v>105234.51156759709</c:v>
                </c:pt>
                <c:pt idx="8">
                  <c:v>103887.80038808098</c:v>
                </c:pt>
                <c:pt idx="9">
                  <c:v>107316.33730692079</c:v>
                </c:pt>
              </c:numCache>
            </c:numRef>
          </c:val>
          <c:extLst xmlns:c16r2="http://schemas.microsoft.com/office/drawing/2015/06/chart">
            <c:ext xmlns:c16="http://schemas.microsoft.com/office/drawing/2014/chart" uri="{C3380CC4-5D6E-409C-BE32-E72D297353CC}">
              <c16:uniqueId val="{00000003-AAF5-4823-801D-F800DEA6714E}"/>
            </c:ext>
          </c:extLst>
        </c:ser>
        <c:ser>
          <c:idx val="3"/>
          <c:order val="3"/>
          <c:tx>
            <c:strRef>
              <c:f>'GDP per capita (current US$ (2)'!$B$8</c:f>
              <c:strCache>
                <c:ptCount val="1"/>
                <c:pt idx="0">
                  <c:v>Switzerland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(2)'!$C$8:$L$8</c:f>
              <c:numCache>
                <c:formatCode>0.0</c:formatCode>
                <c:ptCount val="10"/>
                <c:pt idx="0">
                  <c:v>83806.447600383719</c:v>
                </c:pt>
                <c:pt idx="1">
                  <c:v>82153.074544788949</c:v>
                </c:pt>
                <c:pt idx="2">
                  <c:v>82254.377047133559</c:v>
                </c:pt>
                <c:pt idx="3">
                  <c:v>85217.369151227409</c:v>
                </c:pt>
                <c:pt idx="4">
                  <c:v>84121.931030441439</c:v>
                </c:pt>
                <c:pt idx="5">
                  <c:v>85897.7843338323</c:v>
                </c:pt>
                <c:pt idx="6">
                  <c:v>93664.773669611081</c:v>
                </c:pt>
                <c:pt idx="7">
                  <c:v>94394.510680352338</c:v>
                </c:pt>
                <c:pt idx="8">
                  <c:v>100631.80275512471</c:v>
                </c:pt>
                <c:pt idx="9">
                  <c:v>103669.87200814379</c:v>
                </c:pt>
              </c:numCache>
            </c:numRef>
          </c:val>
          <c:extLst xmlns:c16r2="http://schemas.microsoft.com/office/drawing/2015/06/chart">
            <c:ext xmlns:c16="http://schemas.microsoft.com/office/drawing/2014/chart" uri="{C3380CC4-5D6E-409C-BE32-E72D297353CC}">
              <c16:uniqueId val="{00000004-AAF5-4823-801D-F800DEA6714E}"/>
            </c:ext>
          </c:extLst>
        </c:ser>
        <c:ser>
          <c:idx val="4"/>
          <c:order val="4"/>
          <c:tx>
            <c:strRef>
              <c:f>'GDP per capita (current US$ (2)'!$B$9</c:f>
              <c:strCache>
                <c:ptCount val="1"/>
                <c:pt idx="0">
                  <c:v>Singapore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(2)'!$C$9:$L$9</c:f>
              <c:numCache>
                <c:formatCode>0.0</c:formatCode>
                <c:ptCount val="10"/>
                <c:pt idx="0">
                  <c:v>55645.606861460568</c:v>
                </c:pt>
                <c:pt idx="1">
                  <c:v>57005.588717654689</c:v>
                </c:pt>
                <c:pt idx="2">
                  <c:v>61236.251270626963</c:v>
                </c:pt>
                <c:pt idx="3">
                  <c:v>66881.606703526413</c:v>
                </c:pt>
                <c:pt idx="4">
                  <c:v>65952.037895929185</c:v>
                </c:pt>
                <c:pt idx="5">
                  <c:v>61410.079263078842</c:v>
                </c:pt>
                <c:pt idx="6">
                  <c:v>80056.128824784479</c:v>
                </c:pt>
                <c:pt idx="7">
                  <c:v>90299.069463726904</c:v>
                </c:pt>
                <c:pt idx="8">
                  <c:v>85412.230345235046</c:v>
                </c:pt>
                <c:pt idx="9">
                  <c:v>90674.066632627917</c:v>
                </c:pt>
              </c:numCache>
            </c:numRef>
          </c:val>
          <c:extLst xmlns:c16r2="http://schemas.microsoft.com/office/drawing/2015/06/chart">
            <c:ext xmlns:c16="http://schemas.microsoft.com/office/drawing/2014/chart" uri="{C3380CC4-5D6E-409C-BE32-E72D297353CC}">
              <c16:uniqueId val="{00000005-AAF5-4823-801D-F800DEA6714E}"/>
            </c:ext>
          </c:extLst>
        </c:ser>
        <c:ser>
          <c:idx val="5"/>
          <c:order val="5"/>
          <c:tx>
            <c:strRef>
              <c:f>'GDP per capita (current US$ (2)'!$B$10</c:f>
              <c:strCache>
                <c:ptCount val="1"/>
                <c:pt idx="0">
                  <c:v>Norway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(2)'!$C$10:$L$10</c:f>
              <c:numCache>
                <c:formatCode>0.0</c:formatCode>
                <c:ptCount val="10"/>
                <c:pt idx="0">
                  <c:v>74809.965804989741</c:v>
                </c:pt>
                <c:pt idx="1">
                  <c:v>70867.360997074909</c:v>
                </c:pt>
                <c:pt idx="2">
                  <c:v>76131.838403276372</c:v>
                </c:pt>
                <c:pt idx="3">
                  <c:v>82792.842711330391</c:v>
                </c:pt>
                <c:pt idx="4">
                  <c:v>76430.588947333847</c:v>
                </c:pt>
                <c:pt idx="5">
                  <c:v>68340.018103370108</c:v>
                </c:pt>
                <c:pt idx="6">
                  <c:v>93072.892511957078</c:v>
                </c:pt>
                <c:pt idx="7">
                  <c:v>109269.52058029761</c:v>
                </c:pt>
                <c:pt idx="8">
                  <c:v>87497.328929734329</c:v>
                </c:pt>
                <c:pt idx="9">
                  <c:v>86809.724689743147</c:v>
                </c:pt>
              </c:numCache>
            </c:numRef>
          </c:val>
          <c:extLst xmlns:c16r2="http://schemas.microsoft.com/office/drawing/2015/06/chart">
            <c:ext xmlns:c16="http://schemas.microsoft.com/office/drawing/2014/chart" uri="{C3380CC4-5D6E-409C-BE32-E72D297353CC}">
              <c16:uniqueId val="{00000006-AAF5-4823-801D-F800DEA6714E}"/>
            </c:ext>
          </c:extLst>
        </c:ser>
        <c:ser>
          <c:idx val="6"/>
          <c:order val="6"/>
          <c:tx>
            <c:strRef>
              <c:f>'GDP per capita (current US$ (2)'!$B$11</c:f>
              <c:strCache>
                <c:ptCount val="1"/>
                <c:pt idx="0">
                  <c:v>United States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(2)'!$C$11:$L$11</c:f>
              <c:numCache>
                <c:formatCode>0.0</c:formatCode>
                <c:ptCount val="10"/>
                <c:pt idx="0">
                  <c:v>56849.469792315926</c:v>
                </c:pt>
                <c:pt idx="1">
                  <c:v>57976.628204291039</c:v>
                </c:pt>
                <c:pt idx="2">
                  <c:v>60047.719072830674</c:v>
                </c:pt>
                <c:pt idx="3">
                  <c:v>62875.666138272842</c:v>
                </c:pt>
                <c:pt idx="4">
                  <c:v>65227.956591103874</c:v>
                </c:pt>
                <c:pt idx="5">
                  <c:v>64401.507435421183</c:v>
                </c:pt>
                <c:pt idx="6">
                  <c:v>71307.401727721823</c:v>
                </c:pt>
                <c:pt idx="7">
                  <c:v>77860.911290884833</c:v>
                </c:pt>
                <c:pt idx="8">
                  <c:v>82304.620427286587</c:v>
                </c:pt>
                <c:pt idx="9">
                  <c:v>85809.900384635621</c:v>
                </c:pt>
              </c:numCache>
            </c:numRef>
          </c:val>
          <c:extLst xmlns:c16r2="http://schemas.microsoft.com/office/drawing/2015/06/chart">
            <c:ext xmlns:c16="http://schemas.microsoft.com/office/drawing/2014/chart" uri="{C3380CC4-5D6E-409C-BE32-E72D297353CC}">
              <c16:uniqueId val="{00000007-AAF5-4823-801D-F800DEA6714E}"/>
            </c:ext>
          </c:extLst>
        </c:ser>
        <c:ser>
          <c:idx val="7"/>
          <c:order val="7"/>
          <c:tx>
            <c:strRef>
              <c:f>'GDP per capita (current US$ (2)'!$B$12</c:f>
              <c:strCache>
                <c:ptCount val="1"/>
                <c:pt idx="0">
                  <c:v>Iceland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(2)'!$C$12:$L$12</c:f>
              <c:numCache>
                <c:formatCode>0.0</c:formatCode>
                <c:ptCount val="10"/>
                <c:pt idx="0">
                  <c:v>52951.681511089751</c:v>
                </c:pt>
                <c:pt idx="1">
                  <c:v>61987.926362028345</c:v>
                </c:pt>
                <c:pt idx="2">
                  <c:v>72010.149031625842</c:v>
                </c:pt>
                <c:pt idx="3">
                  <c:v>74452.18907314472</c:v>
                </c:pt>
                <c:pt idx="4">
                  <c:v>68452.236223059866</c:v>
                </c:pt>
                <c:pt idx="5">
                  <c:v>59023.566346577805</c:v>
                </c:pt>
                <c:pt idx="6">
                  <c:v>69178.40469609607</c:v>
                </c:pt>
                <c:pt idx="7">
                  <c:v>75121.015228062708</c:v>
                </c:pt>
                <c:pt idx="8">
                  <c:v>79960.096153566148</c:v>
                </c:pt>
                <c:pt idx="9">
                  <c:v>82703.857993747064</c:v>
                </c:pt>
              </c:numCache>
            </c:numRef>
          </c:val>
          <c:extLst xmlns:c16r2="http://schemas.microsoft.com/office/drawing/2015/06/chart">
            <c:ext xmlns:c16="http://schemas.microsoft.com/office/drawing/2014/chart" uri="{C3380CC4-5D6E-409C-BE32-E72D297353CC}">
              <c16:uniqueId val="{00000008-AAF5-4823-801D-F800DEA6714E}"/>
            </c:ext>
          </c:extLst>
        </c:ser>
        <c:ser>
          <c:idx val="8"/>
          <c:order val="8"/>
          <c:tx>
            <c:strRef>
              <c:f>'GDP per capita (current US$ (2)'!$B$13</c:f>
              <c:strCache>
                <c:ptCount val="1"/>
                <c:pt idx="0">
                  <c:v>North America</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(2)'!$C$13:$L$13</c:f>
              <c:numCache>
                <c:formatCode>0.0</c:formatCode>
                <c:ptCount val="10"/>
                <c:pt idx="0">
                  <c:v>55534.457029157449</c:v>
                </c:pt>
                <c:pt idx="1">
                  <c:v>56416.785023509176</c:v>
                </c:pt>
                <c:pt idx="2">
                  <c:v>58555.889781042657</c:v>
                </c:pt>
                <c:pt idx="3">
                  <c:v>61228.195827322037</c:v>
                </c:pt>
                <c:pt idx="4">
                  <c:v>63306.799980797667</c:v>
                </c:pt>
                <c:pt idx="5">
                  <c:v>62262.642409837994</c:v>
                </c:pt>
                <c:pt idx="6">
                  <c:v>69412.91375123024</c:v>
                </c:pt>
                <c:pt idx="7">
                  <c:v>75613.450714658582</c:v>
                </c:pt>
                <c:pt idx="8">
                  <c:v>79326.907659957069</c:v>
                </c:pt>
                <c:pt idx="9">
                  <c:v>82406.478866486883</c:v>
                </c:pt>
              </c:numCache>
            </c:numRef>
          </c:val>
          <c:extLst xmlns:c16r2="http://schemas.microsoft.com/office/drawing/2015/06/chart">
            <c:ext xmlns:c16="http://schemas.microsoft.com/office/drawing/2014/chart" uri="{C3380CC4-5D6E-409C-BE32-E72D297353CC}">
              <c16:uniqueId val="{00000009-AAF5-4823-801D-F800DEA6714E}"/>
            </c:ext>
          </c:extLst>
        </c:ser>
        <c:ser>
          <c:idx val="9"/>
          <c:order val="9"/>
          <c:tx>
            <c:strRef>
              <c:f>'GDP per capita (current US$ (2)'!$B$14</c:f>
              <c:strCache>
                <c:ptCount val="1"/>
                <c:pt idx="0">
                  <c:v>Qatar</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'GDP per capita (current US$ (2)'!$C$4:$L$4</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'GDP per capita (current US$ (2)'!$C$14:$L$14</c:f>
              <c:numCache>
                <c:formatCode>0.0</c:formatCode>
                <c:ptCount val="10"/>
                <c:pt idx="0">
                  <c:v>68985.294696150711</c:v>
                </c:pt>
                <c:pt idx="1">
                  <c:v>61253.637548279738</c:v>
                </c:pt>
                <c:pt idx="2">
                  <c:v>63279.855694933161</c:v>
                </c:pt>
                <c:pt idx="3">
                  <c:v>71039.84905793528</c:v>
                </c:pt>
                <c:pt idx="4">
                  <c:v>66841.301348492023</c:v>
                </c:pt>
                <c:pt idx="5">
                  <c:v>51683.505437667656</c:v>
                </c:pt>
                <c:pt idx="6">
                  <c:v>71751.883125716922</c:v>
                </c:pt>
                <c:pt idx="7">
                  <c:v>88701.463352272884</c:v>
                </c:pt>
                <c:pt idx="8">
                  <c:v>80195.874650854981</c:v>
                </c:pt>
                <c:pt idx="9">
                  <c:v>76275.907678283329</c:v>
                </c:pt>
              </c:numCache>
            </c:numRef>
          </c:val>
          <c:extLst xmlns:c16r2="http://schemas.microsoft.com/office/drawing/2015/06/chart">
            <c:ext xmlns:c16="http://schemas.microsoft.com/office/drawing/2014/chart" uri="{C3380CC4-5D6E-409C-BE32-E72D297353CC}">
              <c16:uniqueId val="{0000000A-AAF5-4823-801D-F800DEA6714E}"/>
            </c:ext>
          </c:extLst>
        </c:ser>
        <c:marker val="1"/>
        <c:axId val="348471680"/>
        <c:axId val="348473216"/>
      </c:lineChart>
      <c:catAx>
        <c:axId val="3484716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73216"/>
        <c:crosses val="autoZero"/>
        <c:auto val="1"/>
        <c:lblAlgn val="ctr"/>
        <c:lblOffset val="100"/>
      </c:catAx>
      <c:valAx>
        <c:axId val="348473216"/>
        <c:scaling>
          <c:orientation val="minMax"/>
          <c:min val="40000"/>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716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scatterChart>
        <c:scatterStyle val="lineMarker"/>
        <c:ser>
          <c:idx val="0"/>
          <c:order val="0"/>
          <c:tx>
            <c:strRef>
              <c:f>рег!$K$1</c:f>
              <c:strCache>
                <c:ptCount val="1"/>
                <c:pt idx="0">
                  <c:v>Literacy</c:v>
                </c:pt>
              </c:strCache>
            </c:strRef>
          </c:tx>
          <c:spPr>
            <a:ln w="19050" cap="rnd">
              <a:noFill/>
              <a:round/>
            </a:ln>
            <a:effectLst/>
          </c:spPr>
          <c:marker>
            <c:symbol val="circle"/>
            <c:size val="5"/>
            <c:spPr>
              <a:solidFill>
                <a:schemeClr val="accent1"/>
              </a:solidFill>
              <a:ln w="9525">
                <a:solidFill>
                  <a:schemeClr val="accent1"/>
                </a:solidFill>
              </a:ln>
              <a:effectLst/>
            </c:spPr>
          </c:marker>
          <c:xVal>
            <c:numRef>
              <c:f>рег!$G$2:$G$77</c:f>
              <c:numCache>
                <c:formatCode>General</c:formatCode>
                <c:ptCount val="76"/>
                <c:pt idx="0">
                  <c:v>0.37366900000000008</c:v>
                </c:pt>
                <c:pt idx="1">
                  <c:v>51.740100000000012</c:v>
                </c:pt>
                <c:pt idx="2">
                  <c:v>18.5458</c:v>
                </c:pt>
                <c:pt idx="3">
                  <c:v>20.882499999999968</c:v>
                </c:pt>
                <c:pt idx="4">
                  <c:v>0.17088</c:v>
                </c:pt>
                <c:pt idx="5">
                  <c:v>7.8924599999999945</c:v>
                </c:pt>
                <c:pt idx="6">
                  <c:v>17.158200000000001</c:v>
                </c:pt>
                <c:pt idx="7">
                  <c:v>35.093200000000003</c:v>
                </c:pt>
                <c:pt idx="11">
                  <c:v>1.3188199999999999</c:v>
                </c:pt>
                <c:pt idx="12">
                  <c:v>1.36337</c:v>
                </c:pt>
                <c:pt idx="14">
                  <c:v>0.38794100000000031</c:v>
                </c:pt>
                <c:pt idx="15">
                  <c:v>7.2300899999999997</c:v>
                </c:pt>
                <c:pt idx="16">
                  <c:v>31.512699999999974</c:v>
                </c:pt>
                <c:pt idx="18">
                  <c:v>11.134600000000001</c:v>
                </c:pt>
                <c:pt idx="19">
                  <c:v>12.008700000000001</c:v>
                </c:pt>
                <c:pt idx="20">
                  <c:v>16.067900000000005</c:v>
                </c:pt>
                <c:pt idx="23">
                  <c:v>29.30859999999997</c:v>
                </c:pt>
                <c:pt idx="27">
                  <c:v>5.0808299999999997</c:v>
                </c:pt>
                <c:pt idx="28">
                  <c:v>39.883999999999993</c:v>
                </c:pt>
                <c:pt idx="30">
                  <c:v>15.7852</c:v>
                </c:pt>
                <c:pt idx="31">
                  <c:v>7.03749</c:v>
                </c:pt>
                <c:pt idx="32">
                  <c:v>14.345700000000004</c:v>
                </c:pt>
                <c:pt idx="33">
                  <c:v>2.38883</c:v>
                </c:pt>
                <c:pt idx="34">
                  <c:v>6.4465300000000001</c:v>
                </c:pt>
                <c:pt idx="35">
                  <c:v>3.6418200000000001</c:v>
                </c:pt>
                <c:pt idx="36">
                  <c:v>3.999090000000001E-2</c:v>
                </c:pt>
                <c:pt idx="37">
                  <c:v>1.0136599999999998</c:v>
                </c:pt>
                <c:pt idx="38">
                  <c:v>2.7202099999999998</c:v>
                </c:pt>
                <c:pt idx="41">
                  <c:v>8.7654500000000048</c:v>
                </c:pt>
                <c:pt idx="42">
                  <c:v>0.38373800000000002</c:v>
                </c:pt>
                <c:pt idx="43">
                  <c:v>7.0218400000000001</c:v>
                </c:pt>
                <c:pt idx="44">
                  <c:v>27.4209</c:v>
                </c:pt>
                <c:pt idx="45">
                  <c:v>18.72779999999997</c:v>
                </c:pt>
                <c:pt idx="47">
                  <c:v>14.552900000000006</c:v>
                </c:pt>
                <c:pt idx="48">
                  <c:v>0.59040999999999932</c:v>
                </c:pt>
                <c:pt idx="49">
                  <c:v>26.908199999999972</c:v>
                </c:pt>
                <c:pt idx="50">
                  <c:v>7.9556600000000116E-2</c:v>
                </c:pt>
                <c:pt idx="51">
                  <c:v>3.52007</c:v>
                </c:pt>
                <c:pt idx="52">
                  <c:v>5.1283799999999997E-2</c:v>
                </c:pt>
                <c:pt idx="53">
                  <c:v>5.4303100000000004</c:v>
                </c:pt>
                <c:pt idx="55">
                  <c:v>18.134100000000021</c:v>
                </c:pt>
                <c:pt idx="56">
                  <c:v>10.436400000000004</c:v>
                </c:pt>
                <c:pt idx="57">
                  <c:v>6.5393100000000004</c:v>
                </c:pt>
                <c:pt idx="59">
                  <c:v>12.883600000000012</c:v>
                </c:pt>
                <c:pt idx="60">
                  <c:v>0.44555600000000001</c:v>
                </c:pt>
                <c:pt idx="61">
                  <c:v>43.5732</c:v>
                </c:pt>
                <c:pt idx="62">
                  <c:v>27.4344</c:v>
                </c:pt>
                <c:pt idx="64">
                  <c:v>1.2281599999999999</c:v>
                </c:pt>
                <c:pt idx="65">
                  <c:v>15.747299999999999</c:v>
                </c:pt>
                <c:pt idx="69">
                  <c:v>14.143600000000001</c:v>
                </c:pt>
                <c:pt idx="70">
                  <c:v>2.49959</c:v>
                </c:pt>
                <c:pt idx="71">
                  <c:v>30.2699</c:v>
                </c:pt>
                <c:pt idx="72">
                  <c:v>10.6381</c:v>
                </c:pt>
                <c:pt idx="74">
                  <c:v>0.68139000000000005</c:v>
                </c:pt>
                <c:pt idx="75">
                  <c:v>1.5745800000000001</c:v>
                </c:pt>
              </c:numCache>
            </c:numRef>
          </c:xVal>
          <c:yVal>
            <c:numRef>
              <c:f>рег!$K$2:$K$77</c:f>
              <c:numCache>
                <c:formatCode>General</c:formatCode>
                <c:ptCount val="76"/>
                <c:pt idx="0">
                  <c:v>66</c:v>
                </c:pt>
                <c:pt idx="2">
                  <c:v>100</c:v>
                </c:pt>
                <c:pt idx="3">
                  <c:v>100</c:v>
                </c:pt>
                <c:pt idx="4">
                  <c:v>42</c:v>
                </c:pt>
                <c:pt idx="5">
                  <c:v>75</c:v>
                </c:pt>
                <c:pt idx="6">
                  <c:v>91</c:v>
                </c:pt>
                <c:pt idx="7">
                  <c:v>100</c:v>
                </c:pt>
                <c:pt idx="9">
                  <c:v>92</c:v>
                </c:pt>
                <c:pt idx="10">
                  <c:v>100</c:v>
                </c:pt>
                <c:pt idx="11">
                  <c:v>67</c:v>
                </c:pt>
                <c:pt idx="12">
                  <c:v>90</c:v>
                </c:pt>
                <c:pt idx="13">
                  <c:v>77</c:v>
                </c:pt>
                <c:pt idx="14">
                  <c:v>59</c:v>
                </c:pt>
                <c:pt idx="15">
                  <c:v>87</c:v>
                </c:pt>
                <c:pt idx="18">
                  <c:v>94</c:v>
                </c:pt>
                <c:pt idx="19">
                  <c:v>81</c:v>
                </c:pt>
                <c:pt idx="20">
                  <c:v>94</c:v>
                </c:pt>
                <c:pt idx="21">
                  <c:v>52</c:v>
                </c:pt>
                <c:pt idx="23">
                  <c:v>100</c:v>
                </c:pt>
                <c:pt idx="27">
                  <c:v>81</c:v>
                </c:pt>
                <c:pt idx="29">
                  <c:v>62</c:v>
                </c:pt>
                <c:pt idx="31">
                  <c:v>98</c:v>
                </c:pt>
                <c:pt idx="32">
                  <c:v>100</c:v>
                </c:pt>
                <c:pt idx="33">
                  <c:v>82</c:v>
                </c:pt>
                <c:pt idx="34">
                  <c:v>100</c:v>
                </c:pt>
                <c:pt idx="35">
                  <c:v>81</c:v>
                </c:pt>
                <c:pt idx="39">
                  <c:v>95</c:v>
                </c:pt>
                <c:pt idx="41">
                  <c:v>92</c:v>
                </c:pt>
                <c:pt idx="43">
                  <c:v>74</c:v>
                </c:pt>
                <c:pt idx="44">
                  <c:v>99</c:v>
                </c:pt>
                <c:pt idx="45">
                  <c:v>98</c:v>
                </c:pt>
                <c:pt idx="47">
                  <c:v>99</c:v>
                </c:pt>
                <c:pt idx="50">
                  <c:v>62</c:v>
                </c:pt>
                <c:pt idx="52">
                  <c:v>62</c:v>
                </c:pt>
                <c:pt idx="53">
                  <c:v>83</c:v>
                </c:pt>
                <c:pt idx="54">
                  <c:v>68</c:v>
                </c:pt>
                <c:pt idx="55">
                  <c:v>96</c:v>
                </c:pt>
                <c:pt idx="56">
                  <c:v>94</c:v>
                </c:pt>
                <c:pt idx="57">
                  <c:v>96</c:v>
                </c:pt>
                <c:pt idx="58">
                  <c:v>100</c:v>
                </c:pt>
                <c:pt idx="59">
                  <c:v>95</c:v>
                </c:pt>
                <c:pt idx="60">
                  <c:v>73</c:v>
                </c:pt>
                <c:pt idx="61">
                  <c:v>98</c:v>
                </c:pt>
                <c:pt idx="62">
                  <c:v>97</c:v>
                </c:pt>
                <c:pt idx="64">
                  <c:v>67</c:v>
                </c:pt>
                <c:pt idx="65">
                  <c:v>94</c:v>
                </c:pt>
                <c:pt idx="66">
                  <c:v>100</c:v>
                </c:pt>
                <c:pt idx="67">
                  <c:v>100</c:v>
                </c:pt>
                <c:pt idx="68">
                  <c:v>99</c:v>
                </c:pt>
                <c:pt idx="69">
                  <c:v>79</c:v>
                </c:pt>
                <c:pt idx="70">
                  <c:v>78</c:v>
                </c:pt>
                <c:pt idx="71">
                  <c:v>100</c:v>
                </c:pt>
                <c:pt idx="73">
                  <c:v>99</c:v>
                </c:pt>
                <c:pt idx="74">
                  <c:v>87</c:v>
                </c:pt>
                <c:pt idx="75">
                  <c:v>89</c:v>
                </c:pt>
              </c:numCache>
            </c:numRef>
          </c:yVal>
          <c:extLst xmlns:c16r2="http://schemas.microsoft.com/office/drawing/2015/06/chart">
            <c:ext xmlns:c15="http://schemas.microsoft.com/office/drawing/2012/chart" uri="{02D57815-91ED-43cb-92C2-25804820EDAC}">
              <c15:datalabelsRange>
                <c15:f>рег!$A$2:$A$77</c15:f>
                <c15:dlblRangeCache>
                  <c:ptCount val="76"/>
                  <c:pt idx="0">
                    <c:v>Angola</c:v>
                  </c:pt>
                  <c:pt idx="1">
                    <c:v>Andorra</c:v>
                  </c:pt>
                  <c:pt idx="2">
                    <c:v>Armenia</c:v>
                  </c:pt>
                  <c:pt idx="3">
                    <c:v>Azerbaijan</c:v>
                  </c:pt>
                  <c:pt idx="4">
                    <c:v>Benin</c:v>
                  </c:pt>
                  <c:pt idx="5">
                    <c:v>Bangladesh</c:v>
                  </c:pt>
                  <c:pt idx="6">
                    <c:v>Bahrain</c:v>
                  </c:pt>
                  <c:pt idx="7">
                    <c:v>Belarus</c:v>
                  </c:pt>
                  <c:pt idx="8">
                    <c:v>Belize</c:v>
                  </c:pt>
                  <c:pt idx="9">
                    <c:v>Bolivia</c:v>
                  </c:pt>
                  <c:pt idx="10">
                    <c:v>Barbados</c:v>
                  </c:pt>
                  <c:pt idx="11">
                    <c:v>Bhutan</c:v>
                  </c:pt>
                  <c:pt idx="12">
                    <c:v>Cote d'Ivoire</c:v>
                  </c:pt>
                  <c:pt idx="13">
                    <c:v>Cameroon</c:v>
                  </c:pt>
                  <c:pt idx="14">
                    <c:v>Comoros</c:v>
                  </c:pt>
                  <c:pt idx="15">
                    <c:v>Cabo Verde</c:v>
                  </c:pt>
                  <c:pt idx="16">
                    <c:v>Curacao</c:v>
                  </c:pt>
                  <c:pt idx="17">
                    <c:v>Dominica</c:v>
                  </c:pt>
                  <c:pt idx="18">
                    <c:v>Dominican Republic</c:v>
                  </c:pt>
                  <c:pt idx="19">
                    <c:v>Algeria</c:v>
                  </c:pt>
                  <c:pt idx="20">
                    <c:v>Ecuador</c:v>
                  </c:pt>
                  <c:pt idx="21">
                    <c:v>Ethiopia</c:v>
                  </c:pt>
                  <c:pt idx="22">
                    <c:v>Fiji</c:v>
                  </c:pt>
                  <c:pt idx="23">
                    <c:v>Georgia</c:v>
                  </c:pt>
                  <c:pt idx="24">
                    <c:v>Gibraltar</c:v>
                  </c:pt>
                  <c:pt idx="25">
                    <c:v>Guinea</c:v>
                  </c:pt>
                  <c:pt idx="26">
                    <c:v>Grenada</c:v>
                  </c:pt>
                  <c:pt idx="27">
                    <c:v>Guatemala</c:v>
                  </c:pt>
                  <c:pt idx="28">
                    <c:v>Hong Kong SAR, China</c:v>
                  </c:pt>
                  <c:pt idx="29">
                    <c:v>Haiti</c:v>
                  </c:pt>
                  <c:pt idx="30">
                    <c:v>Jamaica</c:v>
                  </c:pt>
                  <c:pt idx="31">
                    <c:v>Jordan</c:v>
                  </c:pt>
                  <c:pt idx="32">
                    <c:v>Kazakhstan</c:v>
                  </c:pt>
                  <c:pt idx="33">
                    <c:v>Kenya</c:v>
                  </c:pt>
                  <c:pt idx="34">
                    <c:v>Kyrgyz Republic</c:v>
                  </c:pt>
                  <c:pt idx="35">
                    <c:v>Cambodia</c:v>
                  </c:pt>
                  <c:pt idx="36">
                    <c:v>Kiribati</c:v>
                  </c:pt>
                  <c:pt idx="37">
                    <c:v>Kuwait</c:v>
                  </c:pt>
                  <c:pt idx="38">
                    <c:v>Lao PDR</c:v>
                  </c:pt>
                  <c:pt idx="39">
                    <c:v>Lebanon</c:v>
                  </c:pt>
                  <c:pt idx="40">
                    <c:v>St. Lucia</c:v>
                  </c:pt>
                  <c:pt idx="41">
                    <c:v>Sri Lanka</c:v>
                  </c:pt>
                  <c:pt idx="42">
                    <c:v>Lesotho</c:v>
                  </c:pt>
                  <c:pt idx="43">
                    <c:v>Morocco</c:v>
                  </c:pt>
                  <c:pt idx="44">
                    <c:v>Moldova</c:v>
                  </c:pt>
                  <c:pt idx="45">
                    <c:v>Maldives</c:v>
                  </c:pt>
                  <c:pt idx="46">
                    <c:v>Mali</c:v>
                  </c:pt>
                  <c:pt idx="47">
                    <c:v>Mongolia</c:v>
                  </c:pt>
                  <c:pt idx="48">
                    <c:v>Mauritania</c:v>
                  </c:pt>
                  <c:pt idx="49">
                    <c:v>Mauritius</c:v>
                  </c:pt>
                  <c:pt idx="50">
                    <c:v>Malawi</c:v>
                  </c:pt>
                  <c:pt idx="51">
                    <c:v>Namibia</c:v>
                  </c:pt>
                  <c:pt idx="52">
                    <c:v>Nigeria</c:v>
                  </c:pt>
                  <c:pt idx="53">
                    <c:v>Nicaragua</c:v>
                  </c:pt>
                  <c:pt idx="54">
                    <c:v>Nepal</c:v>
                  </c:pt>
                  <c:pt idx="55">
                    <c:v>Panama</c:v>
                  </c:pt>
                  <c:pt idx="56">
                    <c:v>Peru</c:v>
                  </c:pt>
                  <c:pt idx="57">
                    <c:v>Philippines</c:v>
                  </c:pt>
                  <c:pt idx="58">
                    <c:v>Korea, Dem. People's Rep.</c:v>
                  </c:pt>
                  <c:pt idx="59">
                    <c:v>Paraguay</c:v>
                  </c:pt>
                  <c:pt idx="60">
                    <c:v>Rwanda</c:v>
                  </c:pt>
                  <c:pt idx="61">
                    <c:v>Saudi Arabia</c:v>
                  </c:pt>
                  <c:pt idx="62">
                    <c:v>Singapore</c:v>
                  </c:pt>
                  <c:pt idx="63">
                    <c:v>Sierra Leone</c:v>
                  </c:pt>
                  <c:pt idx="64">
                    <c:v>Togo</c:v>
                  </c:pt>
                  <c:pt idx="65">
                    <c:v>Thailand</c:v>
                  </c:pt>
                  <c:pt idx="66">
                    <c:v>Tajikistan</c:v>
                  </c:pt>
                  <c:pt idx="67">
                    <c:v>Turkmenistan</c:v>
                  </c:pt>
                  <c:pt idx="68">
                    <c:v>Tonga</c:v>
                  </c:pt>
                  <c:pt idx="69">
                    <c:v>Tunisia</c:v>
                  </c:pt>
                  <c:pt idx="70">
                    <c:v>Tanzania</c:v>
                  </c:pt>
                  <c:pt idx="71">
                    <c:v>Uzbekistan</c:v>
                  </c:pt>
                  <c:pt idx="72">
                    <c:v>Venezuela, RB</c:v>
                  </c:pt>
                  <c:pt idx="73">
                    <c:v>Samoa</c:v>
                  </c:pt>
                  <c:pt idx="74">
                    <c:v>Zambia</c:v>
                  </c:pt>
                  <c:pt idx="75">
                    <c:v>Zimbabwe</c:v>
                  </c:pt>
                </c15:dlblRangeCache>
              </c15:datalabelsRange>
            </c:ext>
            <c:ext xmlns:c16="http://schemas.microsoft.com/office/drawing/2014/chart" uri="{C3380CC4-5D6E-409C-BE32-E72D297353CC}">
              <c16:uniqueId val="{0000004C-967B-42F2-89C0-1458CC7797F9}"/>
            </c:ext>
          </c:extLst>
        </c:ser>
        <c:axId val="348498176"/>
        <c:axId val="348512640"/>
      </c:scatterChart>
      <c:valAx>
        <c:axId val="348498176"/>
        <c:scaling>
          <c:orientation val="minMax"/>
        </c:scaling>
        <c:axPos val="b"/>
        <c:majorGridlines>
          <c:spPr>
            <a:ln w="9525" cap="flat" cmpd="sng" algn="ctr">
              <a:solidFill>
                <a:schemeClr val="tx1">
                  <a:lumMod val="15000"/>
                  <a:lumOff val="85000"/>
                </a:schemeClr>
              </a:solidFill>
              <a:round/>
            </a:ln>
            <a:effectLst/>
          </c:spPr>
        </c:majorGridlines>
        <c:title>
          <c:tx>
            <c:strRef>
              <c:f>рег!$G$1</c:f>
              <c:strCache>
                <c:ptCount val="1"/>
                <c:pt idx="0">
                  <c:v>FB_sub</c:v>
                </c:pt>
              </c:strCache>
            </c:strRef>
          </c:tx>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512640"/>
        <c:crosses val="autoZero"/>
        <c:crossBetween val="midCat"/>
      </c:valAx>
      <c:valAx>
        <c:axId val="348512640"/>
        <c:scaling>
          <c:orientation val="minMax"/>
          <c:min val="40"/>
        </c:scaling>
        <c:axPos val="l"/>
        <c:majorGridlines>
          <c:spPr>
            <a:ln w="9525" cap="flat" cmpd="sng" algn="ctr">
              <a:solidFill>
                <a:schemeClr val="tx1">
                  <a:lumMod val="15000"/>
                  <a:lumOff val="85000"/>
                </a:schemeClr>
              </a:solidFill>
              <a:round/>
            </a:ln>
            <a:effectLst/>
          </c:spPr>
        </c:majorGridlines>
        <c:title>
          <c:tx>
            <c:strRef>
              <c:f>рег!$K$1</c:f>
              <c:strCache>
                <c:ptCount val="1"/>
                <c:pt idx="0">
                  <c:v>Literacy</c:v>
                </c:pt>
              </c:strCache>
            </c:strRef>
          </c:tx>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98176"/>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ABA93C-36E2-4818-866F-046E0BE3F110}">
  <we:reference id="wa200005107" version="1.1.0.0" store="ru-RU"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B29DE-45CA-4296-85DD-3CEE1B60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11689</TotalTime>
  <Pages>150</Pages>
  <Words>51741</Words>
  <Characters>294924</Characters>
  <Application>Microsoft Office Word</Application>
  <DocSecurity>0</DocSecurity>
  <Lines>2457</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Галымжан Абишев</cp:lastModifiedBy>
  <cp:revision>353</cp:revision>
  <cp:lastPrinted>2026-05-26T11:34:00Z</cp:lastPrinted>
  <dcterms:created xsi:type="dcterms:W3CDTF">2024-10-13T03:52:00Z</dcterms:created>
  <dcterms:modified xsi:type="dcterms:W3CDTF">2026-05-26T11:59:00Z</dcterms:modified>
</cp:coreProperties>
</file>