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AF78F" w14:textId="77777777" w:rsidR="7590FA64" w:rsidRPr="00BE02A5" w:rsidRDefault="6811C8EE" w:rsidP="0BE2D7A4">
      <w:pPr>
        <w:spacing w:line="240" w:lineRule="auto"/>
        <w:jc w:val="center"/>
        <w:rPr>
          <w:rFonts w:ascii="Times New Roman" w:eastAsia="Times New Roman" w:hAnsi="Times New Roman" w:cs="Times New Roman"/>
          <w:sz w:val="28"/>
          <w:szCs w:val="28"/>
        </w:rPr>
      </w:pPr>
      <w:bookmarkStart w:id="0" w:name="_GoBack"/>
      <w:bookmarkEnd w:id="0"/>
      <w:r w:rsidRPr="65E36028">
        <w:rPr>
          <w:rFonts w:ascii="Times New Roman" w:eastAsia="Times New Roman" w:hAnsi="Times New Roman" w:cs="Times New Roman"/>
          <w:sz w:val="28"/>
          <w:szCs w:val="28"/>
        </w:rPr>
        <w:t xml:space="preserve"> </w:t>
      </w:r>
      <w:r w:rsidR="42F8A9D9" w:rsidRPr="65E36028">
        <w:rPr>
          <w:rFonts w:ascii="Times New Roman" w:eastAsia="Times New Roman" w:hAnsi="Times New Roman" w:cs="Times New Roman"/>
          <w:sz w:val="28"/>
          <w:szCs w:val="28"/>
        </w:rPr>
        <w:t>Евразийский Национальный университет им. Л. Н. Гумилева</w:t>
      </w:r>
    </w:p>
    <w:p w14:paraId="672A6659" w14:textId="77777777" w:rsidR="3C552ADE" w:rsidRPr="00BE02A5" w:rsidRDefault="3C552ADE" w:rsidP="0BE2D7A4">
      <w:pPr>
        <w:spacing w:line="240" w:lineRule="auto"/>
        <w:jc w:val="center"/>
        <w:rPr>
          <w:rFonts w:ascii="Times New Roman" w:eastAsia="Times New Roman" w:hAnsi="Times New Roman" w:cs="Times New Roman"/>
          <w:sz w:val="28"/>
          <w:szCs w:val="28"/>
        </w:rPr>
      </w:pPr>
    </w:p>
    <w:p w14:paraId="6E85F57E" w14:textId="77777777" w:rsidR="7590FA64" w:rsidRPr="00BE02A5" w:rsidRDefault="42F8A9D9" w:rsidP="0BE2D7A4">
      <w:pPr>
        <w:spacing w:line="240" w:lineRule="auto"/>
        <w:rPr>
          <w:rFonts w:ascii="Times New Roman" w:eastAsia="Times New Roman" w:hAnsi="Times New Roman" w:cs="Times New Roman"/>
          <w:sz w:val="28"/>
          <w:szCs w:val="28"/>
        </w:rPr>
      </w:pPr>
      <w:r w:rsidRPr="00BE02A5">
        <w:rPr>
          <w:rFonts w:ascii="Times New Roman" w:eastAsia="Times New Roman" w:hAnsi="Times New Roman" w:cs="Times New Roman"/>
          <w:sz w:val="28"/>
          <w:szCs w:val="28"/>
        </w:rPr>
        <w:t>327.83</w:t>
      </w:r>
      <w:r w:rsidR="7590FA64">
        <w:tab/>
      </w:r>
      <w:r w:rsidR="7590FA64">
        <w:tab/>
      </w:r>
      <w:r w:rsidR="7590FA64">
        <w:tab/>
      </w:r>
      <w:r w:rsidR="7590FA64">
        <w:tab/>
      </w:r>
      <w:r w:rsidR="7590FA64">
        <w:tab/>
      </w:r>
      <w:r w:rsidR="7590FA64">
        <w:tab/>
      </w:r>
      <w:r w:rsidR="7590FA64">
        <w:tab/>
      </w:r>
      <w:r w:rsidR="7590FA64">
        <w:tab/>
      </w:r>
      <w:r w:rsidRPr="00BE02A5">
        <w:rPr>
          <w:rFonts w:ascii="Times New Roman" w:eastAsia="Times New Roman" w:hAnsi="Times New Roman" w:cs="Times New Roman"/>
          <w:sz w:val="28"/>
          <w:szCs w:val="28"/>
        </w:rPr>
        <w:t xml:space="preserve">  На правах рукописи</w:t>
      </w:r>
    </w:p>
    <w:p w14:paraId="0A37501D" w14:textId="77777777" w:rsidR="3C552ADE" w:rsidRPr="00BE02A5" w:rsidRDefault="3C552ADE" w:rsidP="0BE2D7A4">
      <w:pPr>
        <w:spacing w:line="240" w:lineRule="auto"/>
        <w:rPr>
          <w:rFonts w:ascii="Times New Roman" w:eastAsia="Times New Roman" w:hAnsi="Times New Roman" w:cs="Times New Roman"/>
          <w:sz w:val="28"/>
          <w:szCs w:val="28"/>
        </w:rPr>
      </w:pPr>
    </w:p>
    <w:p w14:paraId="5DAB6C7B" w14:textId="77777777" w:rsidR="7315D5B6" w:rsidRDefault="7315D5B6" w:rsidP="7315D5B6">
      <w:pPr>
        <w:spacing w:line="240" w:lineRule="auto"/>
        <w:rPr>
          <w:rFonts w:ascii="Times New Roman" w:eastAsia="Times New Roman" w:hAnsi="Times New Roman" w:cs="Times New Roman"/>
          <w:sz w:val="28"/>
          <w:szCs w:val="28"/>
        </w:rPr>
      </w:pPr>
    </w:p>
    <w:p w14:paraId="06594DE4" w14:textId="77777777" w:rsidR="754B3F67" w:rsidRPr="00BE02A5" w:rsidRDefault="6F622D6E" w:rsidP="0BE2D7A4">
      <w:pPr>
        <w:spacing w:line="240" w:lineRule="auto"/>
        <w:jc w:val="center"/>
        <w:rPr>
          <w:rFonts w:ascii="Times New Roman" w:eastAsia="Times New Roman" w:hAnsi="Times New Roman" w:cs="Times New Roman"/>
          <w:b/>
          <w:bCs/>
          <w:sz w:val="28"/>
          <w:szCs w:val="28"/>
        </w:rPr>
      </w:pPr>
      <w:r w:rsidRPr="00BE02A5">
        <w:rPr>
          <w:rFonts w:ascii="Times New Roman" w:eastAsia="Times New Roman" w:hAnsi="Times New Roman" w:cs="Times New Roman"/>
          <w:b/>
          <w:bCs/>
          <w:sz w:val="28"/>
          <w:szCs w:val="28"/>
        </w:rPr>
        <w:t xml:space="preserve">ЖАРМАХАНОВА ЖАНСАУЛЕ ИБРАГИМҚЫЗЫ </w:t>
      </w:r>
    </w:p>
    <w:p w14:paraId="57B791B3" w14:textId="77777777" w:rsidR="754B3F67" w:rsidRDefault="6F622D6E" w:rsidP="0BE2D7A4">
      <w:pPr>
        <w:spacing w:line="240" w:lineRule="auto"/>
        <w:jc w:val="center"/>
        <w:rPr>
          <w:rFonts w:ascii="Times New Roman" w:hAnsi="Times New Roman" w:cs="Times New Roman"/>
          <w:b/>
          <w:bCs/>
          <w:sz w:val="28"/>
          <w:szCs w:val="28"/>
          <w:lang w:val="en-US"/>
        </w:rPr>
      </w:pPr>
      <w:r w:rsidRPr="0BE2D7A4">
        <w:rPr>
          <w:rFonts w:ascii="Times New Roman" w:hAnsi="Times New Roman" w:cs="Times New Roman"/>
          <w:b/>
          <w:bCs/>
          <w:sz w:val="28"/>
          <w:szCs w:val="28"/>
          <w:lang w:val="en-US"/>
        </w:rPr>
        <w:t>The EU-CA cooperation: Factors of cohesion under the new EU strategy for Central Asia</w:t>
      </w:r>
    </w:p>
    <w:p w14:paraId="02EB378F" w14:textId="77777777" w:rsidR="3C552ADE" w:rsidRDefault="3C552ADE" w:rsidP="0BE2D7A4">
      <w:pPr>
        <w:spacing w:line="240" w:lineRule="auto"/>
        <w:jc w:val="center"/>
        <w:rPr>
          <w:rFonts w:ascii="Times New Roman" w:eastAsia="Times New Roman" w:hAnsi="Times New Roman" w:cs="Times New Roman"/>
          <w:sz w:val="28"/>
          <w:szCs w:val="28"/>
          <w:lang w:val="en-US"/>
        </w:rPr>
      </w:pPr>
    </w:p>
    <w:p w14:paraId="54603DDF" w14:textId="77777777" w:rsidR="3AA8BB41" w:rsidRPr="00BE02A5" w:rsidRDefault="74604C60" w:rsidP="0BE2D7A4">
      <w:pPr>
        <w:spacing w:line="240" w:lineRule="auto"/>
        <w:jc w:val="center"/>
        <w:rPr>
          <w:rFonts w:ascii="Times New Roman" w:eastAsia="Times New Roman" w:hAnsi="Times New Roman" w:cs="Times New Roman"/>
          <w:sz w:val="28"/>
          <w:szCs w:val="28"/>
        </w:rPr>
      </w:pPr>
      <w:r w:rsidRPr="00BE02A5">
        <w:rPr>
          <w:rFonts w:ascii="Times New Roman" w:eastAsia="Times New Roman" w:hAnsi="Times New Roman" w:cs="Times New Roman"/>
          <w:sz w:val="28"/>
          <w:szCs w:val="28"/>
        </w:rPr>
        <w:t>8</w:t>
      </w:r>
      <w:r w:rsidRPr="0BE2D7A4">
        <w:rPr>
          <w:rFonts w:ascii="Times New Roman" w:eastAsia="Times New Roman" w:hAnsi="Times New Roman" w:cs="Times New Roman"/>
          <w:sz w:val="28"/>
          <w:szCs w:val="28"/>
          <w:lang w:val="en-US"/>
        </w:rPr>
        <w:t>D</w:t>
      </w:r>
      <w:r w:rsidRPr="00BE02A5">
        <w:rPr>
          <w:rFonts w:ascii="Times New Roman" w:eastAsia="Times New Roman" w:hAnsi="Times New Roman" w:cs="Times New Roman"/>
          <w:sz w:val="28"/>
          <w:szCs w:val="28"/>
        </w:rPr>
        <w:t xml:space="preserve">03102- Международные отношения </w:t>
      </w:r>
    </w:p>
    <w:p w14:paraId="6A05A809" w14:textId="77777777" w:rsidR="3C552ADE" w:rsidRPr="00BE02A5" w:rsidRDefault="3C552ADE" w:rsidP="0BE2D7A4">
      <w:pPr>
        <w:spacing w:line="240" w:lineRule="auto"/>
        <w:jc w:val="center"/>
        <w:rPr>
          <w:rFonts w:ascii="Times New Roman" w:eastAsia="Times New Roman" w:hAnsi="Times New Roman" w:cs="Times New Roman"/>
          <w:sz w:val="28"/>
          <w:szCs w:val="28"/>
        </w:rPr>
      </w:pPr>
    </w:p>
    <w:p w14:paraId="69649DBD" w14:textId="77777777" w:rsidR="3AA8BB41" w:rsidRPr="00BE02A5" w:rsidRDefault="74604C60" w:rsidP="0BE2D7A4">
      <w:pPr>
        <w:spacing w:line="240" w:lineRule="auto"/>
        <w:jc w:val="center"/>
        <w:rPr>
          <w:rFonts w:ascii="Times New Roman" w:eastAsia="Times New Roman" w:hAnsi="Times New Roman" w:cs="Times New Roman"/>
          <w:sz w:val="28"/>
          <w:szCs w:val="28"/>
        </w:rPr>
      </w:pPr>
      <w:r w:rsidRPr="00BE02A5">
        <w:rPr>
          <w:rFonts w:ascii="Times New Roman" w:eastAsia="Times New Roman" w:hAnsi="Times New Roman" w:cs="Times New Roman"/>
          <w:sz w:val="28"/>
          <w:szCs w:val="28"/>
        </w:rPr>
        <w:t>Диссертация на соискание ученой степени доктора философии (</w:t>
      </w:r>
      <w:r w:rsidRPr="0BE2D7A4">
        <w:rPr>
          <w:rFonts w:ascii="Times New Roman" w:eastAsia="Times New Roman" w:hAnsi="Times New Roman" w:cs="Times New Roman"/>
          <w:sz w:val="28"/>
          <w:szCs w:val="28"/>
          <w:lang w:val="en-US"/>
        </w:rPr>
        <w:t>PhD</w:t>
      </w:r>
      <w:r w:rsidRPr="00BE02A5">
        <w:rPr>
          <w:rFonts w:ascii="Times New Roman" w:eastAsia="Times New Roman" w:hAnsi="Times New Roman" w:cs="Times New Roman"/>
          <w:sz w:val="28"/>
          <w:szCs w:val="28"/>
        </w:rPr>
        <w:t>)</w:t>
      </w:r>
    </w:p>
    <w:p w14:paraId="5A39BBE3" w14:textId="77777777" w:rsidR="3C552ADE" w:rsidRPr="00BE02A5" w:rsidRDefault="3C552ADE" w:rsidP="0BE2D7A4">
      <w:pPr>
        <w:spacing w:line="240" w:lineRule="auto"/>
        <w:jc w:val="center"/>
        <w:rPr>
          <w:rFonts w:ascii="Times New Roman" w:eastAsia="Times New Roman" w:hAnsi="Times New Roman" w:cs="Times New Roman"/>
          <w:sz w:val="28"/>
          <w:szCs w:val="28"/>
        </w:rPr>
      </w:pPr>
    </w:p>
    <w:p w14:paraId="20FCF231" w14:textId="77777777" w:rsidR="3AA8BB41" w:rsidRPr="00BE02A5" w:rsidRDefault="74604C60" w:rsidP="0BE2D7A4">
      <w:pPr>
        <w:spacing w:line="240" w:lineRule="auto"/>
        <w:jc w:val="right"/>
        <w:rPr>
          <w:rFonts w:ascii="Times New Roman" w:eastAsia="Times New Roman" w:hAnsi="Times New Roman" w:cs="Times New Roman"/>
          <w:sz w:val="28"/>
          <w:szCs w:val="28"/>
        </w:rPr>
      </w:pPr>
      <w:r w:rsidRPr="00BE02A5">
        <w:rPr>
          <w:rFonts w:ascii="Times New Roman" w:eastAsia="Times New Roman" w:hAnsi="Times New Roman" w:cs="Times New Roman"/>
          <w:sz w:val="28"/>
          <w:szCs w:val="28"/>
        </w:rPr>
        <w:t>Научный консультант</w:t>
      </w:r>
    </w:p>
    <w:p w14:paraId="5032FD7A" w14:textId="77777777" w:rsidR="3AA8BB41" w:rsidRPr="00BE02A5" w:rsidRDefault="74604C60" w:rsidP="0BE2D7A4">
      <w:pPr>
        <w:spacing w:after="0" w:line="240" w:lineRule="auto"/>
        <w:jc w:val="right"/>
        <w:rPr>
          <w:rFonts w:ascii="Times New Roman" w:eastAsia="Times New Roman" w:hAnsi="Times New Roman" w:cs="Times New Roman"/>
          <w:sz w:val="28"/>
          <w:szCs w:val="28"/>
        </w:rPr>
      </w:pPr>
      <w:r w:rsidRPr="00BE02A5">
        <w:rPr>
          <w:rFonts w:ascii="Times New Roman" w:eastAsia="Times New Roman" w:hAnsi="Times New Roman" w:cs="Times New Roman"/>
          <w:sz w:val="28"/>
          <w:szCs w:val="28"/>
        </w:rPr>
        <w:t>Нурдавлетова Сания Моряковна,</w:t>
      </w:r>
    </w:p>
    <w:p w14:paraId="0140B33C" w14:textId="77777777" w:rsidR="3AA8BB41" w:rsidRPr="00BE02A5" w:rsidRDefault="74604C60" w:rsidP="0BE2D7A4">
      <w:pPr>
        <w:spacing w:after="0" w:line="240" w:lineRule="auto"/>
        <w:jc w:val="right"/>
        <w:rPr>
          <w:rFonts w:ascii="Times New Roman" w:eastAsia="Times New Roman" w:hAnsi="Times New Roman" w:cs="Times New Roman"/>
          <w:sz w:val="28"/>
          <w:szCs w:val="28"/>
        </w:rPr>
      </w:pPr>
      <w:r w:rsidRPr="00BE02A5">
        <w:rPr>
          <w:rFonts w:ascii="Times New Roman" w:eastAsia="Times New Roman" w:hAnsi="Times New Roman" w:cs="Times New Roman"/>
          <w:sz w:val="28"/>
          <w:szCs w:val="28"/>
        </w:rPr>
        <w:t xml:space="preserve"> к.и.н., и.о. </w:t>
      </w:r>
      <w:r w:rsidR="7EE7A3A6" w:rsidRPr="00BE02A5">
        <w:rPr>
          <w:rFonts w:ascii="Times New Roman" w:eastAsia="Times New Roman" w:hAnsi="Times New Roman" w:cs="Times New Roman"/>
          <w:sz w:val="28"/>
          <w:szCs w:val="28"/>
        </w:rPr>
        <w:t xml:space="preserve">профессора </w:t>
      </w:r>
    </w:p>
    <w:p w14:paraId="5780A39C" w14:textId="77777777" w:rsidR="3AA8BB41" w:rsidRPr="00BE02A5" w:rsidRDefault="74604C60" w:rsidP="0BE2D7A4">
      <w:pPr>
        <w:spacing w:after="0" w:line="240" w:lineRule="auto"/>
        <w:jc w:val="right"/>
        <w:rPr>
          <w:rFonts w:ascii="Times New Roman" w:eastAsia="Times New Roman" w:hAnsi="Times New Roman" w:cs="Times New Roman"/>
          <w:sz w:val="28"/>
          <w:szCs w:val="28"/>
        </w:rPr>
      </w:pPr>
      <w:r w:rsidRPr="00BE02A5">
        <w:rPr>
          <w:rFonts w:ascii="Times New Roman" w:eastAsia="Times New Roman" w:hAnsi="Times New Roman" w:cs="Times New Roman"/>
          <w:sz w:val="28"/>
          <w:szCs w:val="28"/>
        </w:rPr>
        <w:t>кафедры междунаро</w:t>
      </w:r>
      <w:r w:rsidR="12EF0B95" w:rsidRPr="00BE02A5">
        <w:rPr>
          <w:rFonts w:ascii="Times New Roman" w:eastAsia="Times New Roman" w:hAnsi="Times New Roman" w:cs="Times New Roman"/>
          <w:sz w:val="28"/>
          <w:szCs w:val="28"/>
        </w:rPr>
        <w:t>дных отношений</w:t>
      </w:r>
    </w:p>
    <w:p w14:paraId="41C8F396" w14:textId="77777777" w:rsidR="3C552ADE" w:rsidRPr="00BE02A5" w:rsidRDefault="3C552ADE" w:rsidP="0BE2D7A4">
      <w:pPr>
        <w:spacing w:line="240" w:lineRule="auto"/>
        <w:jc w:val="right"/>
        <w:rPr>
          <w:rFonts w:ascii="Times New Roman" w:eastAsia="Times New Roman" w:hAnsi="Times New Roman" w:cs="Times New Roman"/>
          <w:sz w:val="28"/>
          <w:szCs w:val="28"/>
        </w:rPr>
      </w:pPr>
    </w:p>
    <w:p w14:paraId="605CAADB" w14:textId="77777777" w:rsidR="3AA8BB41" w:rsidRPr="00BE02A5" w:rsidRDefault="74604C60" w:rsidP="0BE2D7A4">
      <w:pPr>
        <w:spacing w:line="240" w:lineRule="auto"/>
        <w:jc w:val="right"/>
        <w:rPr>
          <w:rFonts w:ascii="Times New Roman" w:eastAsia="Times New Roman" w:hAnsi="Times New Roman" w:cs="Times New Roman"/>
          <w:sz w:val="28"/>
          <w:szCs w:val="28"/>
        </w:rPr>
      </w:pPr>
      <w:r w:rsidRPr="00BE02A5">
        <w:rPr>
          <w:rFonts w:ascii="Times New Roman" w:eastAsia="Times New Roman" w:hAnsi="Times New Roman" w:cs="Times New Roman"/>
          <w:sz w:val="28"/>
          <w:szCs w:val="28"/>
        </w:rPr>
        <w:t>Зарубежный консультант</w:t>
      </w:r>
    </w:p>
    <w:p w14:paraId="4F77BCD0" w14:textId="77777777" w:rsidR="3AA8BB41" w:rsidRPr="00BE02A5" w:rsidRDefault="74604C60" w:rsidP="0BE2D7A4">
      <w:pPr>
        <w:spacing w:after="0" w:line="240" w:lineRule="auto"/>
        <w:jc w:val="right"/>
        <w:rPr>
          <w:rFonts w:ascii="Times New Roman" w:eastAsia="Times New Roman" w:hAnsi="Times New Roman" w:cs="Times New Roman"/>
          <w:sz w:val="28"/>
          <w:szCs w:val="28"/>
        </w:rPr>
      </w:pPr>
      <w:r w:rsidRPr="00BE02A5">
        <w:rPr>
          <w:rFonts w:ascii="Times New Roman" w:eastAsia="Times New Roman" w:hAnsi="Times New Roman" w:cs="Times New Roman"/>
          <w:sz w:val="28"/>
          <w:szCs w:val="28"/>
        </w:rPr>
        <w:t>Антонио Алонсо Маркос</w:t>
      </w:r>
    </w:p>
    <w:p w14:paraId="28CEE524" w14:textId="77777777" w:rsidR="3AA8BB41" w:rsidRPr="00BE02A5" w:rsidRDefault="74604C60" w:rsidP="0BE2D7A4">
      <w:pPr>
        <w:spacing w:after="0" w:line="240" w:lineRule="auto"/>
        <w:jc w:val="right"/>
        <w:rPr>
          <w:rFonts w:ascii="Times New Roman" w:eastAsia="Times New Roman" w:hAnsi="Times New Roman" w:cs="Times New Roman"/>
          <w:sz w:val="28"/>
          <w:szCs w:val="28"/>
        </w:rPr>
      </w:pPr>
      <w:r w:rsidRPr="0BE2D7A4">
        <w:rPr>
          <w:rFonts w:ascii="Times New Roman" w:eastAsia="Times New Roman" w:hAnsi="Times New Roman" w:cs="Times New Roman"/>
          <w:sz w:val="28"/>
          <w:szCs w:val="28"/>
          <w:lang w:val="en-US"/>
        </w:rPr>
        <w:t>PhD</w:t>
      </w:r>
      <w:r w:rsidRPr="00BE02A5">
        <w:rPr>
          <w:rFonts w:ascii="Times New Roman" w:eastAsia="Times New Roman" w:hAnsi="Times New Roman" w:cs="Times New Roman"/>
          <w:sz w:val="28"/>
          <w:szCs w:val="28"/>
        </w:rPr>
        <w:t xml:space="preserve">, профессор </w:t>
      </w:r>
    </w:p>
    <w:p w14:paraId="70628EB3" w14:textId="77777777" w:rsidR="3AA8BB41" w:rsidRPr="00BE02A5" w:rsidRDefault="74604C60" w:rsidP="0BE2D7A4">
      <w:pPr>
        <w:spacing w:after="0" w:line="240" w:lineRule="auto"/>
        <w:jc w:val="right"/>
        <w:rPr>
          <w:rFonts w:ascii="Times New Roman" w:eastAsia="Times New Roman" w:hAnsi="Times New Roman" w:cs="Times New Roman"/>
          <w:sz w:val="28"/>
          <w:szCs w:val="28"/>
        </w:rPr>
      </w:pPr>
      <w:r w:rsidRPr="00BE02A5">
        <w:rPr>
          <w:rFonts w:ascii="Times New Roman" w:eastAsia="Times New Roman" w:hAnsi="Times New Roman" w:cs="Times New Roman"/>
          <w:sz w:val="28"/>
          <w:szCs w:val="28"/>
        </w:rPr>
        <w:t>Университе</w:t>
      </w:r>
      <w:r w:rsidR="2294852D" w:rsidRPr="00BE02A5">
        <w:rPr>
          <w:rFonts w:ascii="Times New Roman" w:eastAsia="Times New Roman" w:hAnsi="Times New Roman" w:cs="Times New Roman"/>
          <w:sz w:val="28"/>
          <w:szCs w:val="28"/>
        </w:rPr>
        <w:t>т</w:t>
      </w:r>
      <w:r w:rsidRPr="00BE02A5">
        <w:rPr>
          <w:rFonts w:ascii="Times New Roman" w:eastAsia="Times New Roman" w:hAnsi="Times New Roman" w:cs="Times New Roman"/>
          <w:sz w:val="28"/>
          <w:szCs w:val="28"/>
        </w:rPr>
        <w:t xml:space="preserve"> Сан-Пабло</w:t>
      </w:r>
    </w:p>
    <w:p w14:paraId="72A3D3EC" w14:textId="77777777" w:rsidR="3C552ADE" w:rsidRPr="00BE02A5" w:rsidRDefault="3C552ADE" w:rsidP="0BE2D7A4">
      <w:pPr>
        <w:spacing w:line="240" w:lineRule="auto"/>
        <w:jc w:val="right"/>
        <w:rPr>
          <w:rFonts w:ascii="Times New Roman" w:eastAsia="Times New Roman" w:hAnsi="Times New Roman" w:cs="Times New Roman"/>
          <w:sz w:val="28"/>
          <w:szCs w:val="28"/>
        </w:rPr>
      </w:pPr>
    </w:p>
    <w:p w14:paraId="0D0B940D" w14:textId="77777777" w:rsidR="3C552ADE" w:rsidRPr="00BE02A5" w:rsidRDefault="3C552ADE" w:rsidP="0BE2D7A4">
      <w:pPr>
        <w:spacing w:line="240" w:lineRule="auto"/>
        <w:jc w:val="right"/>
        <w:rPr>
          <w:rFonts w:ascii="Times New Roman" w:eastAsia="Times New Roman" w:hAnsi="Times New Roman" w:cs="Times New Roman"/>
          <w:sz w:val="28"/>
          <w:szCs w:val="28"/>
        </w:rPr>
      </w:pPr>
    </w:p>
    <w:p w14:paraId="0E27B00A" w14:textId="77777777" w:rsidR="3C552ADE" w:rsidRPr="00BE02A5" w:rsidRDefault="3C552ADE" w:rsidP="0BE2D7A4">
      <w:pPr>
        <w:spacing w:line="240" w:lineRule="auto"/>
        <w:jc w:val="right"/>
        <w:rPr>
          <w:rFonts w:ascii="Times New Roman" w:eastAsia="Times New Roman" w:hAnsi="Times New Roman" w:cs="Times New Roman"/>
          <w:sz w:val="28"/>
          <w:szCs w:val="28"/>
        </w:rPr>
      </w:pPr>
    </w:p>
    <w:p w14:paraId="60061E4C" w14:textId="77777777" w:rsidR="3C552ADE" w:rsidRPr="00BE02A5" w:rsidRDefault="3C552ADE" w:rsidP="0BE2D7A4">
      <w:pPr>
        <w:spacing w:line="240" w:lineRule="auto"/>
        <w:jc w:val="right"/>
        <w:rPr>
          <w:rFonts w:ascii="Times New Roman" w:eastAsia="Times New Roman" w:hAnsi="Times New Roman" w:cs="Times New Roman"/>
          <w:sz w:val="28"/>
          <w:szCs w:val="28"/>
        </w:rPr>
      </w:pPr>
    </w:p>
    <w:p w14:paraId="44EAFD9C" w14:textId="77777777" w:rsidR="3C552ADE" w:rsidRPr="00BE02A5" w:rsidRDefault="3C552ADE" w:rsidP="0BE2D7A4">
      <w:pPr>
        <w:spacing w:line="240" w:lineRule="auto"/>
        <w:jc w:val="right"/>
        <w:rPr>
          <w:rFonts w:ascii="Times New Roman" w:eastAsia="Times New Roman" w:hAnsi="Times New Roman" w:cs="Times New Roman"/>
          <w:sz w:val="28"/>
          <w:szCs w:val="28"/>
        </w:rPr>
      </w:pPr>
    </w:p>
    <w:p w14:paraId="4B94D5A5" w14:textId="77777777" w:rsidR="3C552ADE" w:rsidRPr="00BE02A5" w:rsidRDefault="3C552ADE" w:rsidP="0BE2D7A4">
      <w:pPr>
        <w:spacing w:line="240" w:lineRule="auto"/>
        <w:jc w:val="right"/>
        <w:rPr>
          <w:rFonts w:ascii="Times New Roman" w:eastAsia="Times New Roman" w:hAnsi="Times New Roman" w:cs="Times New Roman"/>
          <w:sz w:val="28"/>
          <w:szCs w:val="28"/>
        </w:rPr>
      </w:pPr>
    </w:p>
    <w:p w14:paraId="3DEEC669" w14:textId="77777777" w:rsidR="3C552ADE" w:rsidRPr="00BE02A5" w:rsidRDefault="3C552ADE" w:rsidP="0BE2D7A4">
      <w:pPr>
        <w:spacing w:line="240" w:lineRule="auto"/>
        <w:jc w:val="right"/>
        <w:rPr>
          <w:rFonts w:ascii="Times New Roman" w:eastAsia="Times New Roman" w:hAnsi="Times New Roman" w:cs="Times New Roman"/>
          <w:sz w:val="28"/>
          <w:szCs w:val="28"/>
        </w:rPr>
      </w:pPr>
    </w:p>
    <w:p w14:paraId="6FC03572" w14:textId="77777777" w:rsidR="3AA8BB41" w:rsidRPr="00BE02A5" w:rsidRDefault="74604C60" w:rsidP="0BE2D7A4">
      <w:pPr>
        <w:spacing w:after="0" w:line="240" w:lineRule="auto"/>
        <w:jc w:val="center"/>
        <w:rPr>
          <w:rFonts w:ascii="Times New Roman" w:eastAsia="Times New Roman" w:hAnsi="Times New Roman" w:cs="Times New Roman"/>
          <w:sz w:val="28"/>
          <w:szCs w:val="28"/>
        </w:rPr>
      </w:pPr>
      <w:r w:rsidRPr="00BE02A5">
        <w:rPr>
          <w:rFonts w:ascii="Times New Roman" w:eastAsia="Times New Roman" w:hAnsi="Times New Roman" w:cs="Times New Roman"/>
          <w:sz w:val="28"/>
          <w:szCs w:val="28"/>
        </w:rPr>
        <w:t xml:space="preserve">Республика Казахстан </w:t>
      </w:r>
    </w:p>
    <w:p w14:paraId="7E8DE28A" w14:textId="77777777" w:rsidR="3AA8BB41" w:rsidRDefault="74604C60" w:rsidP="0BE2D7A4">
      <w:pPr>
        <w:spacing w:after="0" w:line="240" w:lineRule="auto"/>
        <w:jc w:val="center"/>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Астана, 202</w:t>
      </w:r>
      <w:r w:rsidR="3FBB901B" w:rsidRPr="0BE2D7A4">
        <w:rPr>
          <w:rFonts w:ascii="Times New Roman" w:eastAsia="Times New Roman" w:hAnsi="Times New Roman" w:cs="Times New Roman"/>
          <w:sz w:val="28"/>
          <w:szCs w:val="28"/>
          <w:lang w:val="en-US"/>
        </w:rPr>
        <w:t>5</w:t>
      </w:r>
    </w:p>
    <w:p w14:paraId="3656B9AB" w14:textId="77777777" w:rsidR="0BE2D7A4" w:rsidRDefault="0BE2D7A4" w:rsidP="0BE2D7A4">
      <w:pPr>
        <w:spacing w:after="0" w:line="240" w:lineRule="auto"/>
        <w:jc w:val="center"/>
        <w:rPr>
          <w:rFonts w:ascii="Times New Roman" w:eastAsia="Times New Roman" w:hAnsi="Times New Roman" w:cs="Times New Roman"/>
          <w:sz w:val="28"/>
          <w:szCs w:val="28"/>
          <w:lang w:val="en-US"/>
        </w:rPr>
      </w:pPr>
    </w:p>
    <w:p w14:paraId="45FB0818" w14:textId="77777777" w:rsidR="0BE2D7A4" w:rsidRDefault="0BE2D7A4" w:rsidP="0BE2D7A4">
      <w:pPr>
        <w:spacing w:after="0" w:line="240" w:lineRule="auto"/>
        <w:jc w:val="center"/>
        <w:rPr>
          <w:rFonts w:ascii="Times New Roman" w:eastAsia="Times New Roman" w:hAnsi="Times New Roman" w:cs="Times New Roman"/>
          <w:sz w:val="28"/>
          <w:szCs w:val="28"/>
          <w:lang w:val="en-US"/>
        </w:rPr>
      </w:pPr>
    </w:p>
    <w:p w14:paraId="049F31CB" w14:textId="77777777" w:rsidR="0BE2D7A4" w:rsidRDefault="0BE2D7A4" w:rsidP="0BE2D7A4">
      <w:pPr>
        <w:spacing w:after="0" w:line="240" w:lineRule="auto"/>
        <w:jc w:val="center"/>
        <w:rPr>
          <w:rFonts w:ascii="Times New Roman" w:eastAsia="Times New Roman" w:hAnsi="Times New Roman" w:cs="Times New Roman"/>
          <w:sz w:val="28"/>
          <w:szCs w:val="28"/>
          <w:lang w:val="en-US"/>
        </w:rPr>
      </w:pPr>
    </w:p>
    <w:p w14:paraId="2B73DF18" w14:textId="77777777" w:rsidR="00DD07CF" w:rsidRDefault="155010CB" w:rsidP="0BE2D7A4">
      <w:pPr>
        <w:spacing w:line="240" w:lineRule="auto"/>
        <w:jc w:val="center"/>
        <w:rPr>
          <w:rFonts w:ascii="Times New Roman" w:hAnsi="Times New Roman" w:cs="Times New Roman"/>
          <w:sz w:val="28"/>
          <w:szCs w:val="28"/>
          <w:lang w:val="en-US"/>
        </w:rPr>
      </w:pPr>
      <w:r w:rsidRPr="0BE2D7A4">
        <w:rPr>
          <w:rFonts w:ascii="Times New Roman" w:hAnsi="Times New Roman" w:cs="Times New Roman"/>
          <w:sz w:val="28"/>
          <w:szCs w:val="28"/>
          <w:lang w:val="en-US"/>
        </w:rPr>
        <w:lastRenderedPageBreak/>
        <w:t xml:space="preserve">  L.N.Gumilyov Eurasian National Universit</w:t>
      </w:r>
      <w:r w:rsidR="000F7377" w:rsidRPr="0BE2D7A4">
        <w:rPr>
          <w:rFonts w:ascii="Times New Roman" w:hAnsi="Times New Roman" w:cs="Times New Roman"/>
          <w:sz w:val="28"/>
          <w:szCs w:val="28"/>
          <w:lang w:val="en-US"/>
        </w:rPr>
        <w:t>y</w:t>
      </w:r>
    </w:p>
    <w:p w14:paraId="53128261" w14:textId="77777777" w:rsidR="0BE2D7A4" w:rsidRDefault="0BE2D7A4" w:rsidP="0BE2D7A4">
      <w:pPr>
        <w:spacing w:line="240" w:lineRule="auto"/>
        <w:jc w:val="center"/>
        <w:rPr>
          <w:rFonts w:ascii="Times New Roman" w:hAnsi="Times New Roman" w:cs="Times New Roman"/>
          <w:sz w:val="28"/>
          <w:szCs w:val="28"/>
          <w:lang w:val="en-US"/>
        </w:rPr>
      </w:pPr>
    </w:p>
    <w:p w14:paraId="0502E714" w14:textId="77777777" w:rsidR="00DD07CF" w:rsidRDefault="666F4046" w:rsidP="0BE2D7A4">
      <w:pPr>
        <w:spacing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UDC 327.83</w:t>
      </w:r>
      <w:r w:rsidRPr="00BE02A5">
        <w:rPr>
          <w:lang w:val="en-US"/>
        </w:rPr>
        <w:tab/>
      </w:r>
      <w:r w:rsidRPr="00BE02A5">
        <w:rPr>
          <w:lang w:val="en-US"/>
        </w:rPr>
        <w:tab/>
      </w:r>
      <w:r w:rsidRPr="00BE02A5">
        <w:rPr>
          <w:lang w:val="en-US"/>
        </w:rPr>
        <w:tab/>
      </w:r>
      <w:r w:rsidRPr="00BE02A5">
        <w:rPr>
          <w:lang w:val="en-US"/>
        </w:rPr>
        <w:tab/>
      </w:r>
      <w:r w:rsidRPr="00BE02A5">
        <w:rPr>
          <w:lang w:val="en-US"/>
        </w:rPr>
        <w:tab/>
      </w:r>
      <w:r w:rsidRPr="00BE02A5">
        <w:rPr>
          <w:lang w:val="en-US"/>
        </w:rPr>
        <w:tab/>
      </w:r>
      <w:r w:rsidRPr="00BE02A5">
        <w:rPr>
          <w:lang w:val="en-US"/>
        </w:rPr>
        <w:tab/>
      </w:r>
      <w:r w:rsidRPr="0BE2D7A4">
        <w:rPr>
          <w:rFonts w:ascii="Times New Roman" w:eastAsia="Times New Roman" w:hAnsi="Times New Roman" w:cs="Times New Roman"/>
          <w:sz w:val="28"/>
          <w:szCs w:val="28"/>
          <w:lang w:val="en-US"/>
        </w:rPr>
        <w:t xml:space="preserve">          As a manuscript</w:t>
      </w:r>
    </w:p>
    <w:p w14:paraId="62486C05" w14:textId="77777777" w:rsidR="00DD07CF" w:rsidRDefault="00DD07CF" w:rsidP="0BE2D7A4">
      <w:pPr>
        <w:spacing w:line="240" w:lineRule="auto"/>
        <w:jc w:val="center"/>
        <w:rPr>
          <w:rFonts w:ascii="Times New Roman" w:hAnsi="Times New Roman" w:cs="Times New Roman"/>
          <w:sz w:val="28"/>
          <w:szCs w:val="28"/>
          <w:lang w:val="en-US"/>
        </w:rPr>
      </w:pPr>
    </w:p>
    <w:p w14:paraId="4101652C" w14:textId="77777777" w:rsidR="00DD07CF" w:rsidRDefault="00DD07CF" w:rsidP="0BE2D7A4">
      <w:pPr>
        <w:spacing w:line="240" w:lineRule="auto"/>
        <w:jc w:val="center"/>
        <w:rPr>
          <w:rFonts w:ascii="Times New Roman" w:hAnsi="Times New Roman" w:cs="Times New Roman"/>
          <w:sz w:val="28"/>
          <w:szCs w:val="28"/>
          <w:lang w:val="en-US"/>
        </w:rPr>
      </w:pPr>
    </w:p>
    <w:p w14:paraId="4B99056E" w14:textId="77777777" w:rsidR="00DD07CF" w:rsidRDefault="00DD07CF" w:rsidP="0BE2D7A4">
      <w:pPr>
        <w:spacing w:line="240" w:lineRule="auto"/>
        <w:jc w:val="center"/>
        <w:rPr>
          <w:rFonts w:ascii="Times New Roman" w:hAnsi="Times New Roman" w:cs="Times New Roman"/>
          <w:sz w:val="28"/>
          <w:szCs w:val="28"/>
          <w:lang w:val="en-US"/>
        </w:rPr>
      </w:pPr>
    </w:p>
    <w:p w14:paraId="1F7FD252" w14:textId="77777777" w:rsidR="00DD07CF" w:rsidRDefault="0BE2D7A4" w:rsidP="0BE2D7A4">
      <w:pPr>
        <w:spacing w:line="240" w:lineRule="auto"/>
        <w:jc w:val="center"/>
        <w:rPr>
          <w:rFonts w:ascii="Times New Roman" w:hAnsi="Times New Roman" w:cs="Times New Roman"/>
          <w:b/>
          <w:bCs/>
          <w:sz w:val="28"/>
          <w:szCs w:val="28"/>
          <w:lang w:val="en-US"/>
        </w:rPr>
      </w:pPr>
      <w:r w:rsidRPr="0BE2D7A4">
        <w:rPr>
          <w:rFonts w:ascii="Times New Roman" w:hAnsi="Times New Roman" w:cs="Times New Roman"/>
          <w:b/>
          <w:bCs/>
          <w:sz w:val="28"/>
          <w:szCs w:val="28"/>
          <w:lang w:val="en-US"/>
        </w:rPr>
        <w:t>ZHANSAULE ZHARMAKHANOVA</w:t>
      </w:r>
    </w:p>
    <w:p w14:paraId="1299C43A" w14:textId="77777777" w:rsidR="00DD07CF" w:rsidRDefault="00DD07CF" w:rsidP="0BE2D7A4">
      <w:pPr>
        <w:spacing w:line="240" w:lineRule="auto"/>
        <w:jc w:val="center"/>
        <w:rPr>
          <w:rFonts w:ascii="Times New Roman" w:hAnsi="Times New Roman" w:cs="Times New Roman"/>
          <w:b/>
          <w:bCs/>
          <w:sz w:val="28"/>
          <w:szCs w:val="28"/>
          <w:lang w:val="en-US"/>
        </w:rPr>
      </w:pPr>
    </w:p>
    <w:p w14:paraId="2EB7637B" w14:textId="77777777" w:rsidR="00DD07CF" w:rsidRDefault="155010CB" w:rsidP="0BE2D7A4">
      <w:pPr>
        <w:spacing w:line="240" w:lineRule="auto"/>
        <w:jc w:val="center"/>
        <w:rPr>
          <w:rFonts w:ascii="Times New Roman" w:hAnsi="Times New Roman" w:cs="Times New Roman"/>
          <w:b/>
          <w:bCs/>
          <w:sz w:val="28"/>
          <w:szCs w:val="28"/>
          <w:lang w:val="en-US"/>
        </w:rPr>
      </w:pPr>
      <w:r w:rsidRPr="0BE2D7A4">
        <w:rPr>
          <w:rFonts w:ascii="Times New Roman" w:hAnsi="Times New Roman" w:cs="Times New Roman"/>
          <w:b/>
          <w:bCs/>
          <w:sz w:val="28"/>
          <w:szCs w:val="28"/>
          <w:lang w:val="en-US"/>
        </w:rPr>
        <w:t>The EU-CA cooperation: factors of cohesion under the new EU strategy for Central Asia</w:t>
      </w:r>
    </w:p>
    <w:p w14:paraId="4DDBEF00" w14:textId="77777777" w:rsidR="00DD07CF" w:rsidRDefault="00DD07CF" w:rsidP="0BE2D7A4">
      <w:pPr>
        <w:spacing w:line="240" w:lineRule="auto"/>
        <w:jc w:val="center"/>
        <w:rPr>
          <w:rFonts w:ascii="Times New Roman" w:hAnsi="Times New Roman" w:cs="Times New Roman"/>
          <w:sz w:val="28"/>
          <w:szCs w:val="28"/>
          <w:lang w:val="en-US"/>
        </w:rPr>
      </w:pPr>
    </w:p>
    <w:p w14:paraId="662C22C0" w14:textId="77777777" w:rsidR="24C45660" w:rsidRDefault="5B409CDB" w:rsidP="0BE2D7A4">
      <w:pPr>
        <w:spacing w:line="240" w:lineRule="auto"/>
        <w:jc w:val="center"/>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8D03102- International Relations </w:t>
      </w:r>
    </w:p>
    <w:p w14:paraId="3461D779" w14:textId="77777777" w:rsidR="3C552ADE" w:rsidRDefault="3C552ADE" w:rsidP="0BE2D7A4">
      <w:pPr>
        <w:spacing w:line="240" w:lineRule="auto"/>
        <w:jc w:val="center"/>
        <w:rPr>
          <w:rFonts w:ascii="Times New Roman" w:eastAsia="Times New Roman" w:hAnsi="Times New Roman" w:cs="Times New Roman"/>
          <w:sz w:val="28"/>
          <w:szCs w:val="28"/>
          <w:lang w:val="en-US"/>
        </w:rPr>
      </w:pPr>
    </w:p>
    <w:p w14:paraId="1E1CFF77" w14:textId="77777777" w:rsidR="24C45660" w:rsidRDefault="5B409CDB" w:rsidP="0BE2D7A4">
      <w:pPr>
        <w:spacing w:after="0" w:line="240" w:lineRule="auto"/>
        <w:jc w:val="center"/>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Dissertation for the degree of</w:t>
      </w:r>
    </w:p>
    <w:p w14:paraId="3D25F6C4" w14:textId="77777777" w:rsidR="24C45660" w:rsidRDefault="5B409CDB" w:rsidP="0BE2D7A4">
      <w:pPr>
        <w:spacing w:after="0" w:line="240" w:lineRule="auto"/>
        <w:jc w:val="center"/>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 Doctor of Philosophy (PhD)</w:t>
      </w:r>
    </w:p>
    <w:p w14:paraId="3CF2D8B6" w14:textId="77777777" w:rsidR="3C552ADE" w:rsidRDefault="3C552ADE" w:rsidP="0BE2D7A4">
      <w:pPr>
        <w:spacing w:after="0" w:line="240" w:lineRule="auto"/>
        <w:jc w:val="center"/>
        <w:rPr>
          <w:rFonts w:ascii="Times New Roman" w:eastAsia="Times New Roman" w:hAnsi="Times New Roman" w:cs="Times New Roman"/>
          <w:sz w:val="28"/>
          <w:szCs w:val="28"/>
          <w:lang w:val="en-US"/>
        </w:rPr>
      </w:pPr>
    </w:p>
    <w:p w14:paraId="2221E276" w14:textId="77777777" w:rsidR="00DD07CF" w:rsidRDefault="155010CB" w:rsidP="0BE2D7A4">
      <w:pPr>
        <w:spacing w:after="0" w:line="240" w:lineRule="auto"/>
        <w:jc w:val="right"/>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Scientific </w:t>
      </w:r>
      <w:r w:rsidR="16A8AED2" w:rsidRPr="0BE2D7A4">
        <w:rPr>
          <w:rFonts w:ascii="Times New Roman" w:hAnsi="Times New Roman" w:cs="Times New Roman"/>
          <w:sz w:val="28"/>
          <w:szCs w:val="28"/>
          <w:lang w:val="en-US"/>
        </w:rPr>
        <w:t>adviser</w:t>
      </w:r>
    </w:p>
    <w:p w14:paraId="0FB78278" w14:textId="77777777" w:rsidR="0BE2D7A4" w:rsidRDefault="0BE2D7A4" w:rsidP="0BE2D7A4">
      <w:pPr>
        <w:spacing w:after="0" w:line="240" w:lineRule="auto"/>
        <w:jc w:val="right"/>
        <w:rPr>
          <w:rFonts w:ascii="Times New Roman" w:hAnsi="Times New Roman" w:cs="Times New Roman"/>
          <w:sz w:val="28"/>
          <w:szCs w:val="28"/>
          <w:lang w:val="en-US"/>
        </w:rPr>
      </w:pPr>
    </w:p>
    <w:p w14:paraId="4B7FC5BE" w14:textId="77777777" w:rsidR="00DD07CF" w:rsidRDefault="155010CB" w:rsidP="0BE2D7A4">
      <w:pPr>
        <w:spacing w:after="0" w:line="240" w:lineRule="auto"/>
        <w:jc w:val="right"/>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 </w:t>
      </w:r>
      <w:r w:rsidR="3522E960" w:rsidRPr="0BE2D7A4">
        <w:rPr>
          <w:rFonts w:ascii="Times New Roman" w:hAnsi="Times New Roman" w:cs="Times New Roman"/>
          <w:sz w:val="28"/>
          <w:szCs w:val="28"/>
          <w:lang w:val="en-US"/>
        </w:rPr>
        <w:t xml:space="preserve">  </w:t>
      </w:r>
      <w:r w:rsidRPr="0BE2D7A4">
        <w:rPr>
          <w:rFonts w:ascii="Times New Roman" w:hAnsi="Times New Roman" w:cs="Times New Roman"/>
          <w:sz w:val="28"/>
          <w:szCs w:val="28"/>
          <w:lang w:val="en-US"/>
        </w:rPr>
        <w:t>Saniya Nurdavletova</w:t>
      </w:r>
      <w:r w:rsidR="18A2CB9D" w:rsidRPr="0BE2D7A4">
        <w:rPr>
          <w:rFonts w:ascii="Times New Roman" w:hAnsi="Times New Roman" w:cs="Times New Roman"/>
          <w:sz w:val="28"/>
          <w:szCs w:val="28"/>
          <w:lang w:val="en-US"/>
        </w:rPr>
        <w:t xml:space="preserve">, </w:t>
      </w:r>
    </w:p>
    <w:p w14:paraId="4B29B83E" w14:textId="77777777" w:rsidR="00DD07CF" w:rsidRDefault="18A2CB9D" w:rsidP="0BE2D7A4">
      <w:pPr>
        <w:spacing w:after="0" w:line="240" w:lineRule="auto"/>
        <w:jc w:val="right"/>
        <w:rPr>
          <w:rFonts w:ascii="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Candidate of Historical Sciences, </w:t>
      </w:r>
    </w:p>
    <w:p w14:paraId="2A608946" w14:textId="77777777" w:rsidR="00DD07CF" w:rsidRDefault="18A2CB9D" w:rsidP="0BE2D7A4">
      <w:pPr>
        <w:spacing w:after="0" w:line="240" w:lineRule="auto"/>
        <w:jc w:val="right"/>
        <w:rPr>
          <w:rFonts w:ascii="Times New Roman" w:hAnsi="Times New Roman" w:cs="Times New Roman"/>
          <w:sz w:val="28"/>
          <w:szCs w:val="28"/>
          <w:lang w:val="en-US"/>
        </w:rPr>
      </w:pPr>
      <w:r w:rsidRPr="0BE2D7A4">
        <w:rPr>
          <w:rFonts w:ascii="Times New Roman" w:eastAsia="Times New Roman" w:hAnsi="Times New Roman" w:cs="Times New Roman"/>
          <w:sz w:val="28"/>
          <w:szCs w:val="28"/>
          <w:lang w:val="en-US"/>
        </w:rPr>
        <w:t>Department of International Relations</w:t>
      </w:r>
    </w:p>
    <w:p w14:paraId="1FC39945" w14:textId="77777777" w:rsidR="3C552ADE" w:rsidRDefault="3C552ADE" w:rsidP="0BE2D7A4">
      <w:pPr>
        <w:spacing w:after="0" w:line="240" w:lineRule="auto"/>
        <w:jc w:val="right"/>
        <w:rPr>
          <w:rFonts w:ascii="Times New Roman" w:eastAsia="Times New Roman" w:hAnsi="Times New Roman" w:cs="Times New Roman"/>
          <w:sz w:val="28"/>
          <w:szCs w:val="28"/>
          <w:lang w:val="en-US"/>
        </w:rPr>
      </w:pPr>
    </w:p>
    <w:p w14:paraId="46B08701" w14:textId="77777777" w:rsidR="00DD07CF" w:rsidRDefault="155010CB" w:rsidP="0BE2D7A4">
      <w:pPr>
        <w:spacing w:after="0" w:line="240" w:lineRule="auto"/>
        <w:jc w:val="right"/>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Foreign </w:t>
      </w:r>
      <w:r w:rsidR="7AF25538" w:rsidRPr="0BE2D7A4">
        <w:rPr>
          <w:rFonts w:ascii="Times New Roman" w:hAnsi="Times New Roman" w:cs="Times New Roman"/>
          <w:sz w:val="28"/>
          <w:szCs w:val="28"/>
          <w:lang w:val="en-US"/>
        </w:rPr>
        <w:t>s</w:t>
      </w:r>
      <w:r w:rsidRPr="0BE2D7A4">
        <w:rPr>
          <w:rFonts w:ascii="Times New Roman" w:hAnsi="Times New Roman" w:cs="Times New Roman"/>
          <w:sz w:val="28"/>
          <w:szCs w:val="28"/>
          <w:lang w:val="en-US"/>
        </w:rPr>
        <w:t xml:space="preserve">cientific </w:t>
      </w:r>
      <w:r w:rsidR="1155ED05" w:rsidRPr="0BE2D7A4">
        <w:rPr>
          <w:rFonts w:ascii="Times New Roman" w:hAnsi="Times New Roman" w:cs="Times New Roman"/>
          <w:sz w:val="28"/>
          <w:szCs w:val="28"/>
          <w:lang w:val="en-US"/>
        </w:rPr>
        <w:t>adviser</w:t>
      </w:r>
      <w:r w:rsidRPr="0BE2D7A4">
        <w:rPr>
          <w:rFonts w:ascii="Times New Roman" w:hAnsi="Times New Roman" w:cs="Times New Roman"/>
          <w:sz w:val="28"/>
          <w:szCs w:val="28"/>
          <w:lang w:val="en-US"/>
        </w:rPr>
        <w:t xml:space="preserve"> </w:t>
      </w:r>
    </w:p>
    <w:p w14:paraId="0562CB0E" w14:textId="77777777" w:rsidR="00DD07CF" w:rsidRDefault="00DD07CF" w:rsidP="0BE2D7A4">
      <w:pPr>
        <w:spacing w:after="0" w:line="240" w:lineRule="auto"/>
        <w:jc w:val="right"/>
        <w:rPr>
          <w:rFonts w:ascii="Times New Roman" w:hAnsi="Times New Roman" w:cs="Times New Roman"/>
          <w:sz w:val="28"/>
          <w:szCs w:val="28"/>
          <w:lang w:val="en-US"/>
        </w:rPr>
      </w:pPr>
    </w:p>
    <w:p w14:paraId="1BD5EF5D" w14:textId="77777777" w:rsidR="00DD07CF" w:rsidRDefault="155010CB" w:rsidP="0BE2D7A4">
      <w:pPr>
        <w:spacing w:after="0" w:line="240" w:lineRule="auto"/>
        <w:jc w:val="right"/>
        <w:rPr>
          <w:rFonts w:ascii="Times New Roman" w:hAnsi="Times New Roman" w:cs="Times New Roman"/>
          <w:sz w:val="28"/>
          <w:szCs w:val="28"/>
          <w:lang w:val="en-US"/>
        </w:rPr>
      </w:pPr>
      <w:r w:rsidRPr="0BE2D7A4">
        <w:rPr>
          <w:rFonts w:ascii="Times New Roman" w:hAnsi="Times New Roman" w:cs="Times New Roman"/>
          <w:sz w:val="28"/>
          <w:szCs w:val="28"/>
          <w:lang w:val="en-US"/>
        </w:rPr>
        <w:t>Antonio Alonso Marcos</w:t>
      </w:r>
    </w:p>
    <w:p w14:paraId="154AFC0A" w14:textId="77777777" w:rsidR="7BF42A53" w:rsidRDefault="661FDA89" w:rsidP="0BE2D7A4">
      <w:pPr>
        <w:spacing w:after="0" w:line="240" w:lineRule="auto"/>
        <w:jc w:val="right"/>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PhD, Professor,</w:t>
      </w:r>
    </w:p>
    <w:p w14:paraId="5681AFB5" w14:textId="77777777" w:rsidR="7BF42A53" w:rsidRDefault="661FDA89" w:rsidP="0BE2D7A4">
      <w:pPr>
        <w:spacing w:after="0" w:line="240" w:lineRule="auto"/>
        <w:jc w:val="right"/>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CEU San-Pablo University</w:t>
      </w:r>
    </w:p>
    <w:p w14:paraId="34CE0A41" w14:textId="77777777" w:rsidR="00DD07CF" w:rsidRDefault="00DD07CF" w:rsidP="0BE2D7A4">
      <w:pPr>
        <w:spacing w:line="240" w:lineRule="auto"/>
        <w:jc w:val="right"/>
        <w:rPr>
          <w:rFonts w:ascii="Times New Roman" w:hAnsi="Times New Roman" w:cs="Times New Roman"/>
          <w:sz w:val="28"/>
          <w:szCs w:val="28"/>
          <w:lang w:val="en-US"/>
        </w:rPr>
      </w:pPr>
    </w:p>
    <w:p w14:paraId="62EBF3C5" w14:textId="77777777" w:rsidR="00DD07CF" w:rsidRDefault="00DD07CF" w:rsidP="0BE2D7A4">
      <w:pPr>
        <w:spacing w:line="240" w:lineRule="auto"/>
        <w:jc w:val="center"/>
        <w:rPr>
          <w:rFonts w:ascii="Times New Roman" w:hAnsi="Times New Roman" w:cs="Times New Roman"/>
          <w:sz w:val="28"/>
          <w:szCs w:val="28"/>
          <w:lang w:val="en-US"/>
        </w:rPr>
      </w:pPr>
    </w:p>
    <w:p w14:paraId="6D98A12B" w14:textId="77777777" w:rsidR="00DD07CF" w:rsidRDefault="00DD07CF" w:rsidP="0BE2D7A4">
      <w:pPr>
        <w:spacing w:line="240" w:lineRule="auto"/>
        <w:jc w:val="center"/>
        <w:rPr>
          <w:rFonts w:ascii="Times New Roman" w:hAnsi="Times New Roman" w:cs="Times New Roman"/>
          <w:sz w:val="28"/>
          <w:szCs w:val="28"/>
          <w:lang w:val="en-US"/>
        </w:rPr>
      </w:pPr>
    </w:p>
    <w:p w14:paraId="2946DB82" w14:textId="77777777" w:rsidR="00DD07CF" w:rsidRDefault="00DD07CF" w:rsidP="0BE2D7A4">
      <w:pPr>
        <w:spacing w:line="240" w:lineRule="auto"/>
        <w:jc w:val="center"/>
        <w:rPr>
          <w:rFonts w:ascii="Times New Roman" w:hAnsi="Times New Roman" w:cs="Times New Roman"/>
          <w:sz w:val="28"/>
          <w:szCs w:val="28"/>
          <w:lang w:val="en-US"/>
        </w:rPr>
      </w:pPr>
    </w:p>
    <w:p w14:paraId="455760A4" w14:textId="77777777" w:rsidR="00DD07CF" w:rsidRDefault="5EA3592A" w:rsidP="0BE2D7A4">
      <w:pPr>
        <w:spacing w:after="0" w:line="240" w:lineRule="auto"/>
        <w:jc w:val="center"/>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The Republic of Kazakhstan </w:t>
      </w:r>
    </w:p>
    <w:p w14:paraId="18ABC76D" w14:textId="77777777" w:rsidR="00DD07CF" w:rsidRPr="00331C14" w:rsidRDefault="5EA3592A" w:rsidP="0BE2D7A4">
      <w:pPr>
        <w:spacing w:after="0" w:line="240" w:lineRule="auto"/>
        <w:jc w:val="center"/>
        <w:rPr>
          <w:rFonts w:ascii="Times New Roman" w:eastAsia="Times New Roman" w:hAnsi="Times New Roman" w:cs="Times New Roman"/>
          <w:sz w:val="28"/>
          <w:szCs w:val="28"/>
          <w:lang w:val="en-US"/>
        </w:rPr>
      </w:pPr>
      <w:r w:rsidRPr="3C552ADE">
        <w:rPr>
          <w:rFonts w:ascii="Times New Roman" w:eastAsia="Times New Roman" w:hAnsi="Times New Roman" w:cs="Times New Roman"/>
          <w:sz w:val="28"/>
          <w:szCs w:val="28"/>
          <w:lang w:val="en-US"/>
        </w:rPr>
        <w:t>Astana, 202</w:t>
      </w:r>
      <w:r w:rsidR="5A26975B" w:rsidRPr="3C552ADE">
        <w:rPr>
          <w:rFonts w:ascii="Times New Roman" w:eastAsia="Times New Roman" w:hAnsi="Times New Roman" w:cs="Times New Roman"/>
          <w:sz w:val="28"/>
          <w:szCs w:val="28"/>
          <w:lang w:val="en-US"/>
        </w:rPr>
        <w:t>5</w:t>
      </w:r>
    </w:p>
    <w:p w14:paraId="5997CC1D" w14:textId="77777777" w:rsidR="008E6865" w:rsidRPr="00331C14" w:rsidRDefault="008E6865" w:rsidP="0BE2D7A4">
      <w:pPr>
        <w:spacing w:after="0" w:line="240" w:lineRule="auto"/>
        <w:jc w:val="center"/>
        <w:rPr>
          <w:rFonts w:ascii="Times New Roman" w:eastAsia="Times New Roman" w:hAnsi="Times New Roman" w:cs="Times New Roman"/>
          <w:sz w:val="28"/>
          <w:szCs w:val="28"/>
          <w:lang w:val="en-US"/>
        </w:rPr>
      </w:pPr>
    </w:p>
    <w:p w14:paraId="110FFD37" w14:textId="77777777" w:rsidR="008E6865" w:rsidRPr="00331C14" w:rsidRDefault="008E6865" w:rsidP="0BE2D7A4">
      <w:pPr>
        <w:spacing w:after="0" w:line="240" w:lineRule="auto"/>
        <w:jc w:val="center"/>
        <w:rPr>
          <w:rFonts w:ascii="Times New Roman" w:eastAsia="Times New Roman" w:hAnsi="Times New Roman" w:cs="Times New Roman"/>
          <w:sz w:val="28"/>
          <w:szCs w:val="28"/>
          <w:lang w:val="en-US"/>
        </w:rPr>
      </w:pPr>
    </w:p>
    <w:p w14:paraId="6B699379" w14:textId="77777777" w:rsidR="008E6865" w:rsidRPr="00331C14" w:rsidRDefault="008E6865" w:rsidP="0BE2D7A4">
      <w:pPr>
        <w:spacing w:after="0" w:line="240" w:lineRule="auto"/>
        <w:jc w:val="center"/>
        <w:rPr>
          <w:rFonts w:ascii="Times New Roman" w:eastAsia="Times New Roman" w:hAnsi="Times New Roman" w:cs="Times New Roman"/>
          <w:sz w:val="28"/>
          <w:szCs w:val="28"/>
          <w:lang w:val="en-US"/>
        </w:rPr>
      </w:pPr>
    </w:p>
    <w:p w14:paraId="3FE9F23F" w14:textId="77777777" w:rsidR="008E6865" w:rsidRPr="00331C14" w:rsidRDefault="008E6865" w:rsidP="0BE2D7A4">
      <w:pPr>
        <w:spacing w:after="0" w:line="240" w:lineRule="auto"/>
        <w:jc w:val="center"/>
        <w:rPr>
          <w:rFonts w:ascii="Times New Roman" w:eastAsia="Times New Roman" w:hAnsi="Times New Roman" w:cs="Times New Roman"/>
          <w:sz w:val="28"/>
          <w:szCs w:val="28"/>
          <w:lang w:val="en-US"/>
        </w:rPr>
      </w:pPr>
    </w:p>
    <w:p w14:paraId="2DE51800" w14:textId="77777777" w:rsidR="00DD07CF" w:rsidRDefault="0BE2D7A4" w:rsidP="0BE2D7A4">
      <w:pPr>
        <w:tabs>
          <w:tab w:val="left" w:pos="5966"/>
        </w:tabs>
        <w:spacing w:line="240" w:lineRule="auto"/>
        <w:jc w:val="center"/>
        <w:rPr>
          <w:rFonts w:ascii="Times New Roman" w:hAnsi="Times New Roman" w:cs="Times New Roman"/>
          <w:sz w:val="28"/>
          <w:szCs w:val="28"/>
          <w:lang w:val="en-US"/>
        </w:rPr>
      </w:pPr>
      <w:r w:rsidRPr="0BE2D7A4">
        <w:rPr>
          <w:rFonts w:ascii="Times New Roman" w:hAnsi="Times New Roman" w:cs="Times New Roman"/>
          <w:b/>
          <w:bCs/>
          <w:sz w:val="28"/>
          <w:szCs w:val="28"/>
          <w:lang w:val="en-US"/>
        </w:rPr>
        <w:t>CONTENT</w:t>
      </w:r>
    </w:p>
    <w:p w14:paraId="35AB6343" w14:textId="77777777" w:rsidR="00380897" w:rsidRPr="008E6865" w:rsidRDefault="0BE2D7A4" w:rsidP="0BE2D7A4">
      <w:pPr>
        <w:tabs>
          <w:tab w:val="left" w:pos="5966"/>
        </w:tabs>
        <w:spacing w:after="0" w:line="240" w:lineRule="auto"/>
        <w:jc w:val="both"/>
        <w:rPr>
          <w:rFonts w:ascii="Times New Roman" w:hAnsi="Times New Roman" w:cs="Times New Roman"/>
          <w:sz w:val="28"/>
          <w:szCs w:val="28"/>
          <w:lang w:val="en-US"/>
        </w:rPr>
      </w:pPr>
      <w:r w:rsidRPr="0BE2D7A4">
        <w:rPr>
          <w:rFonts w:ascii="Times New Roman" w:hAnsi="Times New Roman" w:cs="Times New Roman"/>
          <w:b/>
          <w:bCs/>
          <w:sz w:val="28"/>
          <w:szCs w:val="28"/>
          <w:lang w:val="en-US"/>
        </w:rPr>
        <w:t>INTRODUCTION</w:t>
      </w:r>
      <w:r w:rsidRPr="00BE02A5">
        <w:rPr>
          <w:rFonts w:ascii="Times New Roman" w:hAnsi="Times New Roman" w:cs="Times New Roman"/>
          <w:sz w:val="28"/>
          <w:szCs w:val="28"/>
          <w:lang w:val="en-US"/>
        </w:rPr>
        <w:t>...............................................................................</w:t>
      </w:r>
      <w:r w:rsidR="008E6865" w:rsidRPr="008E6865">
        <w:rPr>
          <w:rFonts w:ascii="Times New Roman" w:hAnsi="Times New Roman" w:cs="Times New Roman"/>
          <w:sz w:val="28"/>
          <w:szCs w:val="28"/>
          <w:lang w:val="en-US"/>
        </w:rPr>
        <w:t>...</w:t>
      </w:r>
      <w:r w:rsidRPr="00BE02A5">
        <w:rPr>
          <w:rFonts w:ascii="Times New Roman" w:hAnsi="Times New Roman" w:cs="Times New Roman"/>
          <w:sz w:val="28"/>
          <w:szCs w:val="28"/>
          <w:lang w:val="en-US"/>
        </w:rPr>
        <w:t>.........</w:t>
      </w:r>
      <w:r w:rsidR="008E6865" w:rsidRPr="008E6865">
        <w:rPr>
          <w:rFonts w:ascii="Times New Roman" w:hAnsi="Times New Roman" w:cs="Times New Roman"/>
          <w:sz w:val="28"/>
          <w:szCs w:val="28"/>
          <w:lang w:val="en-US"/>
        </w:rPr>
        <w:t>......</w:t>
      </w:r>
      <w:r w:rsidRPr="00BE02A5">
        <w:rPr>
          <w:rFonts w:ascii="Times New Roman" w:hAnsi="Times New Roman" w:cs="Times New Roman"/>
          <w:sz w:val="28"/>
          <w:szCs w:val="28"/>
          <w:lang w:val="en-US"/>
        </w:rPr>
        <w:t>.</w:t>
      </w:r>
      <w:r w:rsidR="00E85198" w:rsidRPr="00BE02A5">
        <w:rPr>
          <w:rFonts w:ascii="Times New Roman" w:hAnsi="Times New Roman" w:cs="Times New Roman"/>
          <w:sz w:val="28"/>
          <w:szCs w:val="28"/>
          <w:lang w:val="en-US"/>
        </w:rPr>
        <w:t>....</w:t>
      </w:r>
      <w:r w:rsidR="00380897">
        <w:rPr>
          <w:rFonts w:ascii="Times New Roman" w:hAnsi="Times New Roman" w:cs="Times New Roman"/>
          <w:sz w:val="28"/>
          <w:szCs w:val="28"/>
          <w:lang w:val="en-US"/>
        </w:rPr>
        <w:t>.</w:t>
      </w:r>
      <w:r w:rsidR="7F98DCB5" w:rsidRPr="00BE02A5">
        <w:rPr>
          <w:rFonts w:ascii="Times New Roman" w:hAnsi="Times New Roman" w:cs="Times New Roman"/>
          <w:sz w:val="28"/>
          <w:szCs w:val="28"/>
          <w:lang w:val="en-US"/>
        </w:rPr>
        <w:t>6</w:t>
      </w:r>
    </w:p>
    <w:p w14:paraId="31F6199D" w14:textId="77777777" w:rsidR="00DD07CF" w:rsidRPr="00FC5740" w:rsidRDefault="0BE2D7A4" w:rsidP="0BE2D7A4">
      <w:pPr>
        <w:tabs>
          <w:tab w:val="left" w:pos="5966"/>
        </w:tabs>
        <w:spacing w:after="0" w:line="240" w:lineRule="auto"/>
        <w:jc w:val="both"/>
        <w:rPr>
          <w:rFonts w:ascii="Times New Roman" w:hAnsi="Times New Roman" w:cs="Times New Roman"/>
          <w:b/>
          <w:bCs/>
          <w:sz w:val="28"/>
          <w:szCs w:val="28"/>
          <w:lang w:val="en-US"/>
        </w:rPr>
      </w:pPr>
      <w:r w:rsidRPr="0BE2D7A4">
        <w:rPr>
          <w:rFonts w:ascii="Times New Roman" w:hAnsi="Times New Roman" w:cs="Times New Roman"/>
          <w:b/>
          <w:bCs/>
          <w:sz w:val="28"/>
          <w:szCs w:val="28"/>
          <w:lang w:val="en-US"/>
        </w:rPr>
        <w:t>1 FORMATION AND EVOLUTION OF THE MECHANISM OF EU’S EXTERNAL ACTIVITY IN REGARD TO CENTRAL ASIA</w:t>
      </w:r>
      <w:r w:rsidR="00FC5740" w:rsidRPr="00FC5740">
        <w:rPr>
          <w:rFonts w:ascii="Times New Roman" w:hAnsi="Times New Roman" w:cs="Times New Roman"/>
          <w:b/>
          <w:bCs/>
          <w:sz w:val="28"/>
          <w:szCs w:val="28"/>
          <w:lang w:val="en-US"/>
        </w:rPr>
        <w:t>……..…………..21</w:t>
      </w:r>
    </w:p>
    <w:p w14:paraId="22A23FF2" w14:textId="77777777" w:rsidR="00DD07CF" w:rsidRPr="00FC5740" w:rsidRDefault="0BE2D7A4" w:rsidP="60ECF5C7">
      <w:pPr>
        <w:tabs>
          <w:tab w:val="left" w:pos="5966"/>
        </w:tabs>
        <w:spacing w:after="0" w:line="240" w:lineRule="auto"/>
        <w:jc w:val="both"/>
        <w:rPr>
          <w:rFonts w:ascii="Times New Roman" w:hAnsi="Times New Roman" w:cs="Times New Roman"/>
          <w:sz w:val="28"/>
          <w:szCs w:val="28"/>
          <w:lang w:val="en-US"/>
        </w:rPr>
      </w:pPr>
      <w:r w:rsidRPr="008E6865">
        <w:rPr>
          <w:rFonts w:ascii="Times New Roman" w:hAnsi="Times New Roman" w:cs="Times New Roman"/>
          <w:sz w:val="28"/>
          <w:szCs w:val="28"/>
          <w:lang w:val="en-US"/>
        </w:rPr>
        <w:t>1.1. H</w:t>
      </w:r>
      <w:r w:rsidR="00BE02A5" w:rsidRPr="008E6865">
        <w:rPr>
          <w:rFonts w:ascii="Times New Roman" w:hAnsi="Times New Roman" w:cs="Times New Roman"/>
          <w:sz w:val="28"/>
          <w:szCs w:val="28"/>
          <w:lang w:val="en-US"/>
        </w:rPr>
        <w:t>istorical background</w:t>
      </w:r>
      <w:r w:rsidRPr="008E6865">
        <w:rPr>
          <w:rFonts w:ascii="Times New Roman" w:hAnsi="Times New Roman" w:cs="Times New Roman"/>
          <w:sz w:val="28"/>
          <w:szCs w:val="28"/>
          <w:lang w:val="en-US"/>
        </w:rPr>
        <w:t xml:space="preserve">: </w:t>
      </w:r>
      <w:r w:rsidR="00BE02A5" w:rsidRPr="008E6865">
        <w:rPr>
          <w:rFonts w:ascii="Times New Roman" w:hAnsi="Times New Roman" w:cs="Times New Roman"/>
          <w:sz w:val="28"/>
          <w:szCs w:val="28"/>
          <w:lang w:val="en-US"/>
        </w:rPr>
        <w:t>prerequisites for adopting a new Strategy……</w:t>
      </w:r>
      <w:r w:rsidR="00664C74" w:rsidRPr="008E6865">
        <w:rPr>
          <w:rFonts w:ascii="Times New Roman" w:hAnsi="Times New Roman" w:cs="Times New Roman"/>
          <w:sz w:val="28"/>
          <w:szCs w:val="28"/>
          <w:lang w:val="en-US"/>
        </w:rPr>
        <w:t>…</w:t>
      </w:r>
      <w:r w:rsidR="008E6865" w:rsidRPr="008E6865">
        <w:rPr>
          <w:rFonts w:ascii="Times New Roman" w:hAnsi="Times New Roman" w:cs="Times New Roman"/>
          <w:sz w:val="28"/>
          <w:szCs w:val="28"/>
          <w:lang w:val="en-US"/>
        </w:rPr>
        <w:t>…...</w:t>
      </w:r>
      <w:r w:rsidRPr="008E6865">
        <w:rPr>
          <w:rFonts w:ascii="Times New Roman" w:hAnsi="Times New Roman" w:cs="Times New Roman"/>
          <w:sz w:val="28"/>
          <w:szCs w:val="28"/>
          <w:lang w:val="en-US"/>
        </w:rPr>
        <w:t>....</w:t>
      </w:r>
      <w:r w:rsidR="00FC5740">
        <w:rPr>
          <w:rFonts w:ascii="Times New Roman" w:hAnsi="Times New Roman" w:cs="Times New Roman"/>
          <w:sz w:val="28"/>
          <w:szCs w:val="28"/>
          <w:lang w:val="en-US"/>
        </w:rPr>
        <w:t>2</w:t>
      </w:r>
      <w:r w:rsidR="00FC5740" w:rsidRPr="00FC5740">
        <w:rPr>
          <w:rFonts w:ascii="Times New Roman" w:hAnsi="Times New Roman" w:cs="Times New Roman"/>
          <w:sz w:val="28"/>
          <w:szCs w:val="28"/>
          <w:lang w:val="en-US"/>
        </w:rPr>
        <w:t>1</w:t>
      </w:r>
    </w:p>
    <w:p w14:paraId="7FCEEFCB" w14:textId="77777777" w:rsidR="00DD07CF" w:rsidRPr="00331C14" w:rsidRDefault="4ECD8401" w:rsidP="02F3055D">
      <w:pPr>
        <w:pStyle w:val="af"/>
        <w:shd w:val="clear" w:color="auto" w:fill="FFFFFF" w:themeFill="background1"/>
        <w:spacing w:after="0" w:line="240" w:lineRule="auto"/>
        <w:jc w:val="both"/>
        <w:rPr>
          <w:rFonts w:eastAsia="Times New Roman"/>
          <w:sz w:val="28"/>
          <w:szCs w:val="28"/>
          <w:lang w:val="en-US" w:eastAsia="ru-RU"/>
        </w:rPr>
      </w:pPr>
      <w:r w:rsidRPr="00331C14">
        <w:rPr>
          <w:sz w:val="28"/>
          <w:szCs w:val="28"/>
          <w:lang w:val="en-US"/>
        </w:rPr>
        <w:t xml:space="preserve">1.2. </w:t>
      </w:r>
      <w:r w:rsidRPr="00331C14">
        <w:rPr>
          <w:rFonts w:eastAsia="Times New Roman"/>
          <w:sz w:val="28"/>
          <w:szCs w:val="28"/>
          <w:lang w:val="en-US" w:eastAsia="ru-RU"/>
        </w:rPr>
        <w:t>M</w:t>
      </w:r>
      <w:r w:rsidR="00BE02A5" w:rsidRPr="00331C14">
        <w:rPr>
          <w:rFonts w:eastAsia="Times New Roman"/>
          <w:sz w:val="28"/>
          <w:szCs w:val="28"/>
          <w:lang w:val="en-US" w:eastAsia="ru-RU"/>
        </w:rPr>
        <w:t>ain trends in modern</w:t>
      </w:r>
      <w:r w:rsidR="38B02DC7" w:rsidRPr="00331C14">
        <w:rPr>
          <w:rFonts w:eastAsia="Times New Roman"/>
          <w:sz w:val="28"/>
          <w:szCs w:val="28"/>
          <w:lang w:val="en-US" w:eastAsia="ru-RU"/>
        </w:rPr>
        <w:t xml:space="preserve"> </w:t>
      </w:r>
      <w:r w:rsidR="00BE02A5" w:rsidRPr="00331C14">
        <w:rPr>
          <w:rFonts w:eastAsia="Times New Roman"/>
          <w:sz w:val="28"/>
          <w:szCs w:val="28"/>
          <w:lang w:val="en-US" w:eastAsia="ru-RU"/>
        </w:rPr>
        <w:t>policy of the</w:t>
      </w:r>
      <w:r w:rsidRPr="00331C14">
        <w:rPr>
          <w:rFonts w:eastAsia="Times New Roman"/>
          <w:sz w:val="28"/>
          <w:szCs w:val="28"/>
          <w:lang w:val="en-US" w:eastAsia="ru-RU"/>
        </w:rPr>
        <w:t xml:space="preserve"> E</w:t>
      </w:r>
      <w:r w:rsidR="00BE02A5" w:rsidRPr="00331C14">
        <w:rPr>
          <w:rFonts w:eastAsia="Times New Roman"/>
          <w:sz w:val="28"/>
          <w:szCs w:val="28"/>
          <w:lang w:val="en-US" w:eastAsia="ru-RU"/>
        </w:rPr>
        <w:t>uropean</w:t>
      </w:r>
      <w:r w:rsidRPr="00331C14">
        <w:rPr>
          <w:rFonts w:eastAsia="Times New Roman"/>
          <w:sz w:val="28"/>
          <w:szCs w:val="28"/>
          <w:lang w:val="en-US" w:eastAsia="ru-RU"/>
        </w:rPr>
        <w:t xml:space="preserve"> U</w:t>
      </w:r>
      <w:r w:rsidR="00BE02A5" w:rsidRPr="00331C14">
        <w:rPr>
          <w:rFonts w:eastAsia="Times New Roman"/>
          <w:sz w:val="28"/>
          <w:szCs w:val="28"/>
          <w:lang w:val="en-US" w:eastAsia="ru-RU"/>
        </w:rPr>
        <w:t>nion in</w:t>
      </w:r>
      <w:r w:rsidRPr="00331C14">
        <w:rPr>
          <w:rFonts w:eastAsia="Times New Roman"/>
          <w:sz w:val="28"/>
          <w:szCs w:val="28"/>
          <w:lang w:val="en-US" w:eastAsia="ru-RU"/>
        </w:rPr>
        <w:t xml:space="preserve"> C</w:t>
      </w:r>
      <w:r w:rsidR="00BE02A5" w:rsidRPr="00331C14">
        <w:rPr>
          <w:rFonts w:eastAsia="Times New Roman"/>
          <w:sz w:val="28"/>
          <w:szCs w:val="28"/>
          <w:lang w:val="en-US" w:eastAsia="ru-RU"/>
        </w:rPr>
        <w:t>entral</w:t>
      </w:r>
      <w:r w:rsidRPr="00331C14">
        <w:rPr>
          <w:rFonts w:eastAsia="Times New Roman"/>
          <w:sz w:val="28"/>
          <w:szCs w:val="28"/>
          <w:lang w:val="en-US" w:eastAsia="ru-RU"/>
        </w:rPr>
        <w:t xml:space="preserve"> A</w:t>
      </w:r>
      <w:r w:rsidR="00BE02A5" w:rsidRPr="00331C14">
        <w:rPr>
          <w:rFonts w:eastAsia="Times New Roman"/>
          <w:sz w:val="28"/>
          <w:szCs w:val="28"/>
          <w:lang w:val="en-US" w:eastAsia="ru-RU"/>
        </w:rPr>
        <w:t>sia…</w:t>
      </w:r>
      <w:r w:rsidR="008E6865" w:rsidRPr="00331C14">
        <w:rPr>
          <w:rFonts w:eastAsia="Times New Roman"/>
          <w:sz w:val="28"/>
          <w:szCs w:val="28"/>
          <w:lang w:val="en-US" w:eastAsia="ru-RU"/>
        </w:rPr>
        <w:t>…...</w:t>
      </w:r>
      <w:r w:rsidR="0076324E" w:rsidRPr="00331C14">
        <w:rPr>
          <w:rFonts w:eastAsia="Times New Roman"/>
          <w:sz w:val="28"/>
          <w:szCs w:val="28"/>
          <w:lang w:val="en-US" w:eastAsia="ru-RU"/>
        </w:rPr>
        <w:t>….</w:t>
      </w:r>
      <w:r w:rsidR="00FC5740" w:rsidRPr="00331C14">
        <w:rPr>
          <w:rFonts w:eastAsia="Times New Roman"/>
          <w:sz w:val="28"/>
          <w:szCs w:val="28"/>
          <w:lang w:val="en-US" w:eastAsia="ru-RU"/>
        </w:rPr>
        <w:t>26</w:t>
      </w:r>
    </w:p>
    <w:p w14:paraId="044A0C94" w14:textId="77777777" w:rsidR="00380897" w:rsidRPr="00FC5740" w:rsidRDefault="2C1989F0" w:rsidP="4AB94E01">
      <w:pPr>
        <w:pStyle w:val="af"/>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1.3. C</w:t>
      </w:r>
      <w:r w:rsidR="00BE02A5">
        <w:rPr>
          <w:rFonts w:eastAsia="Times New Roman"/>
          <w:sz w:val="28"/>
          <w:szCs w:val="28"/>
          <w:lang w:val="en-US" w:eastAsia="ru-RU"/>
        </w:rPr>
        <w:t xml:space="preserve">omparative analysis of the </w:t>
      </w:r>
      <w:r w:rsidRPr="0BE2D7A4">
        <w:rPr>
          <w:rFonts w:eastAsia="Times New Roman"/>
          <w:sz w:val="28"/>
          <w:szCs w:val="28"/>
          <w:lang w:val="en-US" w:eastAsia="ru-RU"/>
        </w:rPr>
        <w:t>EU S</w:t>
      </w:r>
      <w:r w:rsidR="00BE02A5">
        <w:rPr>
          <w:rFonts w:eastAsia="Times New Roman"/>
          <w:sz w:val="28"/>
          <w:szCs w:val="28"/>
          <w:lang w:val="en-US" w:eastAsia="ru-RU"/>
        </w:rPr>
        <w:t>trategies in</w:t>
      </w:r>
      <w:r w:rsidRPr="0BE2D7A4">
        <w:rPr>
          <w:rFonts w:eastAsia="Times New Roman"/>
          <w:sz w:val="28"/>
          <w:szCs w:val="28"/>
          <w:lang w:val="en-US" w:eastAsia="ru-RU"/>
        </w:rPr>
        <w:t xml:space="preserve"> C</w:t>
      </w:r>
      <w:r w:rsidR="00BE02A5">
        <w:rPr>
          <w:rFonts w:eastAsia="Times New Roman"/>
          <w:sz w:val="28"/>
          <w:szCs w:val="28"/>
          <w:lang w:val="en-US" w:eastAsia="ru-RU"/>
        </w:rPr>
        <w:t>entral</w:t>
      </w:r>
      <w:r w:rsidRPr="0BE2D7A4">
        <w:rPr>
          <w:rFonts w:eastAsia="Times New Roman"/>
          <w:sz w:val="28"/>
          <w:szCs w:val="28"/>
          <w:lang w:val="en-US" w:eastAsia="ru-RU"/>
        </w:rPr>
        <w:t xml:space="preserve"> A</w:t>
      </w:r>
      <w:r w:rsidR="00BE02A5">
        <w:rPr>
          <w:rFonts w:eastAsia="Times New Roman"/>
          <w:sz w:val="28"/>
          <w:szCs w:val="28"/>
          <w:lang w:val="en-US" w:eastAsia="ru-RU"/>
        </w:rPr>
        <w:t>sia of</w:t>
      </w:r>
      <w:r w:rsidRPr="0BE2D7A4">
        <w:rPr>
          <w:rFonts w:eastAsia="Times New Roman"/>
          <w:sz w:val="28"/>
          <w:szCs w:val="28"/>
          <w:lang w:val="en-US" w:eastAsia="ru-RU"/>
        </w:rPr>
        <w:t xml:space="preserve"> 2007 </w:t>
      </w:r>
      <w:r w:rsidR="00BE02A5">
        <w:rPr>
          <w:rFonts w:eastAsia="Times New Roman"/>
          <w:sz w:val="28"/>
          <w:szCs w:val="28"/>
          <w:lang w:val="en-US" w:eastAsia="ru-RU"/>
        </w:rPr>
        <w:t>and</w:t>
      </w:r>
      <w:r w:rsidRPr="0BE2D7A4">
        <w:rPr>
          <w:rFonts w:eastAsia="Times New Roman"/>
          <w:sz w:val="28"/>
          <w:szCs w:val="28"/>
          <w:lang w:val="en-US" w:eastAsia="ru-RU"/>
        </w:rPr>
        <w:t xml:space="preserve"> 2019: </w:t>
      </w:r>
      <w:r w:rsidR="00BE02A5">
        <w:rPr>
          <w:rFonts w:eastAsia="Times New Roman"/>
          <w:sz w:val="28"/>
          <w:szCs w:val="28"/>
          <w:lang w:val="en-US" w:eastAsia="ru-RU"/>
        </w:rPr>
        <w:t>evaluation of effectiveness of the Strategies……..</w:t>
      </w:r>
      <w:r w:rsidR="60F68C6C" w:rsidRPr="0BE2D7A4">
        <w:rPr>
          <w:rFonts w:eastAsia="Times New Roman"/>
          <w:sz w:val="28"/>
          <w:szCs w:val="28"/>
          <w:lang w:val="en-US" w:eastAsia="ru-RU"/>
        </w:rPr>
        <w:t>..................</w:t>
      </w:r>
      <w:r w:rsidR="008E6865" w:rsidRPr="008E6865">
        <w:rPr>
          <w:rFonts w:eastAsia="Times New Roman"/>
          <w:sz w:val="28"/>
          <w:szCs w:val="28"/>
          <w:lang w:val="en-US" w:eastAsia="ru-RU"/>
        </w:rPr>
        <w:t>....</w:t>
      </w:r>
      <w:r w:rsidR="60F68C6C" w:rsidRPr="0BE2D7A4">
        <w:rPr>
          <w:rFonts w:eastAsia="Times New Roman"/>
          <w:sz w:val="28"/>
          <w:szCs w:val="28"/>
          <w:lang w:val="en-US" w:eastAsia="ru-RU"/>
        </w:rPr>
        <w:t>.....................</w:t>
      </w:r>
      <w:r w:rsidR="008E6865" w:rsidRPr="008E6865">
        <w:rPr>
          <w:rFonts w:eastAsia="Times New Roman"/>
          <w:sz w:val="28"/>
          <w:szCs w:val="28"/>
          <w:lang w:val="en-US" w:eastAsia="ru-RU"/>
        </w:rPr>
        <w:t>....</w:t>
      </w:r>
      <w:r w:rsidR="60F68C6C" w:rsidRPr="0BE2D7A4">
        <w:rPr>
          <w:rFonts w:eastAsia="Times New Roman"/>
          <w:sz w:val="28"/>
          <w:szCs w:val="28"/>
          <w:lang w:val="en-US" w:eastAsia="ru-RU"/>
        </w:rPr>
        <w:t>......</w:t>
      </w:r>
      <w:r w:rsidR="00FC5740">
        <w:rPr>
          <w:rFonts w:eastAsia="Times New Roman"/>
          <w:sz w:val="28"/>
          <w:szCs w:val="28"/>
          <w:lang w:val="en-US" w:eastAsia="ru-RU"/>
        </w:rPr>
        <w:t>3</w:t>
      </w:r>
      <w:r w:rsidR="00FC5740" w:rsidRPr="00FC5740">
        <w:rPr>
          <w:rFonts w:eastAsia="Times New Roman"/>
          <w:sz w:val="28"/>
          <w:szCs w:val="28"/>
          <w:lang w:val="en-US" w:eastAsia="ru-RU"/>
        </w:rPr>
        <w:t>0</w:t>
      </w:r>
    </w:p>
    <w:p w14:paraId="45AC7FD1" w14:textId="77777777" w:rsidR="00DD07CF" w:rsidRPr="00FC5740" w:rsidRDefault="532D6E7B" w:rsidP="0BE2D7A4">
      <w:pPr>
        <w:pStyle w:val="af"/>
        <w:shd w:val="clear" w:color="auto" w:fill="FFFFFF" w:themeFill="background1"/>
        <w:spacing w:after="0" w:line="240" w:lineRule="auto"/>
        <w:jc w:val="both"/>
        <w:rPr>
          <w:rFonts w:eastAsia="Times New Roman"/>
          <w:sz w:val="28"/>
          <w:szCs w:val="28"/>
          <w:lang w:val="en-US" w:eastAsia="ru-RU"/>
        </w:rPr>
      </w:pPr>
      <w:r w:rsidRPr="0BE2D7A4">
        <w:rPr>
          <w:b/>
          <w:bCs/>
          <w:sz w:val="28"/>
          <w:szCs w:val="28"/>
          <w:lang w:val="en-US"/>
        </w:rPr>
        <w:t>2 EU STRATEGY FOR CENTRAL ASIA AS A MAIN TOOL OF COOPERATION</w:t>
      </w:r>
      <w:r w:rsidR="00FC5740" w:rsidRPr="00FC5740">
        <w:rPr>
          <w:b/>
          <w:bCs/>
          <w:sz w:val="28"/>
          <w:szCs w:val="28"/>
          <w:lang w:val="en-US"/>
        </w:rPr>
        <w:t>……………………………………..…………………………….38</w:t>
      </w:r>
    </w:p>
    <w:p w14:paraId="0F819BC8" w14:textId="77777777" w:rsidR="00DD07CF" w:rsidRPr="00FC5740" w:rsidRDefault="0BE2D7A4" w:rsidP="0BE2D7A4">
      <w:pPr>
        <w:pStyle w:val="af"/>
        <w:shd w:val="clear" w:color="auto" w:fill="FFFFFF" w:themeFill="background1"/>
        <w:spacing w:after="0" w:line="240" w:lineRule="auto"/>
        <w:jc w:val="both"/>
        <w:rPr>
          <w:sz w:val="28"/>
          <w:szCs w:val="28"/>
          <w:lang w:val="en-US"/>
        </w:rPr>
      </w:pPr>
      <w:r w:rsidRPr="0BE2D7A4">
        <w:rPr>
          <w:sz w:val="28"/>
          <w:szCs w:val="28"/>
          <w:lang w:val="en-US"/>
        </w:rPr>
        <w:t>2.1. M</w:t>
      </w:r>
      <w:r w:rsidR="00BE02A5">
        <w:rPr>
          <w:sz w:val="28"/>
          <w:szCs w:val="28"/>
          <w:lang w:val="en-US"/>
        </w:rPr>
        <w:t>ain mechanisms for the implementation of the</w:t>
      </w:r>
      <w:r w:rsidRPr="00BE02A5">
        <w:rPr>
          <w:lang w:val="en-US"/>
        </w:rPr>
        <w:br/>
      </w:r>
      <w:r w:rsidRPr="0BE2D7A4">
        <w:rPr>
          <w:sz w:val="28"/>
          <w:szCs w:val="28"/>
          <w:lang w:val="en-US"/>
        </w:rPr>
        <w:t>S</w:t>
      </w:r>
      <w:r w:rsidR="00BE02A5">
        <w:rPr>
          <w:sz w:val="28"/>
          <w:szCs w:val="28"/>
          <w:lang w:val="en-US"/>
        </w:rPr>
        <w:t>trategy</w:t>
      </w:r>
      <w:r w:rsidR="00380897">
        <w:rPr>
          <w:sz w:val="28"/>
          <w:szCs w:val="28"/>
          <w:lang w:val="en-US"/>
        </w:rPr>
        <w:t>………………………………………………………</w:t>
      </w:r>
      <w:r w:rsidR="008E6865" w:rsidRPr="008E6865">
        <w:rPr>
          <w:sz w:val="28"/>
          <w:szCs w:val="28"/>
          <w:lang w:val="en-US"/>
        </w:rPr>
        <w:t>...</w:t>
      </w:r>
      <w:r w:rsidR="00380897">
        <w:rPr>
          <w:sz w:val="28"/>
          <w:szCs w:val="28"/>
          <w:lang w:val="en-US"/>
        </w:rPr>
        <w:t>…………</w:t>
      </w:r>
      <w:r w:rsidR="008E6865" w:rsidRPr="008E6865">
        <w:rPr>
          <w:sz w:val="28"/>
          <w:szCs w:val="28"/>
          <w:lang w:val="en-US"/>
        </w:rPr>
        <w:t>…..</w:t>
      </w:r>
      <w:r w:rsidR="00380897">
        <w:rPr>
          <w:sz w:val="28"/>
          <w:szCs w:val="28"/>
          <w:lang w:val="en-US"/>
        </w:rPr>
        <w:t>……...</w:t>
      </w:r>
      <w:r w:rsidR="00FC5740" w:rsidRPr="00FC5740">
        <w:rPr>
          <w:sz w:val="28"/>
          <w:szCs w:val="28"/>
          <w:lang w:val="en-US"/>
        </w:rPr>
        <w:t>38</w:t>
      </w:r>
    </w:p>
    <w:p w14:paraId="231DA7C0" w14:textId="77777777" w:rsidR="00DD07CF" w:rsidRPr="00FC5740" w:rsidRDefault="0BE2D7A4" w:rsidP="0BE2D7A4">
      <w:pPr>
        <w:pStyle w:val="af"/>
        <w:shd w:val="clear" w:color="auto" w:fill="FFFFFF" w:themeFill="background1"/>
        <w:spacing w:after="0" w:line="240" w:lineRule="auto"/>
        <w:jc w:val="both"/>
        <w:rPr>
          <w:sz w:val="28"/>
          <w:szCs w:val="28"/>
          <w:lang w:val="en-US"/>
        </w:rPr>
      </w:pPr>
      <w:r w:rsidRPr="0BE2D7A4">
        <w:rPr>
          <w:sz w:val="28"/>
          <w:szCs w:val="28"/>
          <w:lang w:val="en-US"/>
        </w:rPr>
        <w:t>2.2. F</w:t>
      </w:r>
      <w:r w:rsidR="00BE02A5">
        <w:rPr>
          <w:sz w:val="28"/>
          <w:szCs w:val="28"/>
          <w:lang w:val="en-US"/>
        </w:rPr>
        <w:t>actors of</w:t>
      </w:r>
      <w:r w:rsidRPr="0BE2D7A4">
        <w:rPr>
          <w:sz w:val="28"/>
          <w:szCs w:val="28"/>
          <w:lang w:val="en-US"/>
        </w:rPr>
        <w:t xml:space="preserve"> C</w:t>
      </w:r>
      <w:r w:rsidR="00BE02A5">
        <w:rPr>
          <w:sz w:val="28"/>
          <w:szCs w:val="28"/>
          <w:lang w:val="en-US"/>
        </w:rPr>
        <w:t>entral</w:t>
      </w:r>
      <w:r w:rsidRPr="0BE2D7A4">
        <w:rPr>
          <w:sz w:val="28"/>
          <w:szCs w:val="28"/>
          <w:lang w:val="en-US"/>
        </w:rPr>
        <w:t xml:space="preserve"> A</w:t>
      </w:r>
      <w:r w:rsidR="00BE02A5">
        <w:rPr>
          <w:sz w:val="28"/>
          <w:szCs w:val="28"/>
          <w:lang w:val="en-US"/>
        </w:rPr>
        <w:t>sia integration under the</w:t>
      </w:r>
      <w:r w:rsidRPr="0BE2D7A4">
        <w:rPr>
          <w:sz w:val="28"/>
          <w:szCs w:val="28"/>
          <w:lang w:val="en-US"/>
        </w:rPr>
        <w:t xml:space="preserve"> </w:t>
      </w:r>
      <w:r w:rsidR="00BE02A5">
        <w:rPr>
          <w:sz w:val="28"/>
          <w:szCs w:val="28"/>
          <w:lang w:val="en-US"/>
        </w:rPr>
        <w:t>new</w:t>
      </w:r>
      <w:r w:rsidRPr="00BE02A5">
        <w:rPr>
          <w:lang w:val="en-US"/>
        </w:rPr>
        <w:br/>
      </w:r>
      <w:r w:rsidRPr="0BE2D7A4">
        <w:rPr>
          <w:sz w:val="28"/>
          <w:szCs w:val="28"/>
          <w:lang w:val="en-US"/>
        </w:rPr>
        <w:t>EU</w:t>
      </w:r>
      <w:r w:rsidR="0E48E184" w:rsidRPr="0BE2D7A4">
        <w:rPr>
          <w:sz w:val="28"/>
          <w:szCs w:val="28"/>
          <w:lang w:val="en-US"/>
        </w:rPr>
        <w:t xml:space="preserve"> S</w:t>
      </w:r>
      <w:r w:rsidR="00BE02A5">
        <w:rPr>
          <w:sz w:val="28"/>
          <w:szCs w:val="28"/>
          <w:lang w:val="en-US"/>
        </w:rPr>
        <w:t>trateg</w:t>
      </w:r>
      <w:r w:rsidR="00380897">
        <w:rPr>
          <w:sz w:val="28"/>
          <w:szCs w:val="28"/>
          <w:lang w:val="en-US"/>
        </w:rPr>
        <w:t>y……………………………………………………………</w:t>
      </w:r>
      <w:r w:rsidR="008E6865" w:rsidRPr="008E6865">
        <w:rPr>
          <w:sz w:val="28"/>
          <w:szCs w:val="28"/>
          <w:lang w:val="en-US"/>
        </w:rPr>
        <w:t>...</w:t>
      </w:r>
      <w:r w:rsidR="00380897">
        <w:rPr>
          <w:sz w:val="28"/>
          <w:szCs w:val="28"/>
          <w:lang w:val="en-US"/>
        </w:rPr>
        <w:t>…</w:t>
      </w:r>
      <w:r w:rsidR="008E6865">
        <w:rPr>
          <w:sz w:val="28"/>
          <w:szCs w:val="28"/>
          <w:lang w:val="en-US"/>
        </w:rPr>
        <w:t>…</w:t>
      </w:r>
      <w:r w:rsidR="008E6865" w:rsidRPr="008E6865">
        <w:rPr>
          <w:sz w:val="28"/>
          <w:szCs w:val="28"/>
          <w:lang w:val="en-US"/>
        </w:rPr>
        <w:t>..</w:t>
      </w:r>
      <w:r w:rsidR="00380897">
        <w:rPr>
          <w:sz w:val="28"/>
          <w:szCs w:val="28"/>
          <w:lang w:val="en-US"/>
        </w:rPr>
        <w:t>…….</w:t>
      </w:r>
      <w:r w:rsidR="00FC5740" w:rsidRPr="00FC5740">
        <w:rPr>
          <w:sz w:val="28"/>
          <w:szCs w:val="28"/>
          <w:lang w:val="en-US"/>
        </w:rPr>
        <w:t>42</w:t>
      </w:r>
    </w:p>
    <w:p w14:paraId="3F0CD7B2" w14:textId="77777777" w:rsidR="00380897" w:rsidRPr="00FC5740" w:rsidRDefault="0BE2D7A4">
      <w:pPr>
        <w:pStyle w:val="af"/>
        <w:shd w:val="clear" w:color="auto" w:fill="FFFFFF" w:themeFill="background1"/>
        <w:tabs>
          <w:tab w:val="left" w:pos="7596"/>
        </w:tabs>
        <w:spacing w:after="0" w:line="240" w:lineRule="auto"/>
        <w:jc w:val="both"/>
        <w:rPr>
          <w:rFonts w:eastAsia="Times New Roman"/>
          <w:sz w:val="28"/>
          <w:szCs w:val="28"/>
          <w:lang w:val="en-US" w:eastAsia="ru-RU"/>
        </w:rPr>
      </w:pPr>
      <w:r w:rsidRPr="0BE2D7A4">
        <w:rPr>
          <w:rFonts w:eastAsia="Times New Roman"/>
          <w:sz w:val="28"/>
          <w:szCs w:val="28"/>
          <w:lang w:val="en-US" w:eastAsia="ru-RU"/>
        </w:rPr>
        <w:t xml:space="preserve">2.3. EU – CA </w:t>
      </w:r>
      <w:r w:rsidR="00BE02A5">
        <w:rPr>
          <w:rFonts w:eastAsia="Times New Roman"/>
          <w:sz w:val="28"/>
          <w:szCs w:val="28"/>
          <w:lang w:val="en-US" w:eastAsia="ru-RU"/>
        </w:rPr>
        <w:t>cooperation in a security and energy context……</w:t>
      </w:r>
      <w:r w:rsidRPr="0BE2D7A4">
        <w:rPr>
          <w:rFonts w:eastAsia="Times New Roman"/>
          <w:sz w:val="28"/>
          <w:szCs w:val="28"/>
          <w:lang w:val="en-US" w:eastAsia="ru-RU"/>
        </w:rPr>
        <w:t>………</w:t>
      </w:r>
      <w:r w:rsidR="008E6865" w:rsidRPr="008E6865">
        <w:rPr>
          <w:rFonts w:eastAsia="Times New Roman"/>
          <w:sz w:val="28"/>
          <w:szCs w:val="28"/>
          <w:lang w:val="en-US" w:eastAsia="ru-RU"/>
        </w:rPr>
        <w:t>...</w:t>
      </w:r>
      <w:r w:rsidR="008E6865">
        <w:rPr>
          <w:rFonts w:eastAsia="Times New Roman"/>
          <w:sz w:val="28"/>
          <w:szCs w:val="28"/>
          <w:lang w:val="en-US" w:eastAsia="ru-RU"/>
        </w:rPr>
        <w:t>…</w:t>
      </w:r>
      <w:r w:rsidR="00380897">
        <w:rPr>
          <w:rFonts w:eastAsia="Times New Roman"/>
          <w:sz w:val="28"/>
          <w:szCs w:val="28"/>
          <w:lang w:val="en-US" w:eastAsia="ru-RU"/>
        </w:rPr>
        <w:t>………</w:t>
      </w:r>
      <w:r w:rsidR="00FC5740" w:rsidRPr="00FC5740">
        <w:rPr>
          <w:rFonts w:eastAsia="Times New Roman"/>
          <w:sz w:val="28"/>
          <w:szCs w:val="28"/>
          <w:lang w:val="en-US" w:eastAsia="ru-RU"/>
        </w:rPr>
        <w:t>50</w:t>
      </w:r>
    </w:p>
    <w:p w14:paraId="211F5EE2" w14:textId="77777777" w:rsidR="00DD07CF" w:rsidRPr="00FC5740" w:rsidRDefault="0602887D" w:rsidP="0BE2D7A4">
      <w:pPr>
        <w:pStyle w:val="af"/>
        <w:spacing w:after="0" w:line="240" w:lineRule="auto"/>
        <w:jc w:val="both"/>
        <w:rPr>
          <w:rFonts w:eastAsia="Times New Roman"/>
          <w:b/>
          <w:bCs/>
          <w:sz w:val="28"/>
          <w:szCs w:val="28"/>
          <w:lang w:val="en-US" w:eastAsia="ru-RU"/>
        </w:rPr>
      </w:pPr>
      <w:r w:rsidRPr="0BE2D7A4">
        <w:rPr>
          <w:rFonts w:eastAsia="Times New Roman"/>
          <w:b/>
          <w:bCs/>
          <w:sz w:val="28"/>
          <w:szCs w:val="28"/>
          <w:lang w:val="en-US" w:eastAsia="ru-RU"/>
        </w:rPr>
        <w:t>3</w:t>
      </w:r>
      <w:r w:rsidR="0BE2D7A4" w:rsidRPr="0BE2D7A4">
        <w:rPr>
          <w:rFonts w:eastAsia="Times New Roman"/>
          <w:b/>
          <w:bCs/>
          <w:sz w:val="28"/>
          <w:szCs w:val="28"/>
          <w:lang w:val="en-US" w:eastAsia="ru-RU"/>
        </w:rPr>
        <w:t xml:space="preserve"> THE ROLE OF THE CENTRAL ASIAN STATES IN THE FORMATION AND DEVELOPMENT OF THE EUROPEAN POLICY TOWARDS THE REGION</w:t>
      </w:r>
      <w:r w:rsidR="00FC5740" w:rsidRPr="00FC5740">
        <w:rPr>
          <w:rFonts w:eastAsia="Times New Roman"/>
          <w:b/>
          <w:bCs/>
          <w:sz w:val="28"/>
          <w:szCs w:val="28"/>
          <w:lang w:val="en-US" w:eastAsia="ru-RU"/>
        </w:rPr>
        <w:t>……………………………………………………………………………60</w:t>
      </w:r>
    </w:p>
    <w:p w14:paraId="2E2A1F0A" w14:textId="77777777" w:rsidR="00DD07CF" w:rsidRDefault="0BE2D7A4" w:rsidP="0BE2D7A4">
      <w:pPr>
        <w:pStyle w:val="af"/>
        <w:spacing w:after="0" w:line="240" w:lineRule="auto"/>
        <w:jc w:val="both"/>
        <w:rPr>
          <w:rFonts w:eastAsia="Times New Roman"/>
          <w:sz w:val="28"/>
          <w:szCs w:val="28"/>
          <w:lang w:val="en-US" w:eastAsia="ru-RU"/>
        </w:rPr>
      </w:pPr>
      <w:r w:rsidRPr="0BE2D7A4">
        <w:rPr>
          <w:rFonts w:eastAsia="Times New Roman"/>
          <w:sz w:val="28"/>
          <w:szCs w:val="28"/>
          <w:lang w:val="en-US" w:eastAsia="ru-RU"/>
        </w:rPr>
        <w:t>3.1. K</w:t>
      </w:r>
      <w:r w:rsidR="00BE02A5">
        <w:rPr>
          <w:rFonts w:eastAsia="Times New Roman"/>
          <w:sz w:val="28"/>
          <w:szCs w:val="28"/>
          <w:lang w:val="en-US" w:eastAsia="ru-RU"/>
        </w:rPr>
        <w:t xml:space="preserve">azakhstan’s place in </w:t>
      </w:r>
      <w:r w:rsidRPr="0BE2D7A4">
        <w:rPr>
          <w:rFonts w:eastAsia="Times New Roman"/>
          <w:sz w:val="28"/>
          <w:szCs w:val="28"/>
          <w:lang w:val="en-US" w:eastAsia="ru-RU"/>
        </w:rPr>
        <w:t xml:space="preserve">EU </w:t>
      </w:r>
      <w:r w:rsidR="00BE02A5">
        <w:rPr>
          <w:rFonts w:eastAsia="Times New Roman"/>
          <w:sz w:val="28"/>
          <w:szCs w:val="28"/>
          <w:lang w:val="en-US" w:eastAsia="ru-RU"/>
        </w:rPr>
        <w:t>policy for</w:t>
      </w:r>
      <w:r w:rsidRPr="0BE2D7A4">
        <w:rPr>
          <w:rFonts w:eastAsia="Times New Roman"/>
          <w:sz w:val="28"/>
          <w:szCs w:val="28"/>
          <w:lang w:val="en-US" w:eastAsia="ru-RU"/>
        </w:rPr>
        <w:t xml:space="preserve"> C</w:t>
      </w:r>
      <w:r w:rsidR="00BE02A5">
        <w:rPr>
          <w:rFonts w:eastAsia="Times New Roman"/>
          <w:sz w:val="28"/>
          <w:szCs w:val="28"/>
          <w:lang w:val="en-US" w:eastAsia="ru-RU"/>
        </w:rPr>
        <w:t>entral</w:t>
      </w:r>
      <w:r w:rsidRPr="0BE2D7A4">
        <w:rPr>
          <w:rFonts w:eastAsia="Times New Roman"/>
          <w:sz w:val="28"/>
          <w:szCs w:val="28"/>
          <w:lang w:val="en-US" w:eastAsia="ru-RU"/>
        </w:rPr>
        <w:t xml:space="preserve"> A</w:t>
      </w:r>
      <w:r w:rsidR="00BE02A5">
        <w:rPr>
          <w:rFonts w:eastAsia="Times New Roman"/>
          <w:sz w:val="28"/>
          <w:szCs w:val="28"/>
          <w:lang w:val="en-US" w:eastAsia="ru-RU"/>
        </w:rPr>
        <w:t>sia…</w:t>
      </w:r>
      <w:r w:rsidRPr="0BE2D7A4">
        <w:rPr>
          <w:rFonts w:eastAsia="Times New Roman"/>
          <w:sz w:val="28"/>
          <w:szCs w:val="28"/>
          <w:lang w:val="en-US" w:eastAsia="ru-RU"/>
        </w:rPr>
        <w:t>.....</w:t>
      </w:r>
      <w:r w:rsidR="5644917F" w:rsidRPr="0BE2D7A4">
        <w:rPr>
          <w:rFonts w:eastAsia="Times New Roman"/>
          <w:sz w:val="28"/>
          <w:szCs w:val="28"/>
          <w:lang w:val="en-US" w:eastAsia="ru-RU"/>
        </w:rPr>
        <w:t>.....</w:t>
      </w:r>
      <w:r w:rsidR="008E6865" w:rsidRPr="008E6865">
        <w:rPr>
          <w:rFonts w:eastAsia="Times New Roman"/>
          <w:sz w:val="28"/>
          <w:szCs w:val="28"/>
          <w:lang w:val="en-US" w:eastAsia="ru-RU"/>
        </w:rPr>
        <w:t>.......</w:t>
      </w:r>
      <w:r w:rsidR="5644917F" w:rsidRPr="0BE2D7A4">
        <w:rPr>
          <w:rFonts w:eastAsia="Times New Roman"/>
          <w:sz w:val="28"/>
          <w:szCs w:val="28"/>
          <w:lang w:val="en-US" w:eastAsia="ru-RU"/>
        </w:rPr>
        <w:t>...................</w:t>
      </w:r>
      <w:r w:rsidR="0076324E">
        <w:rPr>
          <w:rFonts w:eastAsia="Times New Roman"/>
          <w:sz w:val="28"/>
          <w:szCs w:val="28"/>
          <w:lang w:val="en-US" w:eastAsia="ru-RU"/>
        </w:rPr>
        <w:t>.....</w:t>
      </w:r>
      <w:r w:rsidR="5644917F" w:rsidRPr="0BE2D7A4">
        <w:rPr>
          <w:rFonts w:eastAsia="Times New Roman"/>
          <w:sz w:val="28"/>
          <w:szCs w:val="28"/>
          <w:lang w:val="en-US" w:eastAsia="ru-RU"/>
        </w:rPr>
        <w:t>..</w:t>
      </w:r>
      <w:r w:rsidR="00FC5740" w:rsidRPr="00FC5740">
        <w:rPr>
          <w:rFonts w:eastAsia="Times New Roman"/>
          <w:sz w:val="28"/>
          <w:szCs w:val="28"/>
          <w:lang w:val="en-US" w:eastAsia="ru-RU"/>
        </w:rPr>
        <w:t>60</w:t>
      </w:r>
      <w:r w:rsidRPr="0BE2D7A4">
        <w:rPr>
          <w:rFonts w:eastAsia="Times New Roman"/>
          <w:sz w:val="28"/>
          <w:szCs w:val="28"/>
          <w:lang w:val="en-US" w:eastAsia="ru-RU"/>
        </w:rPr>
        <w:t xml:space="preserve"> </w:t>
      </w:r>
    </w:p>
    <w:p w14:paraId="2988924B" w14:textId="77777777" w:rsidR="00DD07CF" w:rsidRPr="00FC5740" w:rsidRDefault="4ECD8401">
      <w:pPr>
        <w:pStyle w:val="af"/>
        <w:shd w:val="clear" w:color="auto" w:fill="FFFFFF" w:themeFill="background1"/>
        <w:spacing w:after="0" w:line="240" w:lineRule="auto"/>
        <w:jc w:val="both"/>
        <w:rPr>
          <w:rFonts w:eastAsia="Times New Roman"/>
          <w:sz w:val="28"/>
          <w:szCs w:val="28"/>
          <w:lang w:val="en-US" w:eastAsia="ru-RU"/>
        </w:rPr>
      </w:pPr>
      <w:r w:rsidRPr="120AEEC1">
        <w:rPr>
          <w:rFonts w:eastAsia="Times New Roman"/>
          <w:sz w:val="28"/>
          <w:szCs w:val="28"/>
          <w:lang w:val="en-US" w:eastAsia="ru-RU"/>
        </w:rPr>
        <w:t xml:space="preserve">3.2. </w:t>
      </w:r>
      <w:r w:rsidR="09F0E94A" w:rsidRPr="120AEEC1">
        <w:rPr>
          <w:rFonts w:eastAsia="Times New Roman"/>
          <w:sz w:val="28"/>
          <w:szCs w:val="28"/>
          <w:lang w:val="en-US" w:eastAsia="ru-RU"/>
        </w:rPr>
        <w:t>Dynamics of p</w:t>
      </w:r>
      <w:r w:rsidR="00BE02A5" w:rsidRPr="120AEEC1">
        <w:rPr>
          <w:rFonts w:eastAsia="Times New Roman"/>
          <w:sz w:val="28"/>
          <w:szCs w:val="28"/>
          <w:lang w:val="en-US" w:eastAsia="ru-RU"/>
        </w:rPr>
        <w:t>artnership between the</w:t>
      </w:r>
      <w:r w:rsidRPr="120AEEC1">
        <w:rPr>
          <w:rFonts w:eastAsia="Times New Roman"/>
          <w:sz w:val="28"/>
          <w:szCs w:val="28"/>
          <w:lang w:val="en-US" w:eastAsia="ru-RU"/>
        </w:rPr>
        <w:t xml:space="preserve"> EU </w:t>
      </w:r>
      <w:r w:rsidR="00BE02A5" w:rsidRPr="120AEEC1">
        <w:rPr>
          <w:rFonts w:eastAsia="Times New Roman"/>
          <w:sz w:val="28"/>
          <w:szCs w:val="28"/>
          <w:lang w:val="en-US" w:eastAsia="ru-RU"/>
        </w:rPr>
        <w:t>and the countries of</w:t>
      </w:r>
      <w:r w:rsidRPr="120AEEC1">
        <w:rPr>
          <w:rFonts w:eastAsia="Times New Roman"/>
          <w:sz w:val="28"/>
          <w:szCs w:val="28"/>
          <w:lang w:val="en-US" w:eastAsia="ru-RU"/>
        </w:rPr>
        <w:t xml:space="preserve"> C</w:t>
      </w:r>
      <w:r w:rsidR="00BE02A5" w:rsidRPr="120AEEC1">
        <w:rPr>
          <w:rFonts w:eastAsia="Times New Roman"/>
          <w:sz w:val="28"/>
          <w:szCs w:val="28"/>
          <w:lang w:val="en-US" w:eastAsia="ru-RU"/>
        </w:rPr>
        <w:t>entral</w:t>
      </w:r>
      <w:r w:rsidRPr="120AEEC1">
        <w:rPr>
          <w:rFonts w:eastAsia="Times New Roman"/>
          <w:sz w:val="28"/>
          <w:szCs w:val="28"/>
          <w:lang w:val="en-US" w:eastAsia="ru-RU"/>
        </w:rPr>
        <w:t xml:space="preserve"> A</w:t>
      </w:r>
      <w:r w:rsidR="00BE02A5" w:rsidRPr="120AEEC1">
        <w:rPr>
          <w:rFonts w:eastAsia="Times New Roman"/>
          <w:sz w:val="28"/>
          <w:szCs w:val="28"/>
          <w:lang w:val="en-US" w:eastAsia="ru-RU"/>
        </w:rPr>
        <w:t>sia at the present stage</w:t>
      </w:r>
      <w:r w:rsidR="6064A4AE" w:rsidRPr="120AEEC1">
        <w:rPr>
          <w:rFonts w:eastAsia="Times New Roman"/>
          <w:sz w:val="28"/>
          <w:szCs w:val="28"/>
          <w:lang w:val="en-US" w:eastAsia="ru-RU"/>
        </w:rPr>
        <w:t xml:space="preserve"> </w:t>
      </w:r>
      <w:r w:rsidR="00BE02A5" w:rsidRPr="120AEEC1">
        <w:rPr>
          <w:rFonts w:eastAsia="Times New Roman"/>
          <w:sz w:val="28"/>
          <w:szCs w:val="28"/>
          <w:lang w:val="en-US" w:eastAsia="ru-RU"/>
        </w:rPr>
        <w:t>…………………………………………….</w:t>
      </w:r>
      <w:r w:rsidRPr="120AEEC1">
        <w:rPr>
          <w:rFonts w:eastAsia="Times New Roman"/>
          <w:sz w:val="28"/>
          <w:szCs w:val="28"/>
          <w:lang w:val="en-US" w:eastAsia="ru-RU"/>
        </w:rPr>
        <w:t>............</w:t>
      </w:r>
      <w:r w:rsidR="0076324E">
        <w:rPr>
          <w:rFonts w:eastAsia="Times New Roman"/>
          <w:sz w:val="28"/>
          <w:szCs w:val="28"/>
          <w:lang w:val="en-US" w:eastAsia="ru-RU"/>
        </w:rPr>
        <w:t>...</w:t>
      </w:r>
      <w:r w:rsidR="008E6865" w:rsidRPr="008E6865">
        <w:rPr>
          <w:rFonts w:eastAsia="Times New Roman"/>
          <w:sz w:val="28"/>
          <w:szCs w:val="28"/>
          <w:lang w:val="en-US" w:eastAsia="ru-RU"/>
        </w:rPr>
        <w:t>..................</w:t>
      </w:r>
      <w:r w:rsidR="0076324E">
        <w:rPr>
          <w:rFonts w:eastAsia="Times New Roman"/>
          <w:sz w:val="28"/>
          <w:szCs w:val="28"/>
          <w:lang w:val="en-US" w:eastAsia="ru-RU"/>
        </w:rPr>
        <w:t>.........</w:t>
      </w:r>
      <w:r w:rsidR="00FC5740" w:rsidRPr="00FC5740">
        <w:rPr>
          <w:rFonts w:eastAsia="Times New Roman"/>
          <w:sz w:val="28"/>
          <w:szCs w:val="28"/>
          <w:lang w:val="en-US" w:eastAsia="ru-RU"/>
        </w:rPr>
        <w:t>67</w:t>
      </w:r>
    </w:p>
    <w:p w14:paraId="61D5411C" w14:textId="77777777" w:rsidR="5ED57318" w:rsidRPr="00FC5740" w:rsidRDefault="5ED57318" w:rsidP="0BE2D7A4">
      <w:pPr>
        <w:pStyle w:val="af"/>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3.3. B</w:t>
      </w:r>
      <w:r w:rsidR="00BE02A5">
        <w:rPr>
          <w:rFonts w:eastAsia="Times New Roman"/>
          <w:sz w:val="28"/>
          <w:szCs w:val="28"/>
          <w:lang w:val="en-US" w:eastAsia="ru-RU"/>
        </w:rPr>
        <w:t>arriers and problems of the</w:t>
      </w:r>
      <w:r w:rsidR="10D8BFE0" w:rsidRPr="0BE2D7A4">
        <w:rPr>
          <w:rFonts w:eastAsia="Times New Roman"/>
          <w:sz w:val="28"/>
          <w:szCs w:val="28"/>
          <w:lang w:val="en-US" w:eastAsia="ru-RU"/>
        </w:rPr>
        <w:t xml:space="preserve"> EU S</w:t>
      </w:r>
      <w:r w:rsidR="00BE02A5">
        <w:rPr>
          <w:rFonts w:eastAsia="Times New Roman"/>
          <w:sz w:val="28"/>
          <w:szCs w:val="28"/>
          <w:lang w:val="en-US" w:eastAsia="ru-RU"/>
        </w:rPr>
        <w:t>trategy implementation in</w:t>
      </w:r>
      <w:r w:rsidR="10D8BFE0" w:rsidRPr="0BE2D7A4">
        <w:rPr>
          <w:rFonts w:eastAsia="Times New Roman"/>
          <w:sz w:val="28"/>
          <w:szCs w:val="28"/>
          <w:lang w:val="en-US" w:eastAsia="ru-RU"/>
        </w:rPr>
        <w:t xml:space="preserve"> C</w:t>
      </w:r>
      <w:r w:rsidR="00BE02A5">
        <w:rPr>
          <w:rFonts w:eastAsia="Times New Roman"/>
          <w:sz w:val="28"/>
          <w:szCs w:val="28"/>
          <w:lang w:val="en-US" w:eastAsia="ru-RU"/>
        </w:rPr>
        <w:t>entral</w:t>
      </w:r>
      <w:r w:rsidR="10D8BFE0" w:rsidRPr="0BE2D7A4">
        <w:rPr>
          <w:rFonts w:eastAsia="Times New Roman"/>
          <w:sz w:val="28"/>
          <w:szCs w:val="28"/>
          <w:lang w:val="en-US" w:eastAsia="ru-RU"/>
        </w:rPr>
        <w:t xml:space="preserve"> A</w:t>
      </w:r>
      <w:r w:rsidR="00BE02A5">
        <w:rPr>
          <w:rFonts w:eastAsia="Times New Roman"/>
          <w:sz w:val="28"/>
          <w:szCs w:val="28"/>
          <w:lang w:val="en-US" w:eastAsia="ru-RU"/>
        </w:rPr>
        <w:t>sia………………………………………..</w:t>
      </w:r>
      <w:r w:rsidR="2D411609" w:rsidRPr="0BE2D7A4">
        <w:rPr>
          <w:rFonts w:eastAsia="Times New Roman"/>
          <w:sz w:val="28"/>
          <w:szCs w:val="28"/>
          <w:lang w:val="en-US" w:eastAsia="ru-RU"/>
        </w:rPr>
        <w:t>.........................</w:t>
      </w:r>
      <w:r w:rsidR="008E6865" w:rsidRPr="008E6865">
        <w:rPr>
          <w:rFonts w:eastAsia="Times New Roman"/>
          <w:sz w:val="28"/>
          <w:szCs w:val="28"/>
          <w:lang w:val="en-US" w:eastAsia="ru-RU"/>
        </w:rPr>
        <w:t>.........</w:t>
      </w:r>
      <w:r w:rsidR="2D411609" w:rsidRPr="0BE2D7A4">
        <w:rPr>
          <w:rFonts w:eastAsia="Times New Roman"/>
          <w:sz w:val="28"/>
          <w:szCs w:val="28"/>
          <w:lang w:val="en-US" w:eastAsia="ru-RU"/>
        </w:rPr>
        <w:t>..............................</w:t>
      </w:r>
      <w:r w:rsidR="00FC5740" w:rsidRPr="00FC5740">
        <w:rPr>
          <w:rFonts w:eastAsia="Times New Roman"/>
          <w:sz w:val="28"/>
          <w:szCs w:val="28"/>
          <w:lang w:val="en-US" w:eastAsia="ru-RU"/>
        </w:rPr>
        <w:t>77</w:t>
      </w:r>
    </w:p>
    <w:p w14:paraId="671929FA" w14:textId="77777777" w:rsidR="00380897" w:rsidRPr="00331C14" w:rsidRDefault="0BE2D7A4">
      <w:pPr>
        <w:pStyle w:val="af"/>
        <w:shd w:val="clear" w:color="auto" w:fill="FFFFFF" w:themeFill="background1"/>
        <w:spacing w:after="0" w:line="240" w:lineRule="auto"/>
        <w:jc w:val="both"/>
        <w:rPr>
          <w:rFonts w:eastAsia="Times New Roman"/>
          <w:sz w:val="28"/>
          <w:szCs w:val="28"/>
          <w:lang w:val="en-US" w:eastAsia="ru-RU"/>
        </w:rPr>
      </w:pPr>
      <w:r w:rsidRPr="0BE2D7A4">
        <w:rPr>
          <w:rFonts w:eastAsia="Times New Roman"/>
          <w:b/>
          <w:bCs/>
          <w:sz w:val="28"/>
          <w:szCs w:val="28"/>
          <w:lang w:val="en-US" w:eastAsia="ru-RU"/>
        </w:rPr>
        <w:t>CONCLUSION</w:t>
      </w:r>
      <w:r w:rsidRPr="0BE2D7A4">
        <w:rPr>
          <w:rFonts w:eastAsia="Times New Roman"/>
          <w:sz w:val="28"/>
          <w:szCs w:val="28"/>
          <w:lang w:val="en-US" w:eastAsia="ru-RU"/>
        </w:rPr>
        <w:t>……………………………………………</w:t>
      </w:r>
      <w:r w:rsidR="008E6865" w:rsidRPr="00331C14">
        <w:rPr>
          <w:rFonts w:eastAsia="Times New Roman"/>
          <w:sz w:val="28"/>
          <w:szCs w:val="28"/>
          <w:lang w:val="en-US" w:eastAsia="ru-RU"/>
        </w:rPr>
        <w:t>…….</w:t>
      </w:r>
      <w:r w:rsidRPr="0BE2D7A4">
        <w:rPr>
          <w:rFonts w:eastAsia="Times New Roman"/>
          <w:sz w:val="28"/>
          <w:szCs w:val="28"/>
          <w:lang w:val="en-US" w:eastAsia="ru-RU"/>
        </w:rPr>
        <w:t>……………</w:t>
      </w:r>
      <w:r w:rsidR="00BE02A5">
        <w:rPr>
          <w:rFonts w:eastAsia="Times New Roman"/>
          <w:sz w:val="28"/>
          <w:szCs w:val="28"/>
          <w:lang w:val="en-US" w:eastAsia="ru-RU"/>
        </w:rPr>
        <w:t>…</w:t>
      </w:r>
      <w:r w:rsidR="00FC5740" w:rsidRPr="00331C14">
        <w:rPr>
          <w:rFonts w:eastAsia="Times New Roman"/>
          <w:sz w:val="28"/>
          <w:szCs w:val="28"/>
          <w:lang w:val="en-US" w:eastAsia="ru-RU"/>
        </w:rPr>
        <w:t>..</w:t>
      </w:r>
      <w:r w:rsidR="00BE02A5">
        <w:rPr>
          <w:rFonts w:eastAsia="Times New Roman"/>
          <w:sz w:val="28"/>
          <w:szCs w:val="28"/>
          <w:lang w:val="en-US" w:eastAsia="ru-RU"/>
        </w:rPr>
        <w:t>.</w:t>
      </w:r>
      <w:r w:rsidRPr="0BE2D7A4">
        <w:rPr>
          <w:rFonts w:eastAsia="Times New Roman"/>
          <w:sz w:val="28"/>
          <w:szCs w:val="28"/>
          <w:lang w:val="en-US" w:eastAsia="ru-RU"/>
        </w:rPr>
        <w:t>..</w:t>
      </w:r>
      <w:r w:rsidR="00FC5740" w:rsidRPr="00331C14">
        <w:rPr>
          <w:rFonts w:eastAsia="Times New Roman"/>
          <w:sz w:val="28"/>
          <w:szCs w:val="28"/>
          <w:lang w:val="en-US" w:eastAsia="ru-RU"/>
        </w:rPr>
        <w:t>82</w:t>
      </w:r>
    </w:p>
    <w:p w14:paraId="027F81D7" w14:textId="77777777" w:rsidR="00DD07CF" w:rsidRPr="00331C14" w:rsidRDefault="0BE2D7A4">
      <w:pPr>
        <w:pStyle w:val="af"/>
        <w:shd w:val="clear" w:color="auto" w:fill="FFFFFF" w:themeFill="background1"/>
        <w:spacing w:after="0" w:line="240" w:lineRule="auto"/>
        <w:jc w:val="both"/>
        <w:rPr>
          <w:rFonts w:eastAsia="Times New Roman"/>
          <w:sz w:val="28"/>
          <w:szCs w:val="28"/>
          <w:lang w:val="en-US" w:eastAsia="ru-RU"/>
        </w:rPr>
      </w:pPr>
      <w:r w:rsidRPr="0BE2D7A4">
        <w:rPr>
          <w:rFonts w:eastAsia="Times New Roman"/>
          <w:b/>
          <w:bCs/>
          <w:sz w:val="28"/>
          <w:szCs w:val="28"/>
          <w:lang w:val="en-US" w:eastAsia="ru-RU"/>
        </w:rPr>
        <w:t>REFERENCES</w:t>
      </w:r>
      <w:r w:rsidRPr="0BE2D7A4">
        <w:rPr>
          <w:rFonts w:eastAsia="Times New Roman"/>
          <w:sz w:val="28"/>
          <w:szCs w:val="28"/>
          <w:lang w:val="en-US" w:eastAsia="ru-RU"/>
        </w:rPr>
        <w:t>…………………………………………………</w:t>
      </w:r>
      <w:r w:rsidR="008E6865" w:rsidRPr="00331C14">
        <w:rPr>
          <w:rFonts w:eastAsia="Times New Roman"/>
          <w:sz w:val="28"/>
          <w:szCs w:val="28"/>
          <w:lang w:val="en-US" w:eastAsia="ru-RU"/>
        </w:rPr>
        <w:t>……</w:t>
      </w:r>
      <w:r w:rsidRPr="0BE2D7A4">
        <w:rPr>
          <w:rFonts w:eastAsia="Times New Roman"/>
          <w:sz w:val="28"/>
          <w:szCs w:val="28"/>
          <w:lang w:val="en-US" w:eastAsia="ru-RU"/>
        </w:rPr>
        <w:t>………</w:t>
      </w:r>
      <w:r w:rsidR="00BE02A5">
        <w:rPr>
          <w:rFonts w:eastAsia="Times New Roman"/>
          <w:sz w:val="28"/>
          <w:szCs w:val="28"/>
          <w:lang w:val="en-US" w:eastAsia="ru-RU"/>
        </w:rPr>
        <w:t>….</w:t>
      </w:r>
      <w:r w:rsidR="0981BF0A" w:rsidRPr="0BE2D7A4">
        <w:rPr>
          <w:rFonts w:eastAsia="Times New Roman"/>
          <w:sz w:val="28"/>
          <w:szCs w:val="28"/>
          <w:lang w:val="en-US" w:eastAsia="ru-RU"/>
        </w:rPr>
        <w:t>...</w:t>
      </w:r>
      <w:r w:rsidR="00FC5740" w:rsidRPr="00331C14">
        <w:rPr>
          <w:rFonts w:eastAsia="Times New Roman"/>
          <w:sz w:val="28"/>
          <w:szCs w:val="28"/>
          <w:lang w:val="en-US" w:eastAsia="ru-RU"/>
        </w:rPr>
        <w:t>..90</w:t>
      </w:r>
    </w:p>
    <w:p w14:paraId="1F72F646" w14:textId="77777777" w:rsidR="00DD07CF" w:rsidRDefault="00DD07CF" w:rsidP="0BE2D7A4">
      <w:pPr>
        <w:tabs>
          <w:tab w:val="left" w:pos="5966"/>
        </w:tabs>
        <w:spacing w:line="240" w:lineRule="auto"/>
        <w:jc w:val="both"/>
        <w:rPr>
          <w:rFonts w:ascii="Times New Roman" w:hAnsi="Times New Roman" w:cs="Times New Roman"/>
          <w:b/>
          <w:bCs/>
          <w:sz w:val="28"/>
          <w:szCs w:val="28"/>
          <w:lang w:val="en-US"/>
        </w:rPr>
      </w:pPr>
    </w:p>
    <w:p w14:paraId="08CE6F91" w14:textId="77777777" w:rsidR="00DD07CF" w:rsidRDefault="00DD07CF" w:rsidP="0BE2D7A4">
      <w:pPr>
        <w:tabs>
          <w:tab w:val="left" w:pos="5966"/>
        </w:tabs>
        <w:spacing w:line="240" w:lineRule="auto"/>
        <w:jc w:val="both"/>
        <w:rPr>
          <w:rFonts w:ascii="Times New Roman" w:hAnsi="Times New Roman" w:cs="Times New Roman"/>
          <w:b/>
          <w:bCs/>
          <w:sz w:val="28"/>
          <w:szCs w:val="28"/>
          <w:lang w:val="en-US"/>
        </w:rPr>
      </w:pPr>
    </w:p>
    <w:p w14:paraId="61CDCEAD" w14:textId="77777777" w:rsidR="00DD07CF" w:rsidRDefault="00DD07CF" w:rsidP="0BE2D7A4">
      <w:pPr>
        <w:tabs>
          <w:tab w:val="left" w:pos="5966"/>
        </w:tabs>
        <w:spacing w:line="240" w:lineRule="auto"/>
        <w:jc w:val="both"/>
        <w:rPr>
          <w:rFonts w:ascii="Times New Roman" w:hAnsi="Times New Roman" w:cs="Times New Roman"/>
          <w:b/>
          <w:bCs/>
          <w:sz w:val="28"/>
          <w:szCs w:val="28"/>
          <w:lang w:val="en-US"/>
        </w:rPr>
      </w:pPr>
    </w:p>
    <w:p w14:paraId="6BB9E253" w14:textId="77777777" w:rsidR="00DD07CF" w:rsidRDefault="00DD07CF" w:rsidP="0BE2D7A4">
      <w:pPr>
        <w:tabs>
          <w:tab w:val="left" w:pos="5966"/>
        </w:tabs>
        <w:spacing w:line="240" w:lineRule="auto"/>
        <w:jc w:val="both"/>
        <w:rPr>
          <w:rFonts w:ascii="Times New Roman" w:hAnsi="Times New Roman" w:cs="Times New Roman"/>
          <w:b/>
          <w:bCs/>
          <w:sz w:val="28"/>
          <w:szCs w:val="28"/>
          <w:lang w:val="en-US"/>
        </w:rPr>
      </w:pPr>
    </w:p>
    <w:p w14:paraId="23DE523C" w14:textId="77777777" w:rsidR="7315D5B6" w:rsidRDefault="7315D5B6" w:rsidP="7315D5B6">
      <w:pPr>
        <w:tabs>
          <w:tab w:val="left" w:pos="5966"/>
        </w:tabs>
        <w:spacing w:line="240" w:lineRule="auto"/>
        <w:jc w:val="both"/>
        <w:rPr>
          <w:rFonts w:ascii="Times New Roman" w:hAnsi="Times New Roman" w:cs="Times New Roman"/>
          <w:b/>
          <w:bCs/>
          <w:sz w:val="28"/>
          <w:szCs w:val="28"/>
          <w:lang w:val="en-US"/>
        </w:rPr>
      </w:pPr>
    </w:p>
    <w:p w14:paraId="52E56223" w14:textId="77777777" w:rsidR="7315D5B6" w:rsidRPr="00331C14" w:rsidRDefault="7315D5B6" w:rsidP="7315D5B6">
      <w:pPr>
        <w:tabs>
          <w:tab w:val="left" w:pos="5966"/>
        </w:tabs>
        <w:spacing w:line="240" w:lineRule="auto"/>
        <w:jc w:val="both"/>
        <w:rPr>
          <w:rFonts w:ascii="Times New Roman" w:hAnsi="Times New Roman" w:cs="Times New Roman"/>
          <w:b/>
          <w:bCs/>
          <w:sz w:val="28"/>
          <w:szCs w:val="28"/>
          <w:lang w:val="en-US"/>
        </w:rPr>
      </w:pPr>
    </w:p>
    <w:p w14:paraId="07547A01" w14:textId="77777777" w:rsidR="008E6865" w:rsidRPr="00331C14" w:rsidRDefault="008E6865" w:rsidP="7315D5B6">
      <w:pPr>
        <w:tabs>
          <w:tab w:val="left" w:pos="5966"/>
        </w:tabs>
        <w:spacing w:line="240" w:lineRule="auto"/>
        <w:jc w:val="both"/>
        <w:rPr>
          <w:rFonts w:ascii="Times New Roman" w:hAnsi="Times New Roman" w:cs="Times New Roman"/>
          <w:b/>
          <w:bCs/>
          <w:sz w:val="28"/>
          <w:szCs w:val="28"/>
          <w:lang w:val="en-US"/>
        </w:rPr>
      </w:pPr>
    </w:p>
    <w:p w14:paraId="5043CB0F" w14:textId="77777777" w:rsidR="008E6865" w:rsidRPr="00331C14" w:rsidRDefault="008E6865" w:rsidP="7315D5B6">
      <w:pPr>
        <w:tabs>
          <w:tab w:val="left" w:pos="5966"/>
        </w:tabs>
        <w:spacing w:line="240" w:lineRule="auto"/>
        <w:jc w:val="both"/>
        <w:rPr>
          <w:rFonts w:ascii="Times New Roman" w:hAnsi="Times New Roman" w:cs="Times New Roman"/>
          <w:b/>
          <w:bCs/>
          <w:sz w:val="28"/>
          <w:szCs w:val="28"/>
          <w:lang w:val="en-US"/>
        </w:rPr>
      </w:pPr>
    </w:p>
    <w:p w14:paraId="07459315" w14:textId="77777777" w:rsidR="008E6865" w:rsidRPr="00331C14" w:rsidRDefault="008E6865" w:rsidP="7315D5B6">
      <w:pPr>
        <w:tabs>
          <w:tab w:val="left" w:pos="5966"/>
        </w:tabs>
        <w:spacing w:line="240" w:lineRule="auto"/>
        <w:jc w:val="both"/>
        <w:rPr>
          <w:rFonts w:ascii="Times New Roman" w:hAnsi="Times New Roman" w:cs="Times New Roman"/>
          <w:b/>
          <w:bCs/>
          <w:sz w:val="28"/>
          <w:szCs w:val="28"/>
          <w:lang w:val="en-US"/>
        </w:rPr>
      </w:pPr>
    </w:p>
    <w:p w14:paraId="6537F28F" w14:textId="77777777" w:rsidR="008E6865" w:rsidRPr="00331C14" w:rsidRDefault="008E6865" w:rsidP="7315D5B6">
      <w:pPr>
        <w:tabs>
          <w:tab w:val="left" w:pos="5966"/>
        </w:tabs>
        <w:spacing w:line="240" w:lineRule="auto"/>
        <w:jc w:val="both"/>
        <w:rPr>
          <w:rFonts w:ascii="Times New Roman" w:hAnsi="Times New Roman" w:cs="Times New Roman"/>
          <w:b/>
          <w:bCs/>
          <w:sz w:val="28"/>
          <w:szCs w:val="28"/>
          <w:lang w:val="en-US"/>
        </w:rPr>
      </w:pPr>
    </w:p>
    <w:p w14:paraId="6DFB9E20" w14:textId="77777777" w:rsidR="008E6865" w:rsidRPr="00331C14" w:rsidRDefault="008E6865" w:rsidP="7315D5B6">
      <w:pPr>
        <w:tabs>
          <w:tab w:val="left" w:pos="5966"/>
        </w:tabs>
        <w:spacing w:line="240" w:lineRule="auto"/>
        <w:jc w:val="both"/>
        <w:rPr>
          <w:rFonts w:ascii="Times New Roman" w:hAnsi="Times New Roman" w:cs="Times New Roman"/>
          <w:b/>
          <w:bCs/>
          <w:sz w:val="28"/>
          <w:szCs w:val="28"/>
          <w:lang w:val="en-US"/>
        </w:rPr>
      </w:pPr>
    </w:p>
    <w:p w14:paraId="70DF9E56" w14:textId="77777777" w:rsidR="00DD07CF" w:rsidRDefault="00DD07CF" w:rsidP="0BE2D7A4">
      <w:pPr>
        <w:tabs>
          <w:tab w:val="left" w:pos="5966"/>
        </w:tabs>
        <w:spacing w:line="240" w:lineRule="auto"/>
        <w:jc w:val="both"/>
        <w:rPr>
          <w:rFonts w:ascii="Times New Roman" w:hAnsi="Times New Roman" w:cs="Times New Roman"/>
          <w:b/>
          <w:bCs/>
          <w:sz w:val="28"/>
          <w:szCs w:val="28"/>
          <w:lang w:val="en-US"/>
        </w:rPr>
      </w:pPr>
    </w:p>
    <w:p w14:paraId="44E871BC" w14:textId="77777777" w:rsidR="00DD07CF" w:rsidRDefault="00DD07CF" w:rsidP="0BE2D7A4">
      <w:pPr>
        <w:tabs>
          <w:tab w:val="left" w:pos="5966"/>
        </w:tabs>
        <w:spacing w:line="240" w:lineRule="auto"/>
        <w:jc w:val="both"/>
        <w:rPr>
          <w:rFonts w:ascii="Times New Roman" w:hAnsi="Times New Roman" w:cs="Times New Roman"/>
          <w:b/>
          <w:bCs/>
          <w:sz w:val="28"/>
          <w:szCs w:val="28"/>
          <w:lang w:val="en-US"/>
        </w:rPr>
      </w:pPr>
    </w:p>
    <w:p w14:paraId="108137A0" w14:textId="77777777" w:rsidR="00DD07CF" w:rsidRDefault="00380897" w:rsidP="00BE02A5">
      <w:pPr>
        <w:tabs>
          <w:tab w:val="left" w:pos="5966"/>
        </w:tabs>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w:t>
      </w:r>
      <w:r w:rsidR="0BE2D7A4" w:rsidRPr="0BE2D7A4">
        <w:rPr>
          <w:rFonts w:ascii="Times New Roman" w:hAnsi="Times New Roman" w:cs="Times New Roman"/>
          <w:b/>
          <w:bCs/>
          <w:sz w:val="28"/>
          <w:szCs w:val="28"/>
          <w:lang w:val="en-US"/>
        </w:rPr>
        <w:t>BBREVIATIONS</w:t>
      </w:r>
    </w:p>
    <w:p w14:paraId="144A5D23" w14:textId="77777777" w:rsidR="00BE02A5" w:rsidRDefault="00BE02A5" w:rsidP="00BE02A5">
      <w:pPr>
        <w:tabs>
          <w:tab w:val="left" w:pos="5966"/>
        </w:tabs>
        <w:spacing w:after="0" w:line="240" w:lineRule="auto"/>
        <w:jc w:val="center"/>
        <w:rPr>
          <w:rFonts w:ascii="Times New Roman" w:hAnsi="Times New Roman" w:cs="Times New Roman"/>
          <w:b/>
          <w:bCs/>
          <w:sz w:val="28"/>
          <w:szCs w:val="28"/>
          <w:lang w:val="en-US"/>
        </w:rPr>
      </w:pPr>
    </w:p>
    <w:p w14:paraId="0B1C3A3F" w14:textId="77777777" w:rsidR="00DD07CF" w:rsidRDefault="0BE2D7A4" w:rsidP="00BE02A5">
      <w:pPr>
        <w:tabs>
          <w:tab w:val="left" w:pos="2268"/>
        </w:tabs>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BOMCA                 Border Management Programme in Central Asia</w:t>
      </w:r>
    </w:p>
    <w:p w14:paraId="22127C90" w14:textId="77777777" w:rsidR="00DD07CF" w:rsidRDefault="0BE2D7A4" w:rsidP="00BE02A5">
      <w:pPr>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 xml:space="preserve">BRI                         Belt and Road Initiative </w:t>
      </w:r>
    </w:p>
    <w:p w14:paraId="55CBC43E" w14:textId="77777777" w:rsidR="00DD07CF" w:rsidRDefault="0BE2D7A4" w:rsidP="00BE02A5">
      <w:pPr>
        <w:spacing w:after="0" w:line="240" w:lineRule="auto"/>
        <w:rPr>
          <w:rFonts w:ascii="Times New Roman" w:eastAsia="Times New Roman" w:hAnsi="Times New Roman" w:cs="Times New Roman"/>
          <w:sz w:val="28"/>
          <w:szCs w:val="28"/>
          <w:lang w:val="en-US" w:eastAsia="ru-RU"/>
        </w:rPr>
      </w:pPr>
      <w:r w:rsidRPr="0BE2D7A4">
        <w:rPr>
          <w:rFonts w:ascii="Times New Roman" w:hAnsi="Times New Roman" w:cs="Times New Roman"/>
          <w:sz w:val="28"/>
          <w:szCs w:val="28"/>
          <w:lang w:val="en-US"/>
        </w:rPr>
        <w:t>CA</w:t>
      </w:r>
      <w:r w:rsidRPr="0BE2D7A4">
        <w:rPr>
          <w:rFonts w:ascii="Times New Roman" w:eastAsia="Times New Roman" w:hAnsi="Times New Roman" w:cs="Times New Roman"/>
          <w:sz w:val="28"/>
          <w:szCs w:val="28"/>
          <w:lang w:val="en-US" w:eastAsia="ru-RU"/>
        </w:rPr>
        <w:t xml:space="preserve"> </w:t>
      </w:r>
      <w:r w:rsidRPr="00BE02A5">
        <w:rPr>
          <w:lang w:val="en-US"/>
        </w:rPr>
        <w:tab/>
      </w:r>
      <w:r w:rsidRPr="00BE02A5">
        <w:rPr>
          <w:lang w:val="en-US"/>
        </w:rPr>
        <w:tab/>
      </w:r>
      <w:r w:rsidRPr="0BE2D7A4">
        <w:rPr>
          <w:rFonts w:ascii="Times New Roman" w:eastAsia="Times New Roman" w:hAnsi="Times New Roman" w:cs="Times New Roman"/>
          <w:sz w:val="28"/>
          <w:szCs w:val="28"/>
          <w:lang w:val="en-US" w:eastAsia="ru-RU"/>
        </w:rPr>
        <w:t xml:space="preserve">       </w:t>
      </w:r>
      <w:r w:rsidRPr="00BE02A5">
        <w:rPr>
          <w:lang w:val="en-US"/>
        </w:rPr>
        <w:tab/>
      </w:r>
      <w:r w:rsidRPr="0BE2D7A4">
        <w:rPr>
          <w:rFonts w:ascii="Times New Roman" w:eastAsia="Times New Roman" w:hAnsi="Times New Roman" w:cs="Times New Roman"/>
          <w:sz w:val="28"/>
          <w:szCs w:val="28"/>
          <w:lang w:val="en-US" w:eastAsia="ru-RU"/>
        </w:rPr>
        <w:t xml:space="preserve"> Central Asia</w:t>
      </w:r>
    </w:p>
    <w:p w14:paraId="7DD60AE4" w14:textId="77777777" w:rsidR="00DD07CF" w:rsidRDefault="0BE2D7A4" w:rsidP="00BE02A5">
      <w:pPr>
        <w:pStyle w:val="af"/>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CACO</w:t>
      </w:r>
      <w:r w:rsidRPr="00BE02A5">
        <w:rPr>
          <w:lang w:val="en-US"/>
        </w:rPr>
        <w:tab/>
      </w:r>
      <w:r w:rsidRPr="0BE2D7A4">
        <w:rPr>
          <w:rFonts w:eastAsia="Times New Roman"/>
          <w:sz w:val="28"/>
          <w:szCs w:val="28"/>
          <w:lang w:val="en-US" w:eastAsia="ru-RU"/>
        </w:rPr>
        <w:t xml:space="preserve">       </w:t>
      </w:r>
      <w:r w:rsidRPr="00BE02A5">
        <w:rPr>
          <w:lang w:val="en-US"/>
        </w:rPr>
        <w:tab/>
      </w:r>
      <w:r w:rsidRPr="0BE2D7A4">
        <w:rPr>
          <w:rFonts w:eastAsia="Times New Roman"/>
          <w:sz w:val="28"/>
          <w:szCs w:val="28"/>
          <w:lang w:val="en-US" w:eastAsia="ru-RU"/>
        </w:rPr>
        <w:t xml:space="preserve"> Central Asian Cooperation Organization</w:t>
      </w:r>
    </w:p>
    <w:p w14:paraId="48061DBD" w14:textId="77777777" w:rsidR="00DD07CF" w:rsidRDefault="0BE2D7A4" w:rsidP="00BE02A5">
      <w:pPr>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CADAP</w:t>
      </w:r>
      <w:r w:rsidRPr="00BE02A5">
        <w:rPr>
          <w:lang w:val="en-US"/>
        </w:rPr>
        <w:tab/>
      </w:r>
      <w:r w:rsidRPr="0BE2D7A4">
        <w:rPr>
          <w:rFonts w:ascii="Times New Roman" w:eastAsia="Times New Roman" w:hAnsi="Times New Roman" w:cs="Times New Roman"/>
          <w:sz w:val="28"/>
          <w:szCs w:val="28"/>
          <w:lang w:val="en-US" w:eastAsia="ru-RU"/>
        </w:rPr>
        <w:t xml:space="preserve">        </w:t>
      </w:r>
      <w:r w:rsidRPr="00BE02A5">
        <w:rPr>
          <w:lang w:val="en-US"/>
        </w:rPr>
        <w:tab/>
      </w:r>
      <w:r w:rsidRPr="0BE2D7A4">
        <w:rPr>
          <w:rFonts w:ascii="Times New Roman" w:eastAsia="Times New Roman" w:hAnsi="Times New Roman" w:cs="Times New Roman"/>
          <w:sz w:val="28"/>
          <w:szCs w:val="28"/>
          <w:lang w:val="en-US" w:eastAsia="ru-RU"/>
        </w:rPr>
        <w:t xml:space="preserve"> Central Asia Drug Action Programme</w:t>
      </w:r>
    </w:p>
    <w:p w14:paraId="0ECF7BB3" w14:textId="77777777" w:rsidR="00DD07CF" w:rsidRPr="00BE02A5" w:rsidRDefault="0BE2D7A4" w:rsidP="00BE02A5">
      <w:pPr>
        <w:spacing w:after="0" w:line="240" w:lineRule="auto"/>
        <w:rPr>
          <w:rFonts w:ascii="Times New Roman" w:eastAsia="Times New Roman" w:hAnsi="Times New Roman" w:cs="Times New Roman"/>
          <w:sz w:val="28"/>
          <w:szCs w:val="28"/>
          <w:lang w:val="en-US" w:eastAsia="ru-RU"/>
        </w:rPr>
      </w:pPr>
      <w:r w:rsidRPr="00BE02A5">
        <w:rPr>
          <w:rFonts w:ascii="Times New Roman" w:eastAsia="Times New Roman" w:hAnsi="Times New Roman" w:cs="Times New Roman"/>
          <w:sz w:val="28"/>
          <w:szCs w:val="28"/>
          <w:lang w:val="en-US" w:eastAsia="ru-RU"/>
        </w:rPr>
        <w:t>CAEC</w:t>
      </w:r>
      <w:r w:rsidRPr="00BE02A5">
        <w:rPr>
          <w:lang w:val="en-US"/>
        </w:rPr>
        <w:tab/>
      </w:r>
      <w:r w:rsidRPr="00BE02A5">
        <w:rPr>
          <w:rFonts w:ascii="Times New Roman" w:eastAsia="Times New Roman" w:hAnsi="Times New Roman" w:cs="Times New Roman"/>
          <w:sz w:val="28"/>
          <w:szCs w:val="28"/>
          <w:lang w:val="en-US" w:eastAsia="ru-RU"/>
        </w:rPr>
        <w:t xml:space="preserve">      </w:t>
      </w:r>
      <w:r w:rsidRPr="00BE02A5">
        <w:rPr>
          <w:lang w:val="en-US"/>
        </w:rPr>
        <w:tab/>
      </w:r>
      <w:r w:rsidRPr="00BE02A5">
        <w:rPr>
          <w:rFonts w:ascii="Times New Roman" w:eastAsia="Times New Roman" w:hAnsi="Times New Roman" w:cs="Times New Roman"/>
          <w:sz w:val="28"/>
          <w:szCs w:val="28"/>
          <w:lang w:val="en-US" w:eastAsia="ru-RU"/>
        </w:rPr>
        <w:t xml:space="preserve"> Central Asian Economic Community</w:t>
      </w:r>
    </w:p>
    <w:p w14:paraId="71D654D4" w14:textId="77777777" w:rsidR="00DD07CF" w:rsidRPr="00BE02A5" w:rsidRDefault="0BE2D7A4" w:rsidP="00BE02A5">
      <w:pPr>
        <w:pStyle w:val="af"/>
        <w:shd w:val="clear" w:color="auto" w:fill="FFFFFF" w:themeFill="background1"/>
        <w:spacing w:after="0" w:line="240" w:lineRule="auto"/>
        <w:jc w:val="both"/>
        <w:rPr>
          <w:rFonts w:eastAsia="Times New Roman"/>
          <w:sz w:val="28"/>
          <w:szCs w:val="28"/>
          <w:lang w:val="en-US" w:eastAsia="ru-RU"/>
        </w:rPr>
      </w:pPr>
      <w:r w:rsidRPr="00BE02A5">
        <w:rPr>
          <w:rFonts w:eastAsia="Times New Roman"/>
          <w:sz w:val="28"/>
          <w:szCs w:val="28"/>
          <w:lang w:val="en-US" w:eastAsia="ru-RU"/>
        </w:rPr>
        <w:t xml:space="preserve">CAREN </w:t>
      </w:r>
      <w:r w:rsidRPr="00BE02A5">
        <w:rPr>
          <w:lang w:val="en-US"/>
        </w:rPr>
        <w:tab/>
      </w:r>
      <w:r w:rsidRPr="00BE02A5">
        <w:rPr>
          <w:rFonts w:eastAsia="Times New Roman"/>
          <w:sz w:val="28"/>
          <w:szCs w:val="28"/>
          <w:lang w:val="en-US" w:eastAsia="ru-RU"/>
        </w:rPr>
        <w:t xml:space="preserve">      </w:t>
      </w:r>
      <w:r w:rsidRPr="00BE02A5">
        <w:rPr>
          <w:lang w:val="en-US"/>
        </w:rPr>
        <w:tab/>
      </w:r>
      <w:r w:rsidRPr="00BE02A5">
        <w:rPr>
          <w:rFonts w:eastAsia="Times New Roman"/>
          <w:sz w:val="28"/>
          <w:szCs w:val="28"/>
          <w:lang w:val="en-US" w:eastAsia="ru-RU"/>
        </w:rPr>
        <w:t xml:space="preserve"> Central Asian Regional Education Network </w:t>
      </w:r>
    </w:p>
    <w:p w14:paraId="1C9270D5" w14:textId="77777777" w:rsidR="00DD07CF" w:rsidRPr="00BE02A5" w:rsidRDefault="0BE2D7A4">
      <w:pPr>
        <w:pStyle w:val="af"/>
        <w:shd w:val="clear" w:color="auto" w:fill="FFFFFF" w:themeFill="background1"/>
        <w:spacing w:after="0" w:line="240" w:lineRule="auto"/>
        <w:jc w:val="both"/>
        <w:rPr>
          <w:rFonts w:eastAsia="Times New Roman"/>
          <w:sz w:val="28"/>
          <w:szCs w:val="28"/>
          <w:lang w:val="en-US" w:eastAsia="ru-RU"/>
        </w:rPr>
      </w:pPr>
      <w:r w:rsidRPr="00BE02A5">
        <w:rPr>
          <w:rFonts w:eastAsia="Times New Roman"/>
          <w:sz w:val="28"/>
          <w:szCs w:val="28"/>
          <w:lang w:val="en-US" w:eastAsia="ru-RU"/>
        </w:rPr>
        <w:t xml:space="preserve">CAREC </w:t>
      </w:r>
      <w:r w:rsidRPr="00BE02A5">
        <w:rPr>
          <w:lang w:val="en-US"/>
        </w:rPr>
        <w:tab/>
      </w:r>
      <w:r w:rsidRPr="00BE02A5">
        <w:rPr>
          <w:rFonts w:eastAsia="Times New Roman"/>
          <w:sz w:val="28"/>
          <w:szCs w:val="28"/>
          <w:lang w:val="en-US" w:eastAsia="ru-RU"/>
        </w:rPr>
        <w:t xml:space="preserve">      </w:t>
      </w:r>
      <w:r w:rsidRPr="00BE02A5">
        <w:rPr>
          <w:lang w:val="en-US"/>
        </w:rPr>
        <w:tab/>
      </w:r>
      <w:r w:rsidRPr="00BE02A5">
        <w:rPr>
          <w:rFonts w:eastAsia="Times New Roman"/>
          <w:sz w:val="28"/>
          <w:szCs w:val="28"/>
          <w:lang w:val="en-US" w:eastAsia="ru-RU"/>
        </w:rPr>
        <w:t xml:space="preserve"> Central Asian Regional Environmental Center</w:t>
      </w:r>
    </w:p>
    <w:p w14:paraId="5BB6665C" w14:textId="77777777" w:rsidR="00DD07CF" w:rsidRPr="00BE02A5" w:rsidRDefault="0BE2D7A4">
      <w:pPr>
        <w:pStyle w:val="af"/>
        <w:shd w:val="clear" w:color="auto" w:fill="FFFFFF" w:themeFill="background1"/>
        <w:spacing w:after="0" w:line="240" w:lineRule="auto"/>
        <w:jc w:val="both"/>
        <w:rPr>
          <w:rFonts w:eastAsia="Times New Roman"/>
          <w:sz w:val="28"/>
          <w:szCs w:val="28"/>
          <w:lang w:val="en-US"/>
        </w:rPr>
      </w:pPr>
      <w:r w:rsidRPr="00BE02A5">
        <w:rPr>
          <w:rFonts w:eastAsia="Times New Roman"/>
          <w:sz w:val="28"/>
          <w:szCs w:val="28"/>
          <w:lang w:val="en-US"/>
        </w:rPr>
        <w:t>CARICC</w:t>
      </w:r>
      <w:r w:rsidRPr="00BE02A5">
        <w:rPr>
          <w:lang w:val="en-US"/>
        </w:rPr>
        <w:tab/>
      </w:r>
      <w:r w:rsidRPr="00BE02A5">
        <w:rPr>
          <w:rFonts w:eastAsia="Times New Roman"/>
          <w:sz w:val="28"/>
          <w:szCs w:val="28"/>
          <w:lang w:val="en-US"/>
        </w:rPr>
        <w:t xml:space="preserve">      </w:t>
      </w:r>
      <w:r w:rsidRPr="00BE02A5">
        <w:rPr>
          <w:lang w:val="en-US"/>
        </w:rPr>
        <w:tab/>
      </w:r>
      <w:r w:rsidRPr="00BE02A5">
        <w:rPr>
          <w:rFonts w:eastAsia="Times New Roman"/>
          <w:sz w:val="28"/>
          <w:szCs w:val="28"/>
          <w:lang w:val="en-US"/>
        </w:rPr>
        <w:t xml:space="preserve"> Central Asian Regional Information Coordination Center</w:t>
      </w:r>
    </w:p>
    <w:p w14:paraId="07412E4B" w14:textId="77777777" w:rsidR="00DD07CF" w:rsidRPr="00BE02A5" w:rsidRDefault="0BE2D7A4">
      <w:pPr>
        <w:pStyle w:val="af"/>
        <w:shd w:val="clear" w:color="auto" w:fill="FFFFFF" w:themeFill="background1"/>
        <w:spacing w:after="0" w:line="240" w:lineRule="auto"/>
        <w:jc w:val="both"/>
        <w:rPr>
          <w:rFonts w:eastAsia="Times New Roman"/>
          <w:sz w:val="28"/>
          <w:szCs w:val="28"/>
          <w:lang w:val="en-US" w:eastAsia="ru-RU"/>
        </w:rPr>
      </w:pPr>
      <w:r w:rsidRPr="00BE02A5">
        <w:rPr>
          <w:rFonts w:eastAsia="Times New Roman"/>
          <w:sz w:val="28"/>
          <w:szCs w:val="28"/>
          <w:lang w:val="en-US" w:eastAsia="ru-RU"/>
        </w:rPr>
        <w:t>CAWEP</w:t>
      </w:r>
      <w:r w:rsidRPr="00BE02A5">
        <w:rPr>
          <w:lang w:val="en-US"/>
        </w:rPr>
        <w:tab/>
      </w:r>
      <w:r w:rsidRPr="00BE02A5">
        <w:rPr>
          <w:rFonts w:eastAsia="Times New Roman"/>
          <w:sz w:val="28"/>
          <w:szCs w:val="28"/>
          <w:lang w:val="en-US" w:eastAsia="ru-RU"/>
        </w:rPr>
        <w:t xml:space="preserve">      </w:t>
      </w:r>
      <w:r w:rsidRPr="00BE02A5">
        <w:rPr>
          <w:lang w:val="en-US"/>
        </w:rPr>
        <w:tab/>
      </w:r>
      <w:r w:rsidRPr="00BE02A5">
        <w:rPr>
          <w:rFonts w:eastAsia="Times New Roman"/>
          <w:sz w:val="28"/>
          <w:szCs w:val="28"/>
          <w:lang w:val="en-US" w:eastAsia="ru-RU"/>
        </w:rPr>
        <w:t xml:space="preserve"> Central Asia Water and Energy Program</w:t>
      </w:r>
    </w:p>
    <w:p w14:paraId="7953421B" w14:textId="77777777" w:rsidR="00DD07CF" w:rsidRPr="00BE02A5" w:rsidRDefault="0BE2D7A4" w:rsidP="0BE2D7A4">
      <w:pPr>
        <w:tabs>
          <w:tab w:val="left" w:pos="1134"/>
          <w:tab w:val="left" w:pos="2127"/>
        </w:tabs>
        <w:spacing w:after="0" w:line="240" w:lineRule="auto"/>
        <w:rPr>
          <w:rFonts w:ascii="Times New Roman" w:eastAsia="Times New Roman" w:hAnsi="Times New Roman" w:cs="Times New Roman"/>
          <w:sz w:val="28"/>
          <w:szCs w:val="28"/>
          <w:lang w:val="en-US" w:eastAsia="ru-RU"/>
        </w:rPr>
      </w:pPr>
      <w:r w:rsidRPr="00BE02A5">
        <w:rPr>
          <w:rFonts w:ascii="Times New Roman" w:eastAsia="Times New Roman" w:hAnsi="Times New Roman" w:cs="Times New Roman"/>
          <w:sz w:val="28"/>
          <w:szCs w:val="28"/>
          <w:lang w:val="en-US" w:eastAsia="ru-RU"/>
        </w:rPr>
        <w:t>CICA</w:t>
      </w:r>
      <w:r w:rsidRPr="00BE02A5">
        <w:rPr>
          <w:lang w:val="en-US"/>
        </w:rPr>
        <w:tab/>
      </w:r>
      <w:r w:rsidRPr="00BE02A5">
        <w:rPr>
          <w:rFonts w:ascii="Times New Roman" w:eastAsia="Times New Roman" w:hAnsi="Times New Roman" w:cs="Times New Roman"/>
          <w:sz w:val="28"/>
          <w:szCs w:val="28"/>
          <w:lang w:val="en-US" w:eastAsia="ru-RU"/>
        </w:rPr>
        <w:t xml:space="preserve">         </w:t>
      </w:r>
      <w:r w:rsidRPr="00BE02A5">
        <w:rPr>
          <w:lang w:val="en-US"/>
        </w:rPr>
        <w:tab/>
      </w:r>
      <w:r w:rsidRPr="00BE02A5">
        <w:rPr>
          <w:rFonts w:ascii="Times New Roman" w:eastAsia="Times New Roman" w:hAnsi="Times New Roman" w:cs="Times New Roman"/>
          <w:sz w:val="28"/>
          <w:szCs w:val="28"/>
          <w:lang w:val="en-US" w:eastAsia="ru-RU"/>
        </w:rPr>
        <w:t xml:space="preserve"> Conference on Interaction and Confidence-Building     </w:t>
      </w:r>
    </w:p>
    <w:p w14:paraId="6A91D5F0" w14:textId="77777777" w:rsidR="00DD07CF" w:rsidRDefault="0BE2D7A4" w:rsidP="0BE2D7A4">
      <w:pPr>
        <w:tabs>
          <w:tab w:val="left" w:pos="1134"/>
          <w:tab w:val="left" w:pos="2127"/>
        </w:tabs>
        <w:spacing w:after="0" w:line="240" w:lineRule="auto"/>
        <w:ind w:left="2127" w:hanging="1983"/>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 xml:space="preserve">                             Measures in Asia</w:t>
      </w:r>
    </w:p>
    <w:p w14:paraId="1D8DBA16" w14:textId="77777777" w:rsidR="00DD07CF" w:rsidRDefault="155010CB" w:rsidP="0BE2D7A4">
      <w:pPr>
        <w:tabs>
          <w:tab w:val="left" w:pos="1134"/>
        </w:tabs>
        <w:spacing w:after="0" w:line="240" w:lineRule="auto"/>
        <w:rPr>
          <w:rFonts w:ascii="Times New Roman" w:hAnsi="Times New Roman" w:cs="Times New Roman"/>
          <w:sz w:val="28"/>
          <w:szCs w:val="28"/>
          <w:lang w:val="en-US"/>
        </w:rPr>
      </w:pPr>
      <w:r w:rsidRPr="0BE2D7A4">
        <w:rPr>
          <w:rFonts w:ascii="Times New Roman" w:hAnsi="Times New Roman" w:cs="Times New Roman"/>
          <w:sz w:val="28"/>
          <w:szCs w:val="28"/>
          <w:lang w:val="en-US"/>
        </w:rPr>
        <w:t>CIS</w:t>
      </w:r>
      <w:r w:rsidRPr="00BE02A5">
        <w:rPr>
          <w:lang w:val="en-US"/>
        </w:rPr>
        <w:tab/>
      </w:r>
      <w:r w:rsidRPr="00BE02A5">
        <w:rPr>
          <w:lang w:val="en-US"/>
        </w:rPr>
        <w:tab/>
      </w:r>
      <w:r w:rsidRPr="0BE2D7A4">
        <w:rPr>
          <w:rFonts w:ascii="Times New Roman" w:hAnsi="Times New Roman" w:cs="Times New Roman"/>
          <w:sz w:val="28"/>
          <w:szCs w:val="28"/>
          <w:lang w:val="en-US"/>
        </w:rPr>
        <w:t xml:space="preserve">       </w:t>
      </w:r>
      <w:r w:rsidRPr="00BE02A5">
        <w:rPr>
          <w:lang w:val="en-US"/>
        </w:rPr>
        <w:tab/>
      </w:r>
      <w:r w:rsidRPr="0BE2D7A4">
        <w:rPr>
          <w:rFonts w:ascii="Times New Roman" w:hAnsi="Times New Roman" w:cs="Times New Roman"/>
          <w:sz w:val="28"/>
          <w:szCs w:val="28"/>
          <w:lang w:val="en-US"/>
        </w:rPr>
        <w:t xml:space="preserve"> Commonwealth of Independent States</w:t>
      </w:r>
    </w:p>
    <w:p w14:paraId="4885ECC8" w14:textId="77777777" w:rsidR="00DD07CF" w:rsidRDefault="0BE2D7A4" w:rsidP="0BE2D7A4">
      <w:pPr>
        <w:spacing w:after="0" w:line="240" w:lineRule="auto"/>
        <w:rPr>
          <w:rFonts w:ascii="Times New Roman" w:hAnsi="Times New Roman" w:cs="Times New Roman"/>
          <w:sz w:val="28"/>
          <w:szCs w:val="28"/>
          <w:lang w:val="en-US"/>
        </w:rPr>
      </w:pPr>
      <w:r w:rsidRPr="0BE2D7A4">
        <w:rPr>
          <w:rFonts w:ascii="Times New Roman" w:hAnsi="Times New Roman" w:cs="Times New Roman"/>
          <w:sz w:val="28"/>
          <w:szCs w:val="28"/>
          <w:lang w:val="en-US"/>
        </w:rPr>
        <w:t>COVID</w:t>
      </w:r>
      <w:r w:rsidRPr="00BE02A5">
        <w:rPr>
          <w:lang w:val="en-US"/>
        </w:rPr>
        <w:tab/>
      </w:r>
      <w:r w:rsidRPr="0BE2D7A4">
        <w:rPr>
          <w:rFonts w:ascii="Times New Roman" w:hAnsi="Times New Roman" w:cs="Times New Roman"/>
          <w:sz w:val="28"/>
          <w:szCs w:val="28"/>
          <w:lang w:val="en-US"/>
        </w:rPr>
        <w:t xml:space="preserve">      </w:t>
      </w:r>
      <w:r w:rsidRPr="00BE02A5">
        <w:rPr>
          <w:lang w:val="en-US"/>
        </w:rPr>
        <w:tab/>
      </w:r>
      <w:r w:rsidRPr="0BE2D7A4">
        <w:rPr>
          <w:rFonts w:ascii="Times New Roman" w:hAnsi="Times New Roman" w:cs="Times New Roman"/>
          <w:sz w:val="28"/>
          <w:szCs w:val="28"/>
          <w:lang w:val="en-US"/>
        </w:rPr>
        <w:t xml:space="preserve"> Coronavirus disease</w:t>
      </w:r>
    </w:p>
    <w:p w14:paraId="48CA82E7" w14:textId="77777777" w:rsidR="00DD07CF" w:rsidRDefault="0BE2D7A4" w:rsidP="0BE2D7A4">
      <w:pPr>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CSTO</w:t>
      </w:r>
      <w:r w:rsidRPr="00BE02A5">
        <w:rPr>
          <w:lang w:val="en-US"/>
        </w:rPr>
        <w:tab/>
      </w:r>
      <w:r w:rsidRPr="0BE2D7A4">
        <w:rPr>
          <w:rFonts w:ascii="Times New Roman" w:eastAsia="Times New Roman" w:hAnsi="Times New Roman" w:cs="Times New Roman"/>
          <w:sz w:val="28"/>
          <w:szCs w:val="28"/>
          <w:lang w:val="en-US" w:eastAsia="ru-RU"/>
        </w:rPr>
        <w:t xml:space="preserve">       </w:t>
      </w:r>
      <w:r w:rsidRPr="00BE02A5">
        <w:rPr>
          <w:lang w:val="en-US"/>
        </w:rPr>
        <w:tab/>
      </w:r>
      <w:r w:rsidRPr="0BE2D7A4">
        <w:rPr>
          <w:rFonts w:ascii="Times New Roman" w:eastAsia="Times New Roman" w:hAnsi="Times New Roman" w:cs="Times New Roman"/>
          <w:sz w:val="28"/>
          <w:szCs w:val="28"/>
          <w:lang w:val="en-US" w:eastAsia="ru-RU"/>
        </w:rPr>
        <w:t xml:space="preserve"> Collective Security Treaty Organization</w:t>
      </w:r>
    </w:p>
    <w:p w14:paraId="452AC075" w14:textId="77777777" w:rsidR="00DD07CF" w:rsidRDefault="0BE2D7A4" w:rsidP="0BE2D7A4">
      <w:pPr>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 xml:space="preserve">DCI </w:t>
      </w:r>
      <w:r w:rsidRPr="00BE02A5">
        <w:rPr>
          <w:lang w:val="en-US"/>
        </w:rPr>
        <w:tab/>
      </w:r>
      <w:r w:rsidRPr="00BE02A5">
        <w:rPr>
          <w:lang w:val="en-US"/>
        </w:rPr>
        <w:tab/>
      </w:r>
      <w:r w:rsidRPr="0BE2D7A4">
        <w:rPr>
          <w:rFonts w:ascii="Times New Roman" w:eastAsia="Times New Roman" w:hAnsi="Times New Roman" w:cs="Times New Roman"/>
          <w:sz w:val="28"/>
          <w:szCs w:val="28"/>
          <w:lang w:val="en-US" w:eastAsia="ru-RU"/>
        </w:rPr>
        <w:t xml:space="preserve">        </w:t>
      </w:r>
      <w:r w:rsidRPr="00BE02A5">
        <w:rPr>
          <w:lang w:val="en-US"/>
        </w:rPr>
        <w:tab/>
      </w:r>
      <w:r w:rsidRPr="0BE2D7A4">
        <w:rPr>
          <w:rFonts w:ascii="Times New Roman" w:eastAsia="Times New Roman" w:hAnsi="Times New Roman" w:cs="Times New Roman"/>
          <w:sz w:val="28"/>
          <w:szCs w:val="28"/>
          <w:lang w:val="en-US" w:eastAsia="ru-RU"/>
        </w:rPr>
        <w:t xml:space="preserve"> Development Cooperation Instrument</w:t>
      </w:r>
    </w:p>
    <w:p w14:paraId="2C21EA97" w14:textId="77777777" w:rsidR="00DD07CF" w:rsidRDefault="0BE2D7A4" w:rsidP="0BE2D7A4">
      <w:pPr>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 xml:space="preserve">EAEU </w:t>
      </w:r>
      <w:r w:rsidRPr="00BE02A5">
        <w:rPr>
          <w:lang w:val="en-US"/>
        </w:rPr>
        <w:tab/>
      </w:r>
      <w:r w:rsidRPr="0BE2D7A4">
        <w:rPr>
          <w:rFonts w:ascii="Times New Roman" w:eastAsia="Times New Roman" w:hAnsi="Times New Roman" w:cs="Times New Roman"/>
          <w:sz w:val="28"/>
          <w:szCs w:val="28"/>
          <w:lang w:val="en-US" w:eastAsia="ru-RU"/>
        </w:rPr>
        <w:t xml:space="preserve">      </w:t>
      </w:r>
      <w:r w:rsidRPr="00BE02A5">
        <w:rPr>
          <w:lang w:val="en-US"/>
        </w:rPr>
        <w:tab/>
      </w:r>
      <w:r w:rsidRPr="0BE2D7A4">
        <w:rPr>
          <w:rFonts w:ascii="Times New Roman" w:eastAsia="Times New Roman" w:hAnsi="Times New Roman" w:cs="Times New Roman"/>
          <w:sz w:val="28"/>
          <w:szCs w:val="28"/>
          <w:lang w:val="en-US" w:eastAsia="ru-RU"/>
        </w:rPr>
        <w:t xml:space="preserve"> Eurasian Economic Union </w:t>
      </w:r>
    </w:p>
    <w:p w14:paraId="763C713A" w14:textId="77777777" w:rsidR="00DD07CF" w:rsidRDefault="0BE2D7A4" w:rsidP="0BE2D7A4">
      <w:pPr>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EEAS</w:t>
      </w:r>
      <w:r w:rsidRPr="00BE02A5">
        <w:rPr>
          <w:lang w:val="en-US"/>
        </w:rPr>
        <w:tab/>
      </w:r>
      <w:r w:rsidRPr="00BE02A5">
        <w:rPr>
          <w:lang w:val="en-US"/>
        </w:rPr>
        <w:tab/>
      </w:r>
      <w:r w:rsidRPr="0BE2D7A4">
        <w:rPr>
          <w:rFonts w:ascii="Times New Roman" w:eastAsia="Times New Roman" w:hAnsi="Times New Roman" w:cs="Times New Roman"/>
          <w:sz w:val="28"/>
          <w:szCs w:val="28"/>
          <w:lang w:val="en-US" w:eastAsia="ru-RU"/>
        </w:rPr>
        <w:t xml:space="preserve">       </w:t>
      </w:r>
      <w:r w:rsidRPr="00BE02A5">
        <w:rPr>
          <w:lang w:val="en-US"/>
        </w:rPr>
        <w:tab/>
      </w:r>
      <w:r w:rsidRPr="0BE2D7A4">
        <w:rPr>
          <w:rFonts w:ascii="Times New Roman" w:eastAsia="Times New Roman" w:hAnsi="Times New Roman" w:cs="Times New Roman"/>
          <w:sz w:val="28"/>
          <w:szCs w:val="28"/>
          <w:lang w:val="en-US" w:eastAsia="ru-RU"/>
        </w:rPr>
        <w:t xml:space="preserve"> European External Action Service </w:t>
      </w:r>
    </w:p>
    <w:p w14:paraId="13614944" w14:textId="77777777" w:rsidR="00DD07CF" w:rsidRDefault="0BE2D7A4">
      <w:pPr>
        <w:pStyle w:val="af"/>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 xml:space="preserve">EIDHR </w:t>
      </w:r>
      <w:r w:rsidRPr="00BE02A5">
        <w:rPr>
          <w:lang w:val="en-US"/>
        </w:rPr>
        <w:tab/>
      </w:r>
      <w:r w:rsidRPr="0BE2D7A4">
        <w:rPr>
          <w:rFonts w:eastAsia="Times New Roman"/>
          <w:sz w:val="28"/>
          <w:szCs w:val="28"/>
          <w:lang w:val="en-US" w:eastAsia="ru-RU"/>
        </w:rPr>
        <w:t xml:space="preserve">      </w:t>
      </w:r>
      <w:r w:rsidRPr="00BE02A5">
        <w:rPr>
          <w:lang w:val="en-US"/>
        </w:rPr>
        <w:tab/>
      </w:r>
      <w:r w:rsidRPr="0BE2D7A4">
        <w:rPr>
          <w:rFonts w:eastAsia="Times New Roman"/>
          <w:sz w:val="28"/>
          <w:szCs w:val="28"/>
          <w:lang w:val="en-US" w:eastAsia="ru-RU"/>
        </w:rPr>
        <w:t xml:space="preserve"> European Instrument for Democracy and Human Rights </w:t>
      </w:r>
    </w:p>
    <w:p w14:paraId="3BA7BCBF" w14:textId="77777777" w:rsidR="00DD07CF" w:rsidRDefault="0BE2D7A4">
      <w:pPr>
        <w:pStyle w:val="af"/>
        <w:shd w:val="clear" w:color="auto" w:fill="FFFFFF" w:themeFill="background1"/>
        <w:spacing w:after="0" w:line="240" w:lineRule="auto"/>
        <w:jc w:val="both"/>
        <w:rPr>
          <w:rFonts w:eastAsia="Times New Roman"/>
          <w:sz w:val="28"/>
          <w:szCs w:val="28"/>
          <w:lang w:val="en-US"/>
        </w:rPr>
      </w:pPr>
      <w:r w:rsidRPr="0BE2D7A4">
        <w:rPr>
          <w:rFonts w:eastAsia="Times New Roman"/>
          <w:sz w:val="28"/>
          <w:szCs w:val="28"/>
          <w:lang w:val="en-US"/>
        </w:rPr>
        <w:t xml:space="preserve">EMU </w:t>
      </w:r>
      <w:r w:rsidRPr="00BE02A5">
        <w:rPr>
          <w:lang w:val="en-US"/>
        </w:rPr>
        <w:tab/>
      </w:r>
      <w:r w:rsidRPr="00BE02A5">
        <w:rPr>
          <w:lang w:val="en-US"/>
        </w:rPr>
        <w:tab/>
      </w:r>
      <w:r w:rsidRPr="0BE2D7A4">
        <w:rPr>
          <w:rFonts w:eastAsia="Times New Roman"/>
          <w:sz w:val="28"/>
          <w:szCs w:val="28"/>
          <w:lang w:val="en-US"/>
        </w:rPr>
        <w:t xml:space="preserve">     </w:t>
      </w:r>
      <w:r w:rsidRPr="00BE02A5">
        <w:rPr>
          <w:lang w:val="en-US"/>
        </w:rPr>
        <w:tab/>
      </w:r>
      <w:r w:rsidRPr="0BE2D7A4">
        <w:rPr>
          <w:rFonts w:eastAsia="Times New Roman"/>
          <w:sz w:val="28"/>
          <w:szCs w:val="28"/>
          <w:lang w:val="en-US"/>
        </w:rPr>
        <w:t xml:space="preserve"> Economic and Monetary Union </w:t>
      </w:r>
    </w:p>
    <w:p w14:paraId="38F5CB70" w14:textId="77777777" w:rsidR="00DD07CF" w:rsidRDefault="0BE2D7A4" w:rsidP="0BE2D7A4">
      <w:pPr>
        <w:spacing w:after="0" w:line="240" w:lineRule="auto"/>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ENP </w:t>
      </w:r>
      <w:r w:rsidRPr="00BE02A5">
        <w:rPr>
          <w:lang w:val="en-US"/>
        </w:rPr>
        <w:tab/>
      </w:r>
      <w:r w:rsidRPr="00BE02A5">
        <w:rPr>
          <w:lang w:val="en-US"/>
        </w:rPr>
        <w:tab/>
      </w:r>
      <w:r w:rsidRPr="0BE2D7A4">
        <w:rPr>
          <w:rFonts w:ascii="Times New Roman" w:hAnsi="Times New Roman" w:cs="Times New Roman"/>
          <w:sz w:val="28"/>
          <w:szCs w:val="28"/>
          <w:lang w:val="en-US"/>
        </w:rPr>
        <w:t xml:space="preserve">       </w:t>
      </w:r>
      <w:r w:rsidRPr="00BE02A5">
        <w:rPr>
          <w:lang w:val="en-US"/>
        </w:rPr>
        <w:tab/>
      </w:r>
      <w:r w:rsidRPr="0BE2D7A4">
        <w:rPr>
          <w:rFonts w:ascii="Times New Roman" w:hAnsi="Times New Roman" w:cs="Times New Roman"/>
          <w:sz w:val="28"/>
          <w:szCs w:val="28"/>
          <w:lang w:val="en-US"/>
        </w:rPr>
        <w:t xml:space="preserve"> European Neighborhood Policy </w:t>
      </w:r>
    </w:p>
    <w:p w14:paraId="57DF4057" w14:textId="77777777" w:rsidR="00DD07CF" w:rsidRDefault="0BE2D7A4" w:rsidP="0BE2D7A4">
      <w:pPr>
        <w:spacing w:after="0" w:line="240" w:lineRule="auto"/>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EU </w:t>
      </w:r>
      <w:r w:rsidRPr="00BE02A5">
        <w:rPr>
          <w:lang w:val="en-US"/>
        </w:rPr>
        <w:tab/>
      </w:r>
      <w:r w:rsidRPr="00BE02A5">
        <w:rPr>
          <w:lang w:val="en-US"/>
        </w:rPr>
        <w:tab/>
      </w:r>
      <w:r w:rsidRPr="0BE2D7A4">
        <w:rPr>
          <w:rFonts w:ascii="Times New Roman" w:hAnsi="Times New Roman" w:cs="Times New Roman"/>
          <w:sz w:val="28"/>
          <w:szCs w:val="28"/>
          <w:lang w:val="en-US"/>
        </w:rPr>
        <w:t xml:space="preserve">      </w:t>
      </w:r>
      <w:r w:rsidRPr="00BE02A5">
        <w:rPr>
          <w:lang w:val="en-US"/>
        </w:rPr>
        <w:tab/>
      </w:r>
      <w:r w:rsidRPr="0BE2D7A4">
        <w:rPr>
          <w:rFonts w:ascii="Times New Roman" w:hAnsi="Times New Roman" w:cs="Times New Roman"/>
          <w:sz w:val="28"/>
          <w:szCs w:val="28"/>
          <w:lang w:val="en-US"/>
        </w:rPr>
        <w:t xml:space="preserve"> European Union</w:t>
      </w:r>
    </w:p>
    <w:p w14:paraId="47210C8D" w14:textId="77777777" w:rsidR="00DD07CF" w:rsidRDefault="0BE2D7A4" w:rsidP="0BE2D7A4">
      <w:pPr>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 xml:space="preserve">EU HR </w:t>
      </w:r>
      <w:r w:rsidRPr="00BE02A5">
        <w:rPr>
          <w:lang w:val="en-US"/>
        </w:rPr>
        <w:tab/>
      </w:r>
      <w:r w:rsidRPr="0BE2D7A4">
        <w:rPr>
          <w:rFonts w:ascii="Times New Roman" w:eastAsia="Times New Roman" w:hAnsi="Times New Roman" w:cs="Times New Roman"/>
          <w:sz w:val="28"/>
          <w:szCs w:val="28"/>
          <w:lang w:val="en-US" w:eastAsia="ru-RU"/>
        </w:rPr>
        <w:t xml:space="preserve">      </w:t>
      </w:r>
      <w:r w:rsidRPr="00BE02A5">
        <w:rPr>
          <w:lang w:val="en-US"/>
        </w:rPr>
        <w:tab/>
      </w:r>
      <w:r w:rsidRPr="0BE2D7A4">
        <w:rPr>
          <w:rFonts w:ascii="Times New Roman" w:eastAsia="Times New Roman" w:hAnsi="Times New Roman" w:cs="Times New Roman"/>
          <w:sz w:val="28"/>
          <w:szCs w:val="28"/>
          <w:lang w:val="en-US" w:eastAsia="ru-RU"/>
        </w:rPr>
        <w:t xml:space="preserve"> European Union High Representative</w:t>
      </w:r>
    </w:p>
    <w:p w14:paraId="46D0406D" w14:textId="77777777" w:rsidR="00DD07CF" w:rsidRDefault="0BE2D7A4" w:rsidP="0BE2D7A4">
      <w:pPr>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 xml:space="preserve">EUGS </w:t>
      </w:r>
      <w:r w:rsidRPr="00BE02A5">
        <w:rPr>
          <w:lang w:val="en-US"/>
        </w:rPr>
        <w:tab/>
      </w:r>
      <w:r w:rsidRPr="0BE2D7A4">
        <w:rPr>
          <w:rFonts w:ascii="Times New Roman" w:eastAsia="Times New Roman" w:hAnsi="Times New Roman" w:cs="Times New Roman"/>
          <w:sz w:val="28"/>
          <w:szCs w:val="28"/>
          <w:lang w:val="en-US" w:eastAsia="ru-RU"/>
        </w:rPr>
        <w:t xml:space="preserve">     </w:t>
      </w:r>
      <w:r w:rsidRPr="00BE02A5">
        <w:rPr>
          <w:lang w:val="en-US"/>
        </w:rPr>
        <w:tab/>
      </w:r>
      <w:r w:rsidRPr="0BE2D7A4">
        <w:rPr>
          <w:rFonts w:ascii="Times New Roman" w:eastAsia="Times New Roman" w:hAnsi="Times New Roman" w:cs="Times New Roman"/>
          <w:sz w:val="28"/>
          <w:szCs w:val="28"/>
          <w:lang w:val="en-US" w:eastAsia="ru-RU"/>
        </w:rPr>
        <w:t xml:space="preserve"> EU Global Strategy </w:t>
      </w:r>
    </w:p>
    <w:p w14:paraId="33401133" w14:textId="77777777" w:rsidR="00DD07CF" w:rsidRDefault="0BE2D7A4" w:rsidP="0BE2D7A4">
      <w:pPr>
        <w:tabs>
          <w:tab w:val="left" w:pos="2268"/>
        </w:tabs>
        <w:spacing w:after="0" w:line="240" w:lineRule="auto"/>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EUCAM                 Europe - Central Asia monitoring project </w:t>
      </w:r>
    </w:p>
    <w:p w14:paraId="0C37982F" w14:textId="77777777" w:rsidR="00DD07CF" w:rsidRDefault="0BE2D7A4" w:rsidP="0BE2D7A4">
      <w:pPr>
        <w:spacing w:after="0" w:line="240" w:lineRule="auto"/>
        <w:ind w:left="2265" w:hanging="2265"/>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 xml:space="preserve">GD DEVCO           General Directorate for Development and International  </w:t>
      </w:r>
    </w:p>
    <w:p w14:paraId="17E3C070" w14:textId="77777777" w:rsidR="00DD07CF" w:rsidRDefault="0BE2D7A4" w:rsidP="0BE2D7A4">
      <w:pPr>
        <w:spacing w:after="0" w:line="240" w:lineRule="auto"/>
        <w:ind w:left="2265" w:hanging="141"/>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 xml:space="preserve"> Cooperation</w:t>
      </w:r>
    </w:p>
    <w:p w14:paraId="3BCF0B30" w14:textId="77777777" w:rsidR="00DD07CF" w:rsidRDefault="0BE2D7A4" w:rsidP="0BE2D7A4">
      <w:pPr>
        <w:tabs>
          <w:tab w:val="left" w:pos="2410"/>
        </w:tabs>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 xml:space="preserve">IFCA                      Investment Facility for Central Asia </w:t>
      </w:r>
    </w:p>
    <w:p w14:paraId="0ED84FB9" w14:textId="77777777" w:rsidR="00DD07CF" w:rsidRDefault="0BE2D7A4">
      <w:pPr>
        <w:pStyle w:val="af"/>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 xml:space="preserve">IWRM </w:t>
      </w:r>
      <w:r w:rsidRPr="00BE02A5">
        <w:rPr>
          <w:lang w:val="en-US"/>
        </w:rPr>
        <w:tab/>
      </w:r>
      <w:r w:rsidRPr="00BE02A5">
        <w:rPr>
          <w:lang w:val="en-US"/>
        </w:rPr>
        <w:tab/>
      </w:r>
      <w:r w:rsidRPr="0BE2D7A4">
        <w:rPr>
          <w:rFonts w:eastAsia="Times New Roman"/>
          <w:sz w:val="28"/>
          <w:szCs w:val="28"/>
          <w:lang w:val="en-US" w:eastAsia="ru-RU"/>
        </w:rPr>
        <w:t xml:space="preserve"> Integrated Water Resources Management </w:t>
      </w:r>
    </w:p>
    <w:p w14:paraId="48B7ABEF" w14:textId="77777777" w:rsidR="00DD07CF" w:rsidRDefault="0BE2D7A4" w:rsidP="0BE2D7A4">
      <w:pPr>
        <w:tabs>
          <w:tab w:val="left" w:pos="2279"/>
        </w:tabs>
        <w:spacing w:after="0" w:line="240" w:lineRule="auto"/>
        <w:rPr>
          <w:rFonts w:ascii="Times New Roman" w:hAnsi="Times New Roman" w:cs="Times New Roman"/>
          <w:sz w:val="28"/>
          <w:szCs w:val="28"/>
          <w:lang w:val="en-US"/>
        </w:rPr>
      </w:pPr>
      <w:r w:rsidRPr="0BE2D7A4">
        <w:rPr>
          <w:rFonts w:ascii="Times New Roman" w:hAnsi="Times New Roman" w:cs="Times New Roman"/>
          <w:sz w:val="28"/>
          <w:szCs w:val="28"/>
          <w:lang w:val="en-US"/>
        </w:rPr>
        <w:t>NATO</w:t>
      </w:r>
      <w:r w:rsidR="003C7EEF">
        <w:rPr>
          <w:lang w:val="en-US"/>
        </w:rPr>
        <w:t xml:space="preserve">                            </w:t>
      </w:r>
      <w:r w:rsidRPr="0BE2D7A4">
        <w:rPr>
          <w:rFonts w:ascii="Times New Roman" w:hAnsi="Times New Roman" w:cs="Times New Roman"/>
          <w:sz w:val="28"/>
          <w:szCs w:val="28"/>
          <w:lang w:val="en-US"/>
        </w:rPr>
        <w:t>North Atlantic Treaty Organization</w:t>
      </w:r>
    </w:p>
    <w:p w14:paraId="69C03B2B" w14:textId="77777777" w:rsidR="00DD07CF" w:rsidRDefault="0BE2D7A4" w:rsidP="0BE2D7A4">
      <w:pPr>
        <w:tabs>
          <w:tab w:val="left" w:pos="2279"/>
        </w:tabs>
        <w:spacing w:after="0" w:line="240" w:lineRule="auto"/>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OSCE </w:t>
      </w:r>
      <w:r w:rsidR="003C7EEF">
        <w:rPr>
          <w:lang w:val="en-US"/>
        </w:rPr>
        <w:t xml:space="preserve">                            </w:t>
      </w:r>
      <w:r w:rsidRPr="0BE2D7A4">
        <w:rPr>
          <w:rFonts w:ascii="Times New Roman" w:hAnsi="Times New Roman" w:cs="Times New Roman"/>
          <w:sz w:val="28"/>
          <w:szCs w:val="28"/>
          <w:lang w:val="en-US"/>
        </w:rPr>
        <w:t>Organization for Security and Co-operation in Europe</w:t>
      </w:r>
    </w:p>
    <w:p w14:paraId="50EF8ACF" w14:textId="77777777" w:rsidR="00DD07CF" w:rsidRDefault="0BE2D7A4">
      <w:pPr>
        <w:pStyle w:val="af"/>
        <w:shd w:val="clear" w:color="auto" w:fill="FFFFFF" w:themeFill="background1"/>
        <w:tabs>
          <w:tab w:val="left" w:pos="2279"/>
        </w:tabs>
        <w:spacing w:after="0" w:line="240" w:lineRule="auto"/>
        <w:jc w:val="both"/>
        <w:rPr>
          <w:rFonts w:eastAsia="Times New Roman"/>
          <w:sz w:val="28"/>
          <w:szCs w:val="28"/>
          <w:lang w:val="en-US"/>
        </w:rPr>
      </w:pPr>
      <w:r w:rsidRPr="0BE2D7A4">
        <w:rPr>
          <w:rFonts w:eastAsia="Times New Roman"/>
          <w:sz w:val="28"/>
          <w:szCs w:val="28"/>
          <w:lang w:val="en-US"/>
        </w:rPr>
        <w:t>OPEC</w:t>
      </w:r>
      <w:r w:rsidR="003C7EEF">
        <w:rPr>
          <w:lang w:val="en-US"/>
        </w:rPr>
        <w:t xml:space="preserve">                        </w:t>
      </w:r>
      <w:r w:rsidRPr="0BE2D7A4">
        <w:rPr>
          <w:rFonts w:eastAsia="Times New Roman"/>
          <w:sz w:val="28"/>
          <w:szCs w:val="28"/>
          <w:lang w:val="en-US"/>
        </w:rPr>
        <w:t>Organization of the Petroleum Exporting Countries</w:t>
      </w:r>
    </w:p>
    <w:p w14:paraId="1F6030B1" w14:textId="77777777" w:rsidR="00DD07CF" w:rsidRDefault="0BE2D7A4" w:rsidP="0BE2D7A4">
      <w:pPr>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PCA</w:t>
      </w:r>
      <w:r w:rsidRPr="00BE02A5">
        <w:rPr>
          <w:lang w:val="en-US"/>
        </w:rPr>
        <w:tab/>
      </w:r>
      <w:r w:rsidRPr="00BE02A5">
        <w:rPr>
          <w:lang w:val="en-US"/>
        </w:rPr>
        <w:tab/>
      </w:r>
      <w:r w:rsidRPr="00BE02A5">
        <w:rPr>
          <w:lang w:val="en-US"/>
        </w:rPr>
        <w:tab/>
      </w:r>
      <w:r w:rsidRPr="0BE2D7A4">
        <w:rPr>
          <w:rFonts w:ascii="Times New Roman" w:eastAsia="Times New Roman" w:hAnsi="Times New Roman" w:cs="Times New Roman"/>
          <w:sz w:val="28"/>
          <w:szCs w:val="28"/>
          <w:lang w:val="en-US" w:eastAsia="ru-RU"/>
        </w:rPr>
        <w:t xml:space="preserve"> Partnership and Cooperation Agreement </w:t>
      </w:r>
    </w:p>
    <w:p w14:paraId="6BA54321" w14:textId="77777777" w:rsidR="00DD07CF" w:rsidRDefault="0BE2D7A4" w:rsidP="0BE2D7A4">
      <w:pPr>
        <w:spacing w:after="0" w:line="240" w:lineRule="auto"/>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 PfP </w:t>
      </w:r>
      <w:r w:rsidRPr="00BE02A5">
        <w:rPr>
          <w:lang w:val="en-US"/>
        </w:rPr>
        <w:tab/>
      </w:r>
      <w:r w:rsidRPr="00BE02A5">
        <w:rPr>
          <w:lang w:val="en-US"/>
        </w:rPr>
        <w:tab/>
      </w:r>
      <w:r w:rsidRPr="00BE02A5">
        <w:rPr>
          <w:lang w:val="en-US"/>
        </w:rPr>
        <w:tab/>
      </w:r>
      <w:r w:rsidRPr="0BE2D7A4">
        <w:rPr>
          <w:rFonts w:ascii="Times New Roman" w:hAnsi="Times New Roman" w:cs="Times New Roman"/>
          <w:sz w:val="28"/>
          <w:szCs w:val="28"/>
          <w:lang w:val="en-US"/>
        </w:rPr>
        <w:t xml:space="preserve"> Partnership for Peace</w:t>
      </w:r>
    </w:p>
    <w:p w14:paraId="081E698C" w14:textId="77777777" w:rsidR="00DD07CF" w:rsidRDefault="0BE2D7A4">
      <w:pPr>
        <w:pStyle w:val="af"/>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RLI</w:t>
      </w:r>
      <w:r w:rsidRPr="0BE2D7A4">
        <w:rPr>
          <w:sz w:val="28"/>
          <w:szCs w:val="28"/>
          <w:lang w:val="en-US"/>
        </w:rPr>
        <w:t xml:space="preserve"> </w:t>
      </w:r>
      <w:r w:rsidRPr="00BE02A5">
        <w:rPr>
          <w:lang w:val="en-US"/>
        </w:rPr>
        <w:tab/>
      </w:r>
      <w:r w:rsidRPr="00BE02A5">
        <w:rPr>
          <w:lang w:val="en-US"/>
        </w:rPr>
        <w:tab/>
      </w:r>
      <w:r w:rsidRPr="00BE02A5">
        <w:rPr>
          <w:lang w:val="en-US"/>
        </w:rPr>
        <w:tab/>
      </w:r>
      <w:r w:rsidRPr="0BE2D7A4">
        <w:rPr>
          <w:sz w:val="28"/>
          <w:szCs w:val="28"/>
          <w:lang w:val="en-US"/>
        </w:rPr>
        <w:t xml:space="preserve"> </w:t>
      </w:r>
      <w:r w:rsidRPr="0BE2D7A4">
        <w:rPr>
          <w:rFonts w:eastAsia="Times New Roman"/>
          <w:sz w:val="28"/>
          <w:szCs w:val="28"/>
          <w:lang w:val="en-US" w:eastAsia="ru-RU"/>
        </w:rPr>
        <w:t xml:space="preserve">Rule of Law Initiative </w:t>
      </w:r>
    </w:p>
    <w:p w14:paraId="5C7FED12" w14:textId="77777777" w:rsidR="00DD07CF" w:rsidRDefault="0BE2D7A4" w:rsidP="0BE2D7A4">
      <w:pPr>
        <w:spacing w:after="0" w:line="240" w:lineRule="auto"/>
        <w:rPr>
          <w:rFonts w:ascii="Times New Roman" w:hAnsi="Times New Roman" w:cs="Times New Roman"/>
          <w:sz w:val="28"/>
          <w:szCs w:val="28"/>
          <w:lang w:val="en-US"/>
        </w:rPr>
      </w:pPr>
      <w:r w:rsidRPr="0BE2D7A4">
        <w:rPr>
          <w:rFonts w:ascii="Times New Roman" w:hAnsi="Times New Roman" w:cs="Times New Roman"/>
          <w:sz w:val="28"/>
          <w:szCs w:val="28"/>
          <w:lang w:val="en-US"/>
        </w:rPr>
        <w:t>SCO</w:t>
      </w:r>
      <w:r w:rsidRPr="00BE02A5">
        <w:rPr>
          <w:lang w:val="en-US"/>
        </w:rPr>
        <w:tab/>
      </w:r>
      <w:r w:rsidRPr="00BE02A5">
        <w:rPr>
          <w:lang w:val="en-US"/>
        </w:rPr>
        <w:tab/>
      </w:r>
      <w:r w:rsidRPr="00BE02A5">
        <w:rPr>
          <w:lang w:val="en-US"/>
        </w:rPr>
        <w:tab/>
      </w:r>
      <w:r w:rsidRPr="0BE2D7A4">
        <w:rPr>
          <w:rFonts w:ascii="Times New Roman" w:hAnsi="Times New Roman" w:cs="Times New Roman"/>
          <w:sz w:val="28"/>
          <w:szCs w:val="28"/>
          <w:lang w:val="en-US"/>
        </w:rPr>
        <w:t xml:space="preserve"> Shanghai Cooperation Organization </w:t>
      </w:r>
    </w:p>
    <w:p w14:paraId="4F378C80" w14:textId="77777777" w:rsidR="00DD07CF" w:rsidRDefault="0BE2D7A4">
      <w:pPr>
        <w:pStyle w:val="af"/>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 xml:space="preserve">SEIS </w:t>
      </w:r>
      <w:r w:rsidRPr="00BE02A5">
        <w:rPr>
          <w:lang w:val="en-US"/>
        </w:rPr>
        <w:tab/>
      </w:r>
      <w:r w:rsidRPr="00BE02A5">
        <w:rPr>
          <w:lang w:val="en-US"/>
        </w:rPr>
        <w:tab/>
      </w:r>
      <w:r w:rsidRPr="00BE02A5">
        <w:rPr>
          <w:lang w:val="en-US"/>
        </w:rPr>
        <w:tab/>
      </w:r>
      <w:r w:rsidRPr="0BE2D7A4">
        <w:rPr>
          <w:rFonts w:eastAsia="Times New Roman"/>
          <w:sz w:val="28"/>
          <w:szCs w:val="28"/>
          <w:lang w:val="en-US" w:eastAsia="ru-RU"/>
        </w:rPr>
        <w:t xml:space="preserve"> Shared Environmental Information System</w:t>
      </w:r>
    </w:p>
    <w:p w14:paraId="10BDAADE" w14:textId="77777777" w:rsidR="00DD07CF" w:rsidRDefault="155010CB">
      <w:pPr>
        <w:pStyle w:val="af"/>
        <w:shd w:val="clear" w:color="auto" w:fill="FFFFFF" w:themeFill="background1"/>
        <w:tabs>
          <w:tab w:val="left" w:pos="2263"/>
        </w:tabs>
        <w:spacing w:after="0" w:line="240" w:lineRule="auto"/>
        <w:jc w:val="both"/>
        <w:rPr>
          <w:rFonts w:eastAsia="Times New Roman"/>
          <w:sz w:val="28"/>
          <w:szCs w:val="28"/>
          <w:lang w:val="en-US" w:eastAsia="ru-RU"/>
        </w:rPr>
      </w:pPr>
      <w:r w:rsidRPr="0BE2D7A4">
        <w:rPr>
          <w:rFonts w:eastAsia="Times New Roman"/>
          <w:sz w:val="28"/>
          <w:szCs w:val="28"/>
          <w:lang w:val="en-US" w:eastAsia="ru-RU"/>
        </w:rPr>
        <w:t>SMEs</w:t>
      </w:r>
      <w:r w:rsidR="469D768C" w:rsidRPr="0BE2D7A4">
        <w:rPr>
          <w:rFonts w:eastAsia="Times New Roman"/>
          <w:sz w:val="28"/>
          <w:szCs w:val="28"/>
          <w:lang w:val="en-US" w:eastAsia="ru-RU"/>
        </w:rPr>
        <w:t xml:space="preserve"> </w:t>
      </w:r>
      <w:r w:rsidR="003C7EEF">
        <w:rPr>
          <w:lang w:val="en-US"/>
        </w:rPr>
        <w:t xml:space="preserve">                        </w:t>
      </w:r>
      <w:r w:rsidRPr="0BE2D7A4">
        <w:rPr>
          <w:rFonts w:eastAsia="Times New Roman"/>
          <w:sz w:val="28"/>
          <w:szCs w:val="28"/>
          <w:lang w:val="en-US" w:eastAsia="ru-RU"/>
        </w:rPr>
        <w:t>Small and Medium Enterprises </w:t>
      </w:r>
      <w:r w:rsidRPr="00BE02A5">
        <w:rPr>
          <w:lang w:val="en-US"/>
        </w:rPr>
        <w:tab/>
      </w:r>
    </w:p>
    <w:p w14:paraId="67B516D0" w14:textId="77777777" w:rsidR="00DD07CF" w:rsidRDefault="0BE2D7A4" w:rsidP="0BE2D7A4">
      <w:p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TACIS </w:t>
      </w:r>
      <w:r w:rsidRPr="00BE02A5">
        <w:rPr>
          <w:lang w:val="en-US"/>
        </w:rPr>
        <w:tab/>
      </w:r>
      <w:r w:rsidRPr="00BE02A5">
        <w:rPr>
          <w:lang w:val="en-US"/>
        </w:rPr>
        <w:tab/>
      </w:r>
      <w:r w:rsidRPr="0BE2D7A4">
        <w:rPr>
          <w:rFonts w:ascii="Times New Roman" w:eastAsia="Times New Roman" w:hAnsi="Times New Roman" w:cs="Times New Roman"/>
          <w:sz w:val="28"/>
          <w:szCs w:val="28"/>
          <w:lang w:val="en-US"/>
        </w:rPr>
        <w:t xml:space="preserve"> Technical Assistance for the Commonwealth of    </w:t>
      </w:r>
    </w:p>
    <w:p w14:paraId="59F3BBBC" w14:textId="77777777" w:rsidR="00DD07CF" w:rsidRDefault="0BE2D7A4" w:rsidP="0BE2D7A4">
      <w:pPr>
        <w:tabs>
          <w:tab w:val="left" w:pos="2512"/>
        </w:tabs>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 xml:space="preserve">                               Independent States</w:t>
      </w:r>
    </w:p>
    <w:p w14:paraId="3EEE566C" w14:textId="77777777" w:rsidR="00DD07CF" w:rsidRDefault="0BE2D7A4" w:rsidP="0BE2D7A4">
      <w:pPr>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 xml:space="preserve">TAIEX </w:t>
      </w:r>
      <w:r w:rsidRPr="00BE02A5">
        <w:rPr>
          <w:lang w:val="en-US"/>
        </w:rPr>
        <w:tab/>
      </w:r>
      <w:r w:rsidRPr="00BE02A5">
        <w:rPr>
          <w:lang w:val="en-US"/>
        </w:rPr>
        <w:tab/>
      </w:r>
      <w:r w:rsidRPr="0BE2D7A4">
        <w:rPr>
          <w:rFonts w:ascii="Times New Roman" w:eastAsia="Times New Roman" w:hAnsi="Times New Roman" w:cs="Times New Roman"/>
          <w:sz w:val="28"/>
          <w:szCs w:val="28"/>
          <w:lang w:val="en-US" w:eastAsia="ru-RU"/>
        </w:rPr>
        <w:t xml:space="preserve"> Technical Assistance and Information Exchange </w:t>
      </w:r>
    </w:p>
    <w:p w14:paraId="65BE4351" w14:textId="77777777" w:rsidR="00DD07CF" w:rsidRDefault="0BE2D7A4" w:rsidP="0BE2D7A4">
      <w:pPr>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UN</w:t>
      </w:r>
      <w:r w:rsidRPr="00BE02A5">
        <w:rPr>
          <w:lang w:val="en-US"/>
        </w:rPr>
        <w:tab/>
      </w:r>
      <w:r w:rsidRPr="00BE02A5">
        <w:rPr>
          <w:lang w:val="en-US"/>
        </w:rPr>
        <w:tab/>
      </w:r>
      <w:r w:rsidRPr="00BE02A5">
        <w:rPr>
          <w:lang w:val="en-US"/>
        </w:rPr>
        <w:tab/>
      </w:r>
      <w:r w:rsidRPr="0BE2D7A4">
        <w:rPr>
          <w:rFonts w:ascii="Times New Roman" w:eastAsia="Times New Roman" w:hAnsi="Times New Roman" w:cs="Times New Roman"/>
          <w:sz w:val="28"/>
          <w:szCs w:val="28"/>
          <w:lang w:val="en-US" w:eastAsia="ru-RU"/>
        </w:rPr>
        <w:t xml:space="preserve"> United Nations</w:t>
      </w:r>
    </w:p>
    <w:p w14:paraId="714C6676" w14:textId="77777777" w:rsidR="00DD07CF" w:rsidRDefault="0BE2D7A4">
      <w:pPr>
        <w:pStyle w:val="af"/>
        <w:shd w:val="clear" w:color="auto" w:fill="FFFFFF" w:themeFill="background1"/>
        <w:tabs>
          <w:tab w:val="left" w:pos="2313"/>
        </w:tabs>
        <w:spacing w:after="0" w:line="240" w:lineRule="auto"/>
        <w:jc w:val="both"/>
        <w:rPr>
          <w:rFonts w:eastAsia="Times New Roman"/>
          <w:sz w:val="28"/>
          <w:szCs w:val="28"/>
          <w:lang w:val="en-US" w:eastAsia="ru-RU"/>
        </w:rPr>
      </w:pPr>
      <w:r w:rsidRPr="0BE2D7A4">
        <w:rPr>
          <w:rFonts w:eastAsia="Times New Roman"/>
          <w:sz w:val="28"/>
          <w:szCs w:val="28"/>
          <w:lang w:val="en-US" w:eastAsia="ru-RU"/>
        </w:rPr>
        <w:t>UN SDG                 United Nations Sustainable Development Goals</w:t>
      </w:r>
    </w:p>
    <w:p w14:paraId="638978B3" w14:textId="77777777" w:rsidR="00DD07CF" w:rsidRDefault="0BE2D7A4" w:rsidP="0BE2D7A4">
      <w:pPr>
        <w:tabs>
          <w:tab w:val="left" w:pos="2298"/>
        </w:tabs>
        <w:spacing w:after="0" w:line="240" w:lineRule="auto"/>
        <w:rPr>
          <w:rFonts w:ascii="Times New Roman" w:eastAsia="Times New Roman" w:hAnsi="Times New Roman" w:cs="Times New Roman"/>
          <w:sz w:val="28"/>
          <w:szCs w:val="28"/>
          <w:lang w:val="en-US" w:eastAsia="ru-RU"/>
        </w:rPr>
      </w:pPr>
      <w:r w:rsidRPr="0BE2D7A4">
        <w:rPr>
          <w:rFonts w:ascii="Times New Roman" w:eastAsia="Times New Roman" w:hAnsi="Times New Roman" w:cs="Times New Roman"/>
          <w:sz w:val="28"/>
          <w:szCs w:val="28"/>
          <w:lang w:val="en-US" w:eastAsia="ru-RU"/>
        </w:rPr>
        <w:t>UNDP</w:t>
      </w:r>
      <w:r w:rsidR="003C7EEF">
        <w:rPr>
          <w:lang w:val="en-US"/>
        </w:rPr>
        <w:t xml:space="preserve">                             </w:t>
      </w:r>
      <w:r w:rsidRPr="0BE2D7A4">
        <w:rPr>
          <w:rFonts w:ascii="Times New Roman" w:eastAsia="Times New Roman" w:hAnsi="Times New Roman" w:cs="Times New Roman"/>
          <w:sz w:val="28"/>
          <w:szCs w:val="28"/>
          <w:lang w:val="en-US" w:eastAsia="ru-RU"/>
        </w:rPr>
        <w:t>United Nations Development Programme</w:t>
      </w:r>
    </w:p>
    <w:p w14:paraId="1FE4A92A" w14:textId="77777777" w:rsidR="00DD07CF" w:rsidRDefault="155010CB" w:rsidP="0BE2D7A4">
      <w:pPr>
        <w:tabs>
          <w:tab w:val="left" w:pos="2298"/>
        </w:tabs>
        <w:spacing w:after="0" w:line="240" w:lineRule="auto"/>
        <w:rPr>
          <w:rFonts w:ascii="Times New Roman" w:hAnsi="Times New Roman" w:cs="Times New Roman"/>
          <w:sz w:val="28"/>
          <w:szCs w:val="28"/>
          <w:lang w:val="en-US"/>
        </w:rPr>
      </w:pPr>
      <w:r w:rsidRPr="0BE2D7A4">
        <w:rPr>
          <w:rFonts w:ascii="Times New Roman" w:hAnsi="Times New Roman" w:cs="Times New Roman"/>
          <w:sz w:val="28"/>
          <w:szCs w:val="28"/>
          <w:lang w:val="en-US"/>
        </w:rPr>
        <w:t>USSR</w:t>
      </w:r>
      <w:r w:rsidR="003C7EEF">
        <w:rPr>
          <w:lang w:val="en-US"/>
        </w:rPr>
        <w:t xml:space="preserve">                              </w:t>
      </w:r>
      <w:r w:rsidRPr="0BE2D7A4">
        <w:rPr>
          <w:rFonts w:ascii="Times New Roman" w:hAnsi="Times New Roman" w:cs="Times New Roman"/>
          <w:sz w:val="28"/>
          <w:szCs w:val="28"/>
          <w:lang w:val="en-US"/>
        </w:rPr>
        <w:t>Union of Soviet Socialist Republics</w:t>
      </w:r>
    </w:p>
    <w:p w14:paraId="2CFFF577" w14:textId="77777777" w:rsidR="00DD07CF" w:rsidRDefault="0BE2D7A4">
      <w:pPr>
        <w:pStyle w:val="af"/>
        <w:shd w:val="clear" w:color="auto" w:fill="FFFFFF" w:themeFill="background1"/>
        <w:tabs>
          <w:tab w:val="left" w:pos="2298"/>
        </w:tabs>
        <w:spacing w:after="0" w:line="240" w:lineRule="auto"/>
        <w:jc w:val="both"/>
        <w:rPr>
          <w:rFonts w:eastAsia="Times New Roman"/>
          <w:sz w:val="28"/>
          <w:szCs w:val="28"/>
          <w:lang w:val="en-US" w:eastAsia="ru-RU"/>
        </w:rPr>
      </w:pPr>
      <w:r w:rsidRPr="0BE2D7A4">
        <w:rPr>
          <w:rFonts w:eastAsia="Times New Roman"/>
          <w:sz w:val="28"/>
          <w:szCs w:val="28"/>
          <w:lang w:val="en-US" w:eastAsia="ru-RU"/>
        </w:rPr>
        <w:t>WECOOP</w:t>
      </w:r>
      <w:r w:rsidR="003C7EEF">
        <w:rPr>
          <w:lang w:val="en-US"/>
        </w:rPr>
        <w:t xml:space="preserve">                 </w:t>
      </w:r>
      <w:r w:rsidRPr="0BE2D7A4">
        <w:rPr>
          <w:rFonts w:eastAsia="Times New Roman"/>
          <w:sz w:val="28"/>
          <w:szCs w:val="28"/>
          <w:lang w:val="en-US" w:eastAsia="ru-RU"/>
        </w:rPr>
        <w:t xml:space="preserve">European Union - Central Asia Water, Environment and </w:t>
      </w:r>
    </w:p>
    <w:p w14:paraId="100C6D05" w14:textId="77777777" w:rsidR="00DD07CF" w:rsidRDefault="003C7EEF">
      <w:pPr>
        <w:pStyle w:val="af"/>
        <w:shd w:val="clear" w:color="auto" w:fill="FFFFFF" w:themeFill="background1"/>
        <w:tabs>
          <w:tab w:val="left" w:pos="2298"/>
        </w:tabs>
        <w:spacing w:after="0" w:line="240" w:lineRule="auto"/>
        <w:jc w:val="both"/>
        <w:rPr>
          <w:rFonts w:eastAsia="Times New Roman"/>
          <w:sz w:val="28"/>
          <w:szCs w:val="28"/>
          <w:lang w:val="en-US" w:eastAsia="ru-RU"/>
        </w:rPr>
      </w:pPr>
      <w:r>
        <w:rPr>
          <w:rFonts w:eastAsia="Times New Roman"/>
          <w:sz w:val="28"/>
          <w:szCs w:val="28"/>
          <w:lang w:val="en-US" w:eastAsia="ru-RU"/>
        </w:rPr>
        <w:t xml:space="preserve">                               </w:t>
      </w:r>
      <w:r w:rsidR="155010CB">
        <w:rPr>
          <w:rFonts w:eastAsia="Times New Roman"/>
          <w:sz w:val="28"/>
          <w:szCs w:val="28"/>
          <w:lang w:val="en-US" w:eastAsia="ru-RU"/>
        </w:rPr>
        <w:t>Climate Change Cooperation</w:t>
      </w:r>
    </w:p>
    <w:p w14:paraId="59D984E0" w14:textId="77777777" w:rsidR="00DD07CF" w:rsidRDefault="0BE2D7A4">
      <w:pPr>
        <w:pStyle w:val="af"/>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 xml:space="preserve">WTO </w:t>
      </w:r>
      <w:r w:rsidRPr="00BE02A5">
        <w:rPr>
          <w:lang w:val="en-US"/>
        </w:rPr>
        <w:tab/>
      </w:r>
      <w:r w:rsidRPr="00BE02A5">
        <w:rPr>
          <w:lang w:val="en-US"/>
        </w:rPr>
        <w:tab/>
      </w:r>
      <w:r w:rsidRPr="00BE02A5">
        <w:rPr>
          <w:lang w:val="en-US"/>
        </w:rPr>
        <w:tab/>
      </w:r>
      <w:r w:rsidRPr="0BE2D7A4">
        <w:rPr>
          <w:rFonts w:eastAsia="Times New Roman"/>
          <w:sz w:val="28"/>
          <w:szCs w:val="28"/>
          <w:lang w:val="en-US" w:eastAsia="ru-RU"/>
        </w:rPr>
        <w:t xml:space="preserve"> World Trade Organization </w:t>
      </w:r>
    </w:p>
    <w:p w14:paraId="738610EB"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637805D2"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463F29E8"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3B7B4B86"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3A0FF5F2"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5630AD66"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61829076"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2BA226A1"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17AD93B2"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0DE4B5B7"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66204FF1"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2DBF0D7D"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6B62F1B3"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02F2C34E"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680A4E5D"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19219836"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296FEF7D"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7194DBDC"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769D0D3C"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54CD245A"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1231BE67"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36FEB5B0"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30D7AA69"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7196D064"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34FF1C98"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6D072C0D" w14:textId="77777777" w:rsidR="00DD07CF" w:rsidRDefault="00DD07CF" w:rsidP="0BE2D7A4">
      <w:pPr>
        <w:pStyle w:val="af"/>
        <w:shd w:val="clear" w:color="auto" w:fill="FFFFFF" w:themeFill="background1"/>
        <w:spacing w:after="0" w:line="240" w:lineRule="auto"/>
        <w:jc w:val="both"/>
        <w:rPr>
          <w:rFonts w:eastAsia="Times New Roman"/>
          <w:sz w:val="28"/>
          <w:szCs w:val="28"/>
          <w:lang w:val="en-US" w:eastAsia="ru-RU"/>
        </w:rPr>
      </w:pPr>
    </w:p>
    <w:p w14:paraId="48A21919" w14:textId="77777777" w:rsidR="00DD07CF" w:rsidRDefault="00DD07CF" w:rsidP="4AB94E01">
      <w:pPr>
        <w:pStyle w:val="af"/>
        <w:shd w:val="clear" w:color="auto" w:fill="FFFFFF" w:themeFill="background1"/>
        <w:spacing w:after="0" w:line="240" w:lineRule="auto"/>
        <w:jc w:val="both"/>
        <w:rPr>
          <w:rFonts w:eastAsia="Times New Roman"/>
          <w:sz w:val="28"/>
          <w:szCs w:val="28"/>
          <w:lang w:val="en-US" w:eastAsia="ru-RU"/>
        </w:rPr>
      </w:pPr>
    </w:p>
    <w:p w14:paraId="6BD18F9B" w14:textId="77777777" w:rsidR="00DD07CF" w:rsidRDefault="00DD07CF" w:rsidP="4AB94E01">
      <w:pPr>
        <w:pStyle w:val="af"/>
        <w:shd w:val="clear" w:color="auto" w:fill="FFFFFF" w:themeFill="background1"/>
        <w:spacing w:after="0" w:line="240" w:lineRule="auto"/>
        <w:jc w:val="both"/>
        <w:rPr>
          <w:rFonts w:eastAsia="Times New Roman"/>
          <w:sz w:val="28"/>
          <w:szCs w:val="28"/>
          <w:lang w:val="en-US" w:eastAsia="ru-RU"/>
        </w:rPr>
      </w:pPr>
    </w:p>
    <w:p w14:paraId="238601FE" w14:textId="77777777" w:rsidR="00DD07CF" w:rsidRDefault="00DD07CF" w:rsidP="4AB94E01">
      <w:pPr>
        <w:pStyle w:val="af"/>
        <w:shd w:val="clear" w:color="auto" w:fill="FFFFFF" w:themeFill="background1"/>
        <w:spacing w:after="0" w:line="240" w:lineRule="auto"/>
        <w:jc w:val="both"/>
        <w:rPr>
          <w:rFonts w:eastAsia="Times New Roman"/>
          <w:sz w:val="28"/>
          <w:szCs w:val="28"/>
          <w:lang w:val="en-US" w:eastAsia="ru-RU"/>
        </w:rPr>
      </w:pPr>
    </w:p>
    <w:p w14:paraId="0F3CABC7" w14:textId="77777777" w:rsidR="0BE2D7A4" w:rsidRDefault="0BE2D7A4" w:rsidP="0BE2D7A4">
      <w:pPr>
        <w:pStyle w:val="af"/>
        <w:shd w:val="clear" w:color="auto" w:fill="FFFFFF" w:themeFill="background1"/>
        <w:spacing w:after="0" w:line="240" w:lineRule="auto"/>
        <w:jc w:val="both"/>
        <w:rPr>
          <w:rFonts w:eastAsia="Times New Roman"/>
          <w:sz w:val="28"/>
          <w:szCs w:val="28"/>
          <w:lang w:val="en-US" w:eastAsia="ru-RU"/>
        </w:rPr>
      </w:pPr>
    </w:p>
    <w:p w14:paraId="5B08B5D1" w14:textId="77777777" w:rsidR="003C7EEF" w:rsidRDefault="003C7EEF" w:rsidP="0BE2D7A4">
      <w:pPr>
        <w:pStyle w:val="af"/>
        <w:shd w:val="clear" w:color="auto" w:fill="FFFFFF" w:themeFill="background1"/>
        <w:spacing w:after="0" w:line="240" w:lineRule="auto"/>
        <w:jc w:val="both"/>
        <w:rPr>
          <w:rFonts w:eastAsia="Times New Roman"/>
          <w:sz w:val="28"/>
          <w:szCs w:val="28"/>
          <w:lang w:val="en-US" w:eastAsia="ru-RU"/>
        </w:rPr>
      </w:pPr>
    </w:p>
    <w:p w14:paraId="16DEB4AB" w14:textId="77777777" w:rsidR="003C7EEF" w:rsidRDefault="003C7EEF" w:rsidP="0BE2D7A4">
      <w:pPr>
        <w:pStyle w:val="af"/>
        <w:shd w:val="clear" w:color="auto" w:fill="FFFFFF" w:themeFill="background1"/>
        <w:spacing w:after="0" w:line="240" w:lineRule="auto"/>
        <w:jc w:val="both"/>
        <w:rPr>
          <w:rFonts w:eastAsia="Times New Roman"/>
          <w:sz w:val="28"/>
          <w:szCs w:val="28"/>
          <w:lang w:val="en-US" w:eastAsia="ru-RU"/>
        </w:rPr>
      </w:pPr>
    </w:p>
    <w:p w14:paraId="0AD9C6F4" w14:textId="77777777" w:rsidR="003C7EEF" w:rsidRDefault="003C7EEF" w:rsidP="0BE2D7A4">
      <w:pPr>
        <w:pStyle w:val="af"/>
        <w:shd w:val="clear" w:color="auto" w:fill="FFFFFF" w:themeFill="background1"/>
        <w:spacing w:after="0" w:line="240" w:lineRule="auto"/>
        <w:jc w:val="both"/>
        <w:rPr>
          <w:rFonts w:eastAsia="Times New Roman"/>
          <w:sz w:val="28"/>
          <w:szCs w:val="28"/>
          <w:lang w:val="en-US" w:eastAsia="ru-RU"/>
        </w:rPr>
      </w:pPr>
    </w:p>
    <w:p w14:paraId="4B1F511A" w14:textId="77777777" w:rsidR="003C7EEF" w:rsidRDefault="003C7EEF" w:rsidP="0BE2D7A4">
      <w:pPr>
        <w:pStyle w:val="af"/>
        <w:shd w:val="clear" w:color="auto" w:fill="FFFFFF" w:themeFill="background1"/>
        <w:spacing w:after="0" w:line="240" w:lineRule="auto"/>
        <w:jc w:val="both"/>
        <w:rPr>
          <w:rFonts w:eastAsia="Times New Roman"/>
          <w:sz w:val="28"/>
          <w:szCs w:val="28"/>
          <w:lang w:val="en-US" w:eastAsia="ru-RU"/>
        </w:rPr>
      </w:pPr>
    </w:p>
    <w:p w14:paraId="65F9C3DC" w14:textId="77777777" w:rsidR="003C7EEF" w:rsidRDefault="003C7EEF" w:rsidP="0BE2D7A4">
      <w:pPr>
        <w:pStyle w:val="af"/>
        <w:shd w:val="clear" w:color="auto" w:fill="FFFFFF" w:themeFill="background1"/>
        <w:spacing w:after="0" w:line="240" w:lineRule="auto"/>
        <w:jc w:val="both"/>
        <w:rPr>
          <w:rFonts w:eastAsia="Times New Roman"/>
          <w:sz w:val="28"/>
          <w:szCs w:val="28"/>
          <w:lang w:val="en-US" w:eastAsia="ru-RU"/>
        </w:rPr>
      </w:pPr>
    </w:p>
    <w:p w14:paraId="5023141B" w14:textId="77777777" w:rsidR="7315D5B6" w:rsidRPr="00331C14" w:rsidRDefault="7315D5B6" w:rsidP="7315D5B6">
      <w:pPr>
        <w:pStyle w:val="af"/>
        <w:shd w:val="clear" w:color="auto" w:fill="FFFFFF" w:themeFill="background1"/>
        <w:spacing w:after="0" w:line="240" w:lineRule="auto"/>
        <w:jc w:val="both"/>
        <w:rPr>
          <w:rFonts w:eastAsia="Times New Roman"/>
          <w:sz w:val="28"/>
          <w:szCs w:val="28"/>
          <w:lang w:val="en-US" w:eastAsia="ru-RU"/>
        </w:rPr>
      </w:pPr>
    </w:p>
    <w:p w14:paraId="1F3B1409" w14:textId="77777777" w:rsidR="008E6865" w:rsidRPr="00331C14" w:rsidRDefault="008E6865" w:rsidP="7315D5B6">
      <w:pPr>
        <w:pStyle w:val="af"/>
        <w:shd w:val="clear" w:color="auto" w:fill="FFFFFF" w:themeFill="background1"/>
        <w:spacing w:after="0" w:line="240" w:lineRule="auto"/>
        <w:jc w:val="both"/>
        <w:rPr>
          <w:rFonts w:eastAsia="Times New Roman"/>
          <w:sz w:val="28"/>
          <w:szCs w:val="28"/>
          <w:lang w:val="en-US" w:eastAsia="ru-RU"/>
        </w:rPr>
      </w:pPr>
    </w:p>
    <w:p w14:paraId="562C75D1" w14:textId="77777777" w:rsidR="008E6865" w:rsidRPr="00331C14" w:rsidRDefault="008E6865" w:rsidP="7315D5B6">
      <w:pPr>
        <w:pStyle w:val="af"/>
        <w:shd w:val="clear" w:color="auto" w:fill="FFFFFF" w:themeFill="background1"/>
        <w:spacing w:after="0" w:line="240" w:lineRule="auto"/>
        <w:jc w:val="both"/>
        <w:rPr>
          <w:rFonts w:eastAsia="Times New Roman"/>
          <w:sz w:val="28"/>
          <w:szCs w:val="28"/>
          <w:lang w:val="en-US" w:eastAsia="ru-RU"/>
        </w:rPr>
      </w:pPr>
    </w:p>
    <w:p w14:paraId="664355AD" w14:textId="77777777" w:rsidR="008E6865" w:rsidRPr="00331C14" w:rsidRDefault="008E6865" w:rsidP="7315D5B6">
      <w:pPr>
        <w:pStyle w:val="af"/>
        <w:shd w:val="clear" w:color="auto" w:fill="FFFFFF" w:themeFill="background1"/>
        <w:spacing w:after="0" w:line="240" w:lineRule="auto"/>
        <w:jc w:val="both"/>
        <w:rPr>
          <w:rFonts w:eastAsia="Times New Roman"/>
          <w:sz w:val="28"/>
          <w:szCs w:val="28"/>
          <w:lang w:val="en-US" w:eastAsia="ru-RU"/>
        </w:rPr>
      </w:pPr>
    </w:p>
    <w:p w14:paraId="1A965116" w14:textId="77777777" w:rsidR="008E6865" w:rsidRPr="00331C14" w:rsidRDefault="008E6865" w:rsidP="7315D5B6">
      <w:pPr>
        <w:pStyle w:val="af"/>
        <w:shd w:val="clear" w:color="auto" w:fill="FFFFFF" w:themeFill="background1"/>
        <w:spacing w:after="0" w:line="240" w:lineRule="auto"/>
        <w:jc w:val="both"/>
        <w:rPr>
          <w:rFonts w:eastAsia="Times New Roman"/>
          <w:sz w:val="28"/>
          <w:szCs w:val="28"/>
          <w:lang w:val="en-US" w:eastAsia="ru-RU"/>
        </w:rPr>
      </w:pPr>
    </w:p>
    <w:p w14:paraId="2C8B4F07" w14:textId="77777777" w:rsidR="00DD07CF" w:rsidRDefault="155010CB" w:rsidP="00380897">
      <w:pPr>
        <w:tabs>
          <w:tab w:val="left" w:pos="5966"/>
        </w:tabs>
        <w:spacing w:after="0" w:line="240" w:lineRule="auto"/>
        <w:ind w:firstLine="709"/>
        <w:jc w:val="center"/>
        <w:rPr>
          <w:rFonts w:ascii="Times New Roman" w:hAnsi="Times New Roman" w:cs="Times New Roman"/>
          <w:b/>
          <w:bCs/>
          <w:sz w:val="28"/>
          <w:szCs w:val="28"/>
          <w:lang w:val="en-US"/>
        </w:rPr>
      </w:pPr>
      <w:r w:rsidRPr="0BE2D7A4">
        <w:rPr>
          <w:rFonts w:ascii="Times New Roman" w:hAnsi="Times New Roman" w:cs="Times New Roman"/>
          <w:b/>
          <w:bCs/>
          <w:sz w:val="28"/>
          <w:szCs w:val="28"/>
          <w:lang w:val="en-US"/>
        </w:rPr>
        <w:t>INTRODUCTION</w:t>
      </w:r>
    </w:p>
    <w:p w14:paraId="7DF4E37C" w14:textId="77777777" w:rsidR="00380897" w:rsidRDefault="00380897" w:rsidP="00380897">
      <w:pPr>
        <w:tabs>
          <w:tab w:val="left" w:pos="5966"/>
        </w:tabs>
        <w:spacing w:after="0" w:line="240" w:lineRule="auto"/>
        <w:ind w:firstLine="709"/>
        <w:jc w:val="center"/>
        <w:rPr>
          <w:rFonts w:ascii="Times New Roman" w:hAnsi="Times New Roman" w:cs="Times New Roman"/>
          <w:b/>
          <w:bCs/>
          <w:sz w:val="28"/>
          <w:szCs w:val="28"/>
          <w:lang w:val="en-US"/>
        </w:rPr>
      </w:pPr>
    </w:p>
    <w:p w14:paraId="49D4B123" w14:textId="77777777" w:rsidR="00DD07CF" w:rsidRDefault="0D1A5B7A" w:rsidP="00380897">
      <w:pPr>
        <w:spacing w:after="0" w:line="240" w:lineRule="auto"/>
        <w:ind w:firstLine="709"/>
        <w:jc w:val="both"/>
        <w:rPr>
          <w:rFonts w:ascii="Times New Roman" w:hAnsi="Times New Roman" w:cs="Times New Roman"/>
          <w:sz w:val="28"/>
          <w:szCs w:val="28"/>
          <w:lang w:val="en-US"/>
        </w:rPr>
      </w:pPr>
      <w:r w:rsidRPr="0BE2D7A4">
        <w:rPr>
          <w:rFonts w:ascii="Times New Roman" w:eastAsia="Times New Roman" w:hAnsi="Times New Roman" w:cs="Times New Roman"/>
          <w:b/>
          <w:bCs/>
          <w:sz w:val="28"/>
          <w:szCs w:val="28"/>
          <w:lang w:val="en-US"/>
        </w:rPr>
        <w:t xml:space="preserve">General characteristics of </w:t>
      </w:r>
      <w:r w:rsidR="003C7EEF" w:rsidRPr="0BE2D7A4">
        <w:rPr>
          <w:rFonts w:ascii="Times New Roman" w:eastAsia="Times New Roman" w:hAnsi="Times New Roman" w:cs="Times New Roman"/>
          <w:b/>
          <w:bCs/>
          <w:sz w:val="28"/>
          <w:szCs w:val="28"/>
          <w:lang w:val="en-US"/>
        </w:rPr>
        <w:t>dissertation</w:t>
      </w:r>
      <w:r w:rsidRPr="0BE2D7A4">
        <w:rPr>
          <w:rFonts w:ascii="Times New Roman" w:eastAsia="Times New Roman" w:hAnsi="Times New Roman" w:cs="Times New Roman"/>
          <w:b/>
          <w:bCs/>
          <w:sz w:val="28"/>
          <w:szCs w:val="28"/>
          <w:lang w:val="en-US"/>
        </w:rPr>
        <w:t xml:space="preserve"> research. </w:t>
      </w:r>
      <w:r w:rsidR="4ECD8401" w:rsidRPr="0BE2D7A4">
        <w:rPr>
          <w:rFonts w:ascii="Times New Roman" w:hAnsi="Times New Roman" w:cs="Times New Roman"/>
          <w:sz w:val="28"/>
          <w:szCs w:val="28"/>
          <w:lang w:val="en-US"/>
        </w:rPr>
        <w:t xml:space="preserve">The </w:t>
      </w:r>
      <w:r w:rsidR="018198CE" w:rsidRPr="0BE2D7A4">
        <w:rPr>
          <w:rFonts w:ascii="Times New Roman" w:hAnsi="Times New Roman" w:cs="Times New Roman"/>
          <w:sz w:val="28"/>
          <w:szCs w:val="28"/>
          <w:lang w:val="en-US"/>
        </w:rPr>
        <w:t xml:space="preserve">key point of the dissertation work lies in the examination of the EU and Central Asia cooperation in the framework </w:t>
      </w:r>
      <w:r w:rsidR="7E7D7F3A" w:rsidRPr="0BE2D7A4">
        <w:rPr>
          <w:rFonts w:ascii="Times New Roman" w:hAnsi="Times New Roman" w:cs="Times New Roman"/>
          <w:sz w:val="28"/>
          <w:szCs w:val="28"/>
          <w:lang w:val="en-US"/>
        </w:rPr>
        <w:t xml:space="preserve">of EU-CA strategy of 2019 and determination of </w:t>
      </w:r>
      <w:r w:rsidR="45B71BF9" w:rsidRPr="0BE2D7A4">
        <w:rPr>
          <w:rFonts w:ascii="Times New Roman" w:hAnsi="Times New Roman" w:cs="Times New Roman"/>
          <w:sz w:val="28"/>
          <w:szCs w:val="28"/>
          <w:lang w:val="en-US"/>
        </w:rPr>
        <w:t xml:space="preserve">regional touch point and factors of cohesion. </w:t>
      </w:r>
      <w:r w:rsidR="21BE083A" w:rsidRPr="0BE2D7A4">
        <w:rPr>
          <w:rFonts w:ascii="Times New Roman" w:hAnsi="Times New Roman" w:cs="Times New Roman"/>
          <w:sz w:val="28"/>
          <w:szCs w:val="28"/>
          <w:lang w:val="en-US"/>
        </w:rPr>
        <w:t xml:space="preserve">It is </w:t>
      </w:r>
      <w:r w:rsidR="00182A13" w:rsidRPr="0BE2D7A4">
        <w:rPr>
          <w:rFonts w:ascii="Times New Roman" w:hAnsi="Times New Roman" w:cs="Times New Roman"/>
          <w:sz w:val="28"/>
          <w:szCs w:val="28"/>
          <w:lang w:val="en-US"/>
        </w:rPr>
        <w:t>well known</w:t>
      </w:r>
      <w:r w:rsidR="21BE083A" w:rsidRPr="0BE2D7A4">
        <w:rPr>
          <w:rFonts w:ascii="Times New Roman" w:hAnsi="Times New Roman" w:cs="Times New Roman"/>
          <w:sz w:val="28"/>
          <w:szCs w:val="28"/>
          <w:lang w:val="en-US"/>
        </w:rPr>
        <w:t xml:space="preserve"> that the two major crises, that to certain characteristics could be considered phenomena with the greatest global impact in the twenty-first century, have occurred. The COVID-19 pandemic has led to </w:t>
      </w:r>
      <w:r w:rsidR="005A1A6C" w:rsidRPr="0BE2D7A4">
        <w:rPr>
          <w:rFonts w:ascii="Times New Roman" w:hAnsi="Times New Roman" w:cs="Times New Roman"/>
          <w:sz w:val="28"/>
          <w:szCs w:val="28"/>
          <w:lang w:val="en-US"/>
        </w:rPr>
        <w:t>severe</w:t>
      </w:r>
      <w:r w:rsidR="21BE083A" w:rsidRPr="0BE2D7A4">
        <w:rPr>
          <w:rFonts w:ascii="Times New Roman" w:hAnsi="Times New Roman" w:cs="Times New Roman"/>
          <w:sz w:val="28"/>
          <w:szCs w:val="28"/>
          <w:lang w:val="en-US"/>
        </w:rPr>
        <w:t xml:space="preserve"> stagnation in the world economy, created problems in supply chains and caused financial difficulties both in certain countries and at the global level, thus forcing individual countries to reassess their own priorities and set some new ones for the future. The Ukrainian crisis broke out in February 2022 and rapidly exceeded the boundaries of the regional conflict, thus becoming a multidimensional global problem accompanied by a worrying increase in energy poverty that had existed even before the Ukrainian crisis</w:t>
      </w:r>
      <w:r w:rsidR="28F9DE4A" w:rsidRPr="0BE2D7A4">
        <w:rPr>
          <w:rFonts w:ascii="Times New Roman" w:hAnsi="Times New Roman" w:cs="Times New Roman"/>
          <w:sz w:val="28"/>
          <w:szCs w:val="28"/>
          <w:lang w:val="en-US"/>
        </w:rPr>
        <w:t xml:space="preserve">. </w:t>
      </w:r>
      <w:r w:rsidR="21BE083A" w:rsidRPr="0BE2D7A4">
        <w:rPr>
          <w:rFonts w:ascii="Times New Roman" w:hAnsi="Times New Roman" w:cs="Times New Roman"/>
          <w:sz w:val="28"/>
          <w:szCs w:val="28"/>
          <w:lang w:val="en-US"/>
        </w:rPr>
        <w:t xml:space="preserve"> </w:t>
      </w:r>
    </w:p>
    <w:p w14:paraId="0A3383DA" w14:textId="77777777" w:rsidR="00DD07CF" w:rsidRDefault="5BB7C671" w:rsidP="0BE2D7A4">
      <w:pPr>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Bearing in mind that, due to </w:t>
      </w:r>
      <w:r w:rsidR="11D39E46" w:rsidRPr="0BE2D7A4">
        <w:rPr>
          <w:rFonts w:ascii="Times New Roman" w:hAnsi="Times New Roman" w:cs="Times New Roman"/>
          <w:sz w:val="28"/>
          <w:szCs w:val="28"/>
          <w:lang w:val="en-US"/>
        </w:rPr>
        <w:t>Ukrainian crisis</w:t>
      </w:r>
      <w:r w:rsidRPr="0BE2D7A4">
        <w:rPr>
          <w:rFonts w:ascii="Times New Roman" w:hAnsi="Times New Roman" w:cs="Times New Roman"/>
          <w:sz w:val="28"/>
          <w:szCs w:val="28"/>
          <w:lang w:val="en-US"/>
        </w:rPr>
        <w:t xml:space="preserve"> the EU has stopped the supply of natural gas from Russia, it is reasonable to expect the EU to intensify efforts to establish quality relations with a region that is rich in energy resources, stable and, at the same time, outside of direct conflict zones</w:t>
      </w:r>
      <w:r w:rsidR="6F525D75" w:rsidRPr="0BE2D7A4">
        <w:rPr>
          <w:rFonts w:ascii="Times New Roman" w:hAnsi="Times New Roman" w:cs="Times New Roman"/>
          <w:sz w:val="28"/>
          <w:szCs w:val="28"/>
          <w:lang w:val="en-US"/>
        </w:rPr>
        <w:t xml:space="preserve">. </w:t>
      </w:r>
      <w:r w:rsidRPr="0BE2D7A4">
        <w:rPr>
          <w:rFonts w:ascii="Times New Roman" w:hAnsi="Times New Roman" w:cs="Times New Roman"/>
          <w:sz w:val="28"/>
          <w:szCs w:val="28"/>
          <w:lang w:val="en-US"/>
        </w:rPr>
        <w:t>That region is Central Asia.</w:t>
      </w:r>
      <w:r w:rsidRPr="00BE02A5">
        <w:rPr>
          <w:lang w:val="en-US"/>
        </w:rPr>
        <w:tab/>
      </w:r>
      <w:r w:rsidR="155010CB" w:rsidRPr="120AEEC1">
        <w:rPr>
          <w:rFonts w:ascii="Times New Roman" w:hAnsi="Times New Roman" w:cs="Times New Roman"/>
          <w:sz w:val="28"/>
          <w:szCs w:val="28"/>
          <w:lang w:val="en-US"/>
        </w:rPr>
        <w:t xml:space="preserve">The EU-Central Asia </w:t>
      </w:r>
      <w:r w:rsidR="38A6BE0B" w:rsidRPr="120AEEC1">
        <w:rPr>
          <w:rFonts w:ascii="Times New Roman" w:hAnsi="Times New Roman" w:cs="Times New Roman"/>
          <w:sz w:val="28"/>
          <w:szCs w:val="28"/>
          <w:lang w:val="en-US"/>
        </w:rPr>
        <w:t>s</w:t>
      </w:r>
      <w:r w:rsidR="155010CB" w:rsidRPr="120AEEC1">
        <w:rPr>
          <w:rFonts w:ascii="Times New Roman" w:hAnsi="Times New Roman" w:cs="Times New Roman"/>
          <w:sz w:val="28"/>
          <w:szCs w:val="28"/>
          <w:lang w:val="en-US"/>
        </w:rPr>
        <w:t>trategy, which sets the framework for stronger cooperation and greater regional integration, was updated in 2019.</w:t>
      </w:r>
      <w:r w:rsidR="3A3C3700" w:rsidRPr="120AEEC1">
        <w:rPr>
          <w:rFonts w:ascii="Times New Roman" w:hAnsi="Times New Roman" w:cs="Times New Roman"/>
          <w:sz w:val="28"/>
          <w:szCs w:val="28"/>
          <w:lang w:val="en-US"/>
        </w:rPr>
        <w:t xml:space="preserve"> </w:t>
      </w:r>
      <w:r w:rsidR="155010CB" w:rsidRPr="120AEEC1">
        <w:rPr>
          <w:rFonts w:ascii="Times New Roman" w:hAnsi="Times New Roman" w:cs="Times New Roman"/>
          <w:sz w:val="28"/>
          <w:szCs w:val="28"/>
          <w:lang w:val="en-US"/>
        </w:rPr>
        <w:t>Building on this long-standing cooperation and in the name of making Central Asia a region with strong interconnections and a favourable environment for investment, trade and private sector development, the EU launched three ambitious multi-annual programmes in 2019, to support the rule of law, trade, investment and growth in the region.</w:t>
      </w:r>
    </w:p>
    <w:p w14:paraId="1F1BD45F" w14:textId="77777777" w:rsidR="00DD07CF" w:rsidRDefault="4ECD8401" w:rsidP="0BE2D7A4">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4AB94E01">
        <w:rPr>
          <w:rFonts w:ascii="Times New Roman" w:hAnsi="Times New Roman" w:cs="Times New Roman"/>
          <w:b/>
          <w:bCs/>
          <w:sz w:val="28"/>
          <w:szCs w:val="28"/>
          <w:lang w:val="en-US"/>
        </w:rPr>
        <w:t>relevance</w:t>
      </w:r>
      <w:r>
        <w:rPr>
          <w:rFonts w:ascii="Times New Roman" w:hAnsi="Times New Roman" w:cs="Times New Roman"/>
          <w:sz w:val="28"/>
          <w:szCs w:val="28"/>
          <w:lang w:val="en-US"/>
        </w:rPr>
        <w:t xml:space="preserve"> of this study is primarily due to </w:t>
      </w:r>
      <w:r w:rsidR="5D0B8A69">
        <w:rPr>
          <w:rFonts w:ascii="Times New Roman" w:hAnsi="Times New Roman" w:cs="Times New Roman"/>
          <w:sz w:val="28"/>
          <w:szCs w:val="28"/>
          <w:lang w:val="en-US"/>
        </w:rPr>
        <w:t xml:space="preserve">a number of significant factors that have affected the EU-CA cooperation </w:t>
      </w:r>
      <w:r w:rsidR="194D21B7">
        <w:rPr>
          <w:rFonts w:ascii="Times New Roman" w:hAnsi="Times New Roman" w:cs="Times New Roman"/>
          <w:sz w:val="28"/>
          <w:szCs w:val="28"/>
          <w:lang w:val="en-US"/>
        </w:rPr>
        <w:t>in the framework of this Strategy.</w:t>
      </w:r>
      <w:r w:rsidR="5BAFF325" w:rsidRPr="0BE2D7A4">
        <w:rPr>
          <w:rFonts w:ascii="Times New Roman" w:hAnsi="Times New Roman" w:cs="Times New Roman"/>
          <w:sz w:val="28"/>
          <w:szCs w:val="28"/>
          <w:lang w:val="en-US"/>
        </w:rPr>
        <w:t xml:space="preserve"> Following the COVID-19 pandemic, and with the outbreak of the Ukrainian crisis, Europe faced problems in ensuring energy security, which were further complicated by its decision to stop importing natural gas from the Russian Federation.</w:t>
      </w:r>
      <w:r w:rsidR="2CA9091F">
        <w:rPr>
          <w:rFonts w:ascii="Times New Roman" w:hAnsi="Times New Roman" w:cs="Times New Roman"/>
          <w:sz w:val="28"/>
          <w:szCs w:val="28"/>
          <w:lang w:val="en-US"/>
        </w:rPr>
        <w:t xml:space="preserve"> </w:t>
      </w:r>
      <w:r w:rsidR="003C7EEF">
        <w:rPr>
          <w:rFonts w:ascii="Times New Roman" w:hAnsi="Times New Roman" w:cs="Times New Roman"/>
          <w:sz w:val="28"/>
          <w:szCs w:val="28"/>
          <w:lang w:val="en-US"/>
        </w:rPr>
        <w:t>Thus,</w:t>
      </w:r>
      <w:r w:rsidR="4BD2E501">
        <w:rPr>
          <w:rFonts w:ascii="Times New Roman" w:hAnsi="Times New Roman" w:cs="Times New Roman"/>
          <w:sz w:val="28"/>
          <w:szCs w:val="28"/>
          <w:lang w:val="en-US"/>
        </w:rPr>
        <w:t xml:space="preserve"> we </w:t>
      </w:r>
      <w:r w:rsidR="00182A13">
        <w:rPr>
          <w:rFonts w:ascii="Times New Roman" w:hAnsi="Times New Roman" w:cs="Times New Roman"/>
          <w:sz w:val="28"/>
          <w:szCs w:val="28"/>
          <w:lang w:val="en-US"/>
        </w:rPr>
        <w:t>consider</w:t>
      </w:r>
      <w:r w:rsidR="4BD2E501">
        <w:rPr>
          <w:rFonts w:ascii="Times New Roman" w:hAnsi="Times New Roman" w:cs="Times New Roman"/>
          <w:sz w:val="28"/>
          <w:szCs w:val="28"/>
          <w:lang w:val="en-US"/>
        </w:rPr>
        <w:t xml:space="preserve"> that it is crucial to examine </w:t>
      </w:r>
      <w:r w:rsidR="7CD2574E">
        <w:rPr>
          <w:rFonts w:ascii="Times New Roman" w:hAnsi="Times New Roman" w:cs="Times New Roman"/>
          <w:sz w:val="28"/>
          <w:szCs w:val="28"/>
          <w:lang w:val="en-US"/>
        </w:rPr>
        <w:t>the cooperation between two regions from this period</w:t>
      </w:r>
      <w:r w:rsidR="2E3CCAB6">
        <w:rPr>
          <w:rFonts w:ascii="Times New Roman" w:hAnsi="Times New Roman" w:cs="Times New Roman"/>
          <w:sz w:val="28"/>
          <w:szCs w:val="28"/>
          <w:lang w:val="en-US"/>
        </w:rPr>
        <w:t xml:space="preserve"> to 2024, when the Strategy of 2019 logically came to the end.</w:t>
      </w:r>
      <w:r w:rsidR="4BD2E501">
        <w:rPr>
          <w:rFonts w:ascii="Times New Roman" w:hAnsi="Times New Roman" w:cs="Times New Roman"/>
          <w:sz w:val="28"/>
          <w:szCs w:val="28"/>
          <w:lang w:val="en-US"/>
        </w:rPr>
        <w:t xml:space="preserve"> </w:t>
      </w:r>
      <w:r w:rsidR="2669D60C">
        <w:rPr>
          <w:rFonts w:ascii="Times New Roman" w:hAnsi="Times New Roman" w:cs="Times New Roman"/>
          <w:sz w:val="28"/>
          <w:szCs w:val="28"/>
          <w:lang w:val="en-US"/>
        </w:rPr>
        <w:t xml:space="preserve"> </w:t>
      </w:r>
      <w:r w:rsidR="2669D60C" w:rsidRPr="435B5D28">
        <w:rPr>
          <w:rFonts w:ascii="Times New Roman" w:hAnsi="Times New Roman" w:cs="Times New Roman"/>
          <w:sz w:val="28"/>
          <w:szCs w:val="28"/>
          <w:lang w:val="en-US"/>
        </w:rPr>
        <w:t xml:space="preserve">Moreover, </w:t>
      </w:r>
      <w:r w:rsidRPr="435B5D28">
        <w:rPr>
          <w:rFonts w:ascii="Times New Roman" w:hAnsi="Times New Roman" w:cs="Times New Roman"/>
          <w:sz w:val="28"/>
          <w:szCs w:val="28"/>
          <w:lang w:val="en-US"/>
        </w:rPr>
        <w:t>the growing geopolitical importance of Central Asia and the need to strengthen the strategic partnership of the region with the European Union, taking into account current global trends and challenges of various nature.</w:t>
      </w:r>
    </w:p>
    <w:p w14:paraId="78B701F5" w14:textId="77777777" w:rsidR="00C7224C" w:rsidRPr="008E6865" w:rsidRDefault="00D701F5" w:rsidP="00D701F5">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7BFC0A0C" w:rsidRPr="0BE2D7A4">
        <w:rPr>
          <w:rFonts w:ascii="Times New Roman" w:hAnsi="Times New Roman" w:cs="Times New Roman"/>
          <w:sz w:val="28"/>
          <w:szCs w:val="28"/>
          <w:lang w:val="en-US"/>
        </w:rPr>
        <w:t xml:space="preserve">Since the adoption of the EU Strategy for Central Asia in 2019, the region has been affected by significant external factors, such as Russia’s illegal war of aggression against Ukraine, the Taliban takeover of Afghanistan and China’s increasingly assertive foreign policy, as well as internal instability, notably violent unrest in Kazakhstan in January 2022, brutal repression following Pamiri protests in Tajikistan’s Gorno-Badakhshan Autonomous Region in November 2021 and May 2022 and in the Republic of Karakalpakstan, Uzbekistan, in July 2022, as well as repeated clashes on the Kyrgyz-Tajik border. Thus, it is relevant to examine the outcomes of the Strategy and what role this Strategy played on cohesion of Central Asian states. </w:t>
      </w:r>
      <w:r w:rsidR="5CAB802C" w:rsidRPr="0BE2D7A4">
        <w:rPr>
          <w:rFonts w:ascii="Times New Roman" w:hAnsi="Times New Roman" w:cs="Times New Roman"/>
          <w:sz w:val="28"/>
          <w:szCs w:val="28"/>
          <w:lang w:val="en-US"/>
        </w:rPr>
        <w:t>Rethinking the EU's foreign policy in relation to the region, identifying both its strong and less effective sides, followed by an analysis of the causes of these phenomena, is designed to help discover new opportunities for effective interaction.</w:t>
      </w:r>
    </w:p>
    <w:p w14:paraId="42F663BB" w14:textId="77777777" w:rsidR="00C7224C" w:rsidRPr="00C7224C" w:rsidRDefault="0BE2D7A4" w:rsidP="00C7224C">
      <w:pPr>
        <w:spacing w:after="0" w:line="240" w:lineRule="auto"/>
        <w:ind w:firstLine="709"/>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Among the main factors contributing to the preservation and strengthening of the interest of the European Union in Central Asia, the following stand out:</w:t>
      </w:r>
    </w:p>
    <w:p w14:paraId="6814CD05" w14:textId="77777777" w:rsidR="00C7224C" w:rsidRPr="00C7224C" w:rsidRDefault="00C7224C" w:rsidP="00C7224C">
      <w:pPr>
        <w:spacing w:after="0" w:line="240" w:lineRule="auto"/>
        <w:ind w:firstLine="709"/>
        <w:jc w:val="both"/>
        <w:rPr>
          <w:rFonts w:ascii="Times New Roman" w:hAnsi="Times New Roman" w:cs="Times New Roman"/>
          <w:sz w:val="28"/>
          <w:szCs w:val="28"/>
          <w:lang w:val="en-US"/>
        </w:rPr>
      </w:pPr>
      <w:r w:rsidRPr="00C7224C">
        <w:rPr>
          <w:rFonts w:ascii="Times New Roman" w:hAnsi="Times New Roman" w:cs="Times New Roman"/>
          <w:sz w:val="28"/>
          <w:szCs w:val="28"/>
          <w:lang w:val="en-US"/>
        </w:rPr>
        <w:t xml:space="preserve">- </w:t>
      </w:r>
      <w:r w:rsidR="0BE2D7A4" w:rsidRPr="00C7224C">
        <w:rPr>
          <w:rFonts w:ascii="Times New Roman" w:hAnsi="Times New Roman" w:cs="Times New Roman"/>
          <w:sz w:val="28"/>
          <w:szCs w:val="28"/>
          <w:lang w:val="en-US"/>
        </w:rPr>
        <w:t>the geostrategic position of the region, located at the crossroads of the geopolitical interests of world powers</w:t>
      </w:r>
      <w:r w:rsidRPr="00C7224C">
        <w:rPr>
          <w:rFonts w:ascii="Times New Roman" w:hAnsi="Times New Roman" w:cs="Times New Roman"/>
          <w:sz w:val="28"/>
          <w:szCs w:val="28"/>
          <w:lang w:val="en-US"/>
        </w:rPr>
        <w:t>;</w:t>
      </w:r>
    </w:p>
    <w:p w14:paraId="199F6B2E" w14:textId="77777777" w:rsidR="00C7224C" w:rsidRPr="00C7224C" w:rsidRDefault="00C7224C" w:rsidP="00C7224C">
      <w:pPr>
        <w:spacing w:after="0" w:line="240" w:lineRule="auto"/>
        <w:ind w:firstLine="709"/>
        <w:jc w:val="both"/>
        <w:rPr>
          <w:rFonts w:ascii="Times New Roman" w:hAnsi="Times New Roman" w:cs="Times New Roman"/>
          <w:sz w:val="28"/>
          <w:szCs w:val="28"/>
          <w:lang w:val="en-US"/>
        </w:rPr>
      </w:pPr>
      <w:r w:rsidRPr="00C7224C">
        <w:rPr>
          <w:rFonts w:ascii="Times New Roman" w:hAnsi="Times New Roman" w:cs="Times New Roman"/>
          <w:sz w:val="28"/>
          <w:szCs w:val="28"/>
          <w:lang w:val="en-US"/>
        </w:rPr>
        <w:t xml:space="preserve">- </w:t>
      </w:r>
      <w:r w:rsidR="0BE2D7A4" w:rsidRPr="00C7224C">
        <w:rPr>
          <w:rFonts w:ascii="Times New Roman" w:hAnsi="Times New Roman" w:cs="Times New Roman"/>
          <w:sz w:val="28"/>
          <w:szCs w:val="28"/>
          <w:lang w:val="en-US"/>
        </w:rPr>
        <w:t>a small geographical area is already a super-concentrated multipolarity or a very dense concentration of a number of powers and major geopolitical players, such as Russia, the USA, China, Iran, Turkey, India, Japan, South Korea, etc.;</w:t>
      </w:r>
    </w:p>
    <w:p w14:paraId="5C24204E" w14:textId="77777777" w:rsidR="00C7224C" w:rsidRPr="00C7224C" w:rsidRDefault="00C7224C" w:rsidP="00C7224C">
      <w:pPr>
        <w:spacing w:after="0" w:line="240" w:lineRule="auto"/>
        <w:ind w:firstLine="709"/>
        <w:jc w:val="both"/>
        <w:rPr>
          <w:rFonts w:ascii="Times New Roman" w:hAnsi="Times New Roman" w:cs="Times New Roman"/>
          <w:sz w:val="28"/>
          <w:szCs w:val="28"/>
          <w:lang w:val="en-US"/>
        </w:rPr>
      </w:pPr>
      <w:r w:rsidRPr="00C7224C">
        <w:rPr>
          <w:rFonts w:ascii="Times New Roman" w:hAnsi="Times New Roman" w:cs="Times New Roman"/>
          <w:sz w:val="28"/>
          <w:szCs w:val="28"/>
          <w:lang w:val="en-US"/>
        </w:rPr>
        <w:t xml:space="preserve">- </w:t>
      </w:r>
      <w:r w:rsidR="0BE2D7A4" w:rsidRPr="00C7224C">
        <w:rPr>
          <w:rFonts w:ascii="Times New Roman" w:hAnsi="Times New Roman" w:cs="Times New Roman"/>
          <w:sz w:val="28"/>
          <w:szCs w:val="28"/>
          <w:lang w:val="en-US"/>
        </w:rPr>
        <w:t>high transit potential of Central Asia for trade flows between Europe and Asia;</w:t>
      </w:r>
    </w:p>
    <w:p w14:paraId="44E3B6DF" w14:textId="77777777" w:rsidR="00C7224C" w:rsidRPr="00C7224C" w:rsidRDefault="00C7224C" w:rsidP="00C7224C">
      <w:pPr>
        <w:spacing w:after="0" w:line="240" w:lineRule="auto"/>
        <w:ind w:firstLine="709"/>
        <w:jc w:val="both"/>
        <w:rPr>
          <w:rFonts w:ascii="Times New Roman" w:hAnsi="Times New Roman" w:cs="Times New Roman"/>
          <w:sz w:val="28"/>
          <w:szCs w:val="28"/>
          <w:lang w:val="en-US"/>
        </w:rPr>
      </w:pPr>
      <w:r w:rsidRPr="00C7224C">
        <w:rPr>
          <w:rFonts w:ascii="Times New Roman" w:hAnsi="Times New Roman" w:cs="Times New Roman"/>
          <w:sz w:val="28"/>
          <w:szCs w:val="28"/>
          <w:lang w:val="en-US"/>
        </w:rPr>
        <w:t xml:space="preserve">- </w:t>
      </w:r>
      <w:r w:rsidR="0BE2D7A4" w:rsidRPr="00C7224C">
        <w:rPr>
          <w:rFonts w:ascii="Times New Roman" w:hAnsi="Times New Roman" w:cs="Times New Roman"/>
          <w:sz w:val="28"/>
          <w:szCs w:val="28"/>
          <w:lang w:val="en-US"/>
        </w:rPr>
        <w:t>the presence in Central Asia, especially in Kazakhstan and Turkmenistan, of significant energy and natural resource potential (especially hydrocarbons);</w:t>
      </w:r>
    </w:p>
    <w:p w14:paraId="2EFA1C37" w14:textId="77777777" w:rsidR="622A9BF4" w:rsidRPr="00C7224C" w:rsidRDefault="00C7224C" w:rsidP="00C7224C">
      <w:pPr>
        <w:spacing w:after="0" w:line="240" w:lineRule="auto"/>
        <w:ind w:firstLine="709"/>
        <w:jc w:val="both"/>
        <w:rPr>
          <w:rFonts w:ascii="Times New Roman" w:hAnsi="Times New Roman" w:cs="Times New Roman"/>
          <w:sz w:val="28"/>
          <w:szCs w:val="28"/>
          <w:lang w:val="en-US"/>
        </w:rPr>
      </w:pPr>
      <w:r w:rsidRPr="00C7224C">
        <w:rPr>
          <w:rFonts w:ascii="Times New Roman" w:hAnsi="Times New Roman" w:cs="Times New Roman"/>
          <w:sz w:val="28"/>
          <w:szCs w:val="28"/>
          <w:lang w:val="en-US"/>
        </w:rPr>
        <w:t xml:space="preserve">- </w:t>
      </w:r>
      <w:r w:rsidR="155010CB" w:rsidRPr="00C7224C">
        <w:rPr>
          <w:rFonts w:ascii="Times New Roman" w:hAnsi="Times New Roman" w:cs="Times New Roman"/>
          <w:sz w:val="28"/>
          <w:szCs w:val="28"/>
          <w:lang w:val="en-US"/>
        </w:rPr>
        <w:t>the close proximity of the Central Asian states to Afghanistan, which increases the risks of spreading security threats in the region (terrorism, religious extremism, drug trafficking, etc.) and large-scale transit migration (especially against the background of the crisis that arose in the summer of 2021 in connection with the arrival of to the power of the Taliban).</w:t>
      </w:r>
    </w:p>
    <w:p w14:paraId="57B7062D" w14:textId="77777777" w:rsidR="622A9BF4" w:rsidRDefault="0E820122" w:rsidP="0BE2D7A4">
      <w:pPr>
        <w:tabs>
          <w:tab w:val="left" w:pos="5966"/>
        </w:tabs>
        <w:spacing w:after="0" w:line="240" w:lineRule="auto"/>
        <w:ind w:firstLine="708"/>
        <w:contextualSpacing/>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The dissertation work is devoted to the study of the stages of the evolutionary development of the policy and strategy of the European Union in relation to the Central Asian region, their impact on Kazakhstan and the Central Asian states, the definition and disclosure of interaction mechanisms, the identification of trends, as well as promising areas of cooperation in the context of a changing balance of power in the global system of international relations, in general, and Central Asia itself in particular. At each of these stages, the EU faced the need to achieve certain goals related both to the development of priority areas of cooperation and geopolitical issues. </w:t>
      </w:r>
      <w:r w:rsidR="7BAB817D" w:rsidRPr="0BE2D7A4">
        <w:rPr>
          <w:rFonts w:ascii="Times New Roman" w:hAnsi="Times New Roman" w:cs="Times New Roman"/>
          <w:sz w:val="28"/>
          <w:szCs w:val="28"/>
          <w:lang w:val="en-US"/>
        </w:rPr>
        <w:t>As o</w:t>
      </w:r>
      <w:r w:rsidRPr="0BE2D7A4">
        <w:rPr>
          <w:rFonts w:ascii="Times New Roman" w:hAnsi="Times New Roman" w:cs="Times New Roman"/>
          <w:sz w:val="28"/>
          <w:szCs w:val="28"/>
          <w:lang w:val="en-US"/>
        </w:rPr>
        <w:t>ne of the tasks set before the EU policy in Central Asia is the development of intra-regional integration</w:t>
      </w:r>
      <w:r w:rsidR="4A22BE6A" w:rsidRPr="0BE2D7A4">
        <w:rPr>
          <w:rFonts w:ascii="Times New Roman" w:hAnsi="Times New Roman" w:cs="Times New Roman"/>
          <w:sz w:val="28"/>
          <w:szCs w:val="28"/>
          <w:lang w:val="en-US"/>
        </w:rPr>
        <w:t>, it is important to examine cohesion of Central Asian states</w:t>
      </w:r>
      <w:r w:rsidR="22B962E3" w:rsidRPr="0BE2D7A4">
        <w:rPr>
          <w:rFonts w:ascii="Times New Roman" w:hAnsi="Times New Roman" w:cs="Times New Roman"/>
          <w:sz w:val="28"/>
          <w:szCs w:val="28"/>
          <w:lang w:val="en-US"/>
        </w:rPr>
        <w:t>.</w:t>
      </w:r>
      <w:r w:rsidRPr="0BE2D7A4">
        <w:rPr>
          <w:rFonts w:ascii="Times New Roman" w:hAnsi="Times New Roman" w:cs="Times New Roman"/>
          <w:sz w:val="28"/>
          <w:szCs w:val="28"/>
          <w:lang w:val="en-US"/>
        </w:rPr>
        <w:t xml:space="preserve"> Brussels sought to transfer its positive experience of European integration to the Central Asian region and use significant funds to implement this task, believing that this would help solve the problems of the countries of the region.</w:t>
      </w:r>
    </w:p>
    <w:p w14:paraId="0D5F2955" w14:textId="77777777" w:rsidR="00DD07CF" w:rsidRDefault="0BE2D7A4" w:rsidP="0BE2D7A4">
      <w:pPr>
        <w:tabs>
          <w:tab w:val="left" w:pos="5966"/>
        </w:tabs>
        <w:spacing w:after="0" w:line="240" w:lineRule="auto"/>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       The policy of the European Union in relation to the region is built through the implementation of relevant program documents (strategies) that define the range of tasks achieved with the help of appropriate mechanisms and tools. The main tools for the practical implementation of strategies are country and regional programs.</w:t>
      </w:r>
    </w:p>
    <w:p w14:paraId="0F37824E" w14:textId="77777777" w:rsidR="00DD07CF" w:rsidRDefault="26C5F4A1" w:rsidP="0BE2D7A4">
      <w:pPr>
        <w:tabs>
          <w:tab w:val="left" w:pos="5966"/>
        </w:tabs>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Moreover, </w:t>
      </w:r>
      <w:r w:rsidR="7BFC0A0C" w:rsidRPr="0BE2D7A4">
        <w:rPr>
          <w:rFonts w:ascii="Times New Roman" w:hAnsi="Times New Roman" w:cs="Times New Roman"/>
          <w:sz w:val="28"/>
          <w:szCs w:val="28"/>
          <w:lang w:val="en-US"/>
        </w:rPr>
        <w:t>Kazakhstan was the first of the Central Asian countries in February 1993 to establish diplomatic relations with the European Union. Here, in November 1994, the EU opened its first representative office in the region. In addition, the Republic of Kazakhstan became the first country in Central Asia with which the European Union on January 23, 1995 signed an agreement on partnership and cooperation. Taking into account the political, economic and social transformations that have taken place over 20 years, on December 21, 2015, the parties signed a fundamentally new Agreement on Enhanced Partnership and Cooperation. It should be noted that the EU is the largest investor and trade partner of Kazakhstan.</w:t>
      </w:r>
    </w:p>
    <w:p w14:paraId="4E7E1E9C" w14:textId="77777777" w:rsidR="00DD07CF" w:rsidRDefault="0BE2D7A4" w:rsidP="0BE2D7A4">
      <w:pPr>
        <w:tabs>
          <w:tab w:val="left" w:pos="5966"/>
        </w:tabs>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The official visit of the President of the Republic of Kazakhstan K. Tokayev to Brussels in November 2021 gave a powerful impetus to strengthening strategic partnerships between Kazakhstan and the European Union and opened up new avenues for in-depth interaction.</w:t>
      </w:r>
    </w:p>
    <w:p w14:paraId="64E924AF" w14:textId="77777777" w:rsidR="00DD07CF" w:rsidRDefault="0BE2D7A4" w:rsidP="0BE2D7A4">
      <w:pPr>
        <w:tabs>
          <w:tab w:val="left" w:pos="5966"/>
        </w:tabs>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Having developed the Joint Communique “The European Union and Central Asia: New Opportunities for a Stronger Partnership” [</w:t>
      </w:r>
      <w:r w:rsidR="7EF14AA2" w:rsidRPr="0BE2D7A4">
        <w:rPr>
          <w:rFonts w:ascii="Times New Roman" w:hAnsi="Times New Roman" w:cs="Times New Roman"/>
          <w:sz w:val="28"/>
          <w:szCs w:val="28"/>
          <w:lang w:val="en-US"/>
        </w:rPr>
        <w:t>1</w:t>
      </w:r>
      <w:r w:rsidRPr="0BE2D7A4">
        <w:rPr>
          <w:rFonts w:ascii="Times New Roman" w:hAnsi="Times New Roman" w:cs="Times New Roman"/>
          <w:sz w:val="28"/>
          <w:szCs w:val="28"/>
          <w:lang w:val="en-US"/>
        </w:rPr>
        <w:t>], which entered into force on June 17, 2019 after the adoption of the relevant conclusions of the EU Council</w:t>
      </w:r>
      <w:r w:rsidR="74C67A22" w:rsidRPr="0BE2D7A4">
        <w:rPr>
          <w:rFonts w:ascii="Times New Roman" w:hAnsi="Times New Roman" w:cs="Times New Roman"/>
          <w:sz w:val="28"/>
          <w:szCs w:val="28"/>
          <w:lang w:val="en-US"/>
        </w:rPr>
        <w:t xml:space="preserve"> [2]</w:t>
      </w:r>
      <w:r w:rsidRPr="0BE2D7A4">
        <w:rPr>
          <w:rFonts w:ascii="Times New Roman" w:hAnsi="Times New Roman" w:cs="Times New Roman"/>
          <w:sz w:val="28"/>
          <w:szCs w:val="28"/>
          <w:lang w:val="en-US"/>
        </w:rPr>
        <w:t>, which de facto became the new EU Strategy for Central Asia, Europeans are demonstrating their readiness to initiate and pursue, taking into account the proposals of the Central Asian countries, a policy aimed at expanding interaction with the region.</w:t>
      </w:r>
    </w:p>
    <w:p w14:paraId="474E3894" w14:textId="77777777" w:rsidR="00DD07CF" w:rsidRDefault="008E6865" w:rsidP="0BE2D7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BE2D7A4">
        <w:rPr>
          <w:rFonts w:ascii="Times New Roman" w:hAnsi="Times New Roman" w:cs="Times New Roman"/>
          <w:sz w:val="28"/>
          <w:szCs w:val="28"/>
          <w:lang w:val="en-US"/>
        </w:rPr>
        <w:t>The Central Asian states, in turn, are interested in the high-quality implementation of the Strategy as a driver of interregional and intraregional cooperation, as well as an additional tool for ensuring the sustainable development of the region and each country individually.</w:t>
      </w:r>
    </w:p>
    <w:p w14:paraId="7D8800FC" w14:textId="77777777" w:rsidR="00DD07CF" w:rsidRDefault="148738CA" w:rsidP="0BE2D7A4">
      <w:pPr>
        <w:tabs>
          <w:tab w:val="left" w:pos="5966"/>
        </w:tabs>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However, w</w:t>
      </w:r>
      <w:r w:rsidR="155010CB" w:rsidRPr="0BE2D7A4">
        <w:rPr>
          <w:rFonts w:ascii="Times New Roman" w:hAnsi="Times New Roman" w:cs="Times New Roman"/>
          <w:sz w:val="28"/>
          <w:szCs w:val="28"/>
          <w:lang w:val="en-US"/>
        </w:rPr>
        <w:t xml:space="preserve">e can no longer call the EU Strategy of </w:t>
      </w:r>
      <w:r w:rsidR="003C7EEF" w:rsidRPr="0BE2D7A4">
        <w:rPr>
          <w:rFonts w:ascii="Times New Roman" w:hAnsi="Times New Roman" w:cs="Times New Roman"/>
          <w:sz w:val="28"/>
          <w:szCs w:val="28"/>
          <w:lang w:val="en-US"/>
        </w:rPr>
        <w:t>2019</w:t>
      </w:r>
      <w:r w:rsidR="155010CB" w:rsidRPr="0BE2D7A4">
        <w:rPr>
          <w:rFonts w:ascii="Times New Roman" w:hAnsi="Times New Roman" w:cs="Times New Roman"/>
          <w:sz w:val="28"/>
          <w:szCs w:val="28"/>
          <w:lang w:val="en-US"/>
        </w:rPr>
        <w:t xml:space="preserve"> a new one. No </w:t>
      </w:r>
      <w:r w:rsidR="003C7EEF" w:rsidRPr="0BE2D7A4">
        <w:rPr>
          <w:rFonts w:ascii="Times New Roman" w:hAnsi="Times New Roman" w:cs="Times New Roman"/>
          <w:sz w:val="28"/>
          <w:szCs w:val="28"/>
          <w:lang w:val="en-US"/>
        </w:rPr>
        <w:t>doubt,</w:t>
      </w:r>
      <w:r w:rsidR="155010CB" w:rsidRPr="0BE2D7A4">
        <w:rPr>
          <w:rFonts w:ascii="Times New Roman" w:hAnsi="Times New Roman" w:cs="Times New Roman"/>
          <w:sz w:val="28"/>
          <w:szCs w:val="28"/>
          <w:lang w:val="en-US"/>
        </w:rPr>
        <w:t xml:space="preserve"> the EU tried to learn from the outcomes of the previous Strategy and enhanced the Strategy of 2019. However, after five years of the Strategy implementation, we have to agree that the Strategy does not correspond to the nowadays realities and it is outdated. On the other hand, we can view a whole historical process of EU trying to be one of the dominating actors in Central Asian region.</w:t>
      </w:r>
    </w:p>
    <w:p w14:paraId="013B4E45" w14:textId="77777777" w:rsidR="00DD07CF" w:rsidRDefault="008E6865" w:rsidP="0BE2D7A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44FB6B1F">
        <w:rPr>
          <w:rFonts w:ascii="Times New Roman" w:hAnsi="Times New Roman" w:cs="Times New Roman"/>
          <w:b/>
          <w:bCs/>
          <w:sz w:val="28"/>
          <w:szCs w:val="28"/>
          <w:lang w:val="en-US"/>
        </w:rPr>
        <w:t>The chronological framework of the study</w:t>
      </w:r>
      <w:r w:rsidR="44FB6B1F">
        <w:rPr>
          <w:rFonts w:ascii="Times New Roman" w:hAnsi="Times New Roman" w:cs="Times New Roman"/>
          <w:sz w:val="28"/>
          <w:szCs w:val="28"/>
          <w:lang w:val="en-US"/>
        </w:rPr>
        <w:t xml:space="preserve"> is determined by the purpose and objectives of this study. The work covers the period from 1991 to 2024, which makes it possible to analyze the modernization of the EU foreign policy in the Central Asian direction: from the first EU assistance programs to conceptual documents of a strategic nature. When we talk about the foreign policy strategy of the European Union as a unique global actor in relation to Central Asia, we mean a conceptual plan of well-thought-out and interconnected measures of the European integration association to achieve its long-term goals in the most effective and least expensive way in relation to the five Asian republics formed after the collapse of the USSR – Kazakhstan, Kyrgyzstan, Tajikistan, Turkmenistan and Uzbekistan. The strategy is supplemented by multi-year regional indicative programs. Since 1991, the formation and development of the EU strategy in Central Asia has gone through several important stages.</w:t>
      </w:r>
      <w:r w:rsidR="537EBCD7">
        <w:rPr>
          <w:rFonts w:ascii="Times New Roman" w:hAnsi="Times New Roman" w:cs="Times New Roman"/>
          <w:sz w:val="28"/>
          <w:szCs w:val="28"/>
          <w:lang w:val="en-US"/>
        </w:rPr>
        <w:t xml:space="preserve"> Moreover, </w:t>
      </w:r>
      <w:r w:rsidR="2F1E803A">
        <w:rPr>
          <w:rFonts w:ascii="Times New Roman" w:hAnsi="Times New Roman" w:cs="Times New Roman"/>
          <w:sz w:val="28"/>
          <w:szCs w:val="28"/>
          <w:lang w:val="en-US"/>
        </w:rPr>
        <w:t>it is</w:t>
      </w:r>
      <w:r w:rsidR="2DD4FEDC">
        <w:rPr>
          <w:rFonts w:ascii="Times New Roman" w:hAnsi="Times New Roman" w:cs="Times New Roman"/>
          <w:sz w:val="28"/>
          <w:szCs w:val="28"/>
          <w:lang w:val="en-US"/>
        </w:rPr>
        <w:t xml:space="preserve"> </w:t>
      </w:r>
      <w:r w:rsidR="544EDFE0">
        <w:rPr>
          <w:rFonts w:ascii="Times New Roman" w:hAnsi="Times New Roman" w:cs="Times New Roman"/>
          <w:sz w:val="28"/>
          <w:szCs w:val="28"/>
          <w:lang w:val="en-US"/>
        </w:rPr>
        <w:t xml:space="preserve">important </w:t>
      </w:r>
      <w:r w:rsidR="55F17C63">
        <w:rPr>
          <w:rFonts w:ascii="Times New Roman" w:hAnsi="Times New Roman" w:cs="Times New Roman"/>
          <w:sz w:val="28"/>
          <w:szCs w:val="28"/>
          <w:lang w:val="en-US"/>
        </w:rPr>
        <w:t>to highlight the c</w:t>
      </w:r>
      <w:r w:rsidR="594C440B">
        <w:rPr>
          <w:rFonts w:ascii="Times New Roman" w:hAnsi="Times New Roman" w:cs="Times New Roman"/>
          <w:sz w:val="28"/>
          <w:szCs w:val="28"/>
          <w:lang w:val="en-US"/>
        </w:rPr>
        <w:t>ooperation</w:t>
      </w:r>
      <w:r w:rsidR="5E27C261">
        <w:rPr>
          <w:rFonts w:ascii="Times New Roman" w:hAnsi="Times New Roman" w:cs="Times New Roman"/>
          <w:sz w:val="28"/>
          <w:szCs w:val="28"/>
          <w:lang w:val="en-US"/>
        </w:rPr>
        <w:t xml:space="preserve"> </w:t>
      </w:r>
      <w:r w:rsidR="0E639966">
        <w:rPr>
          <w:rFonts w:ascii="Times New Roman" w:hAnsi="Times New Roman" w:cs="Times New Roman"/>
          <w:sz w:val="28"/>
          <w:szCs w:val="28"/>
          <w:lang w:val="en-US"/>
        </w:rPr>
        <w:t>period</w:t>
      </w:r>
      <w:r w:rsidR="601E0185">
        <w:rPr>
          <w:rFonts w:ascii="Times New Roman" w:hAnsi="Times New Roman" w:cs="Times New Roman"/>
          <w:sz w:val="28"/>
          <w:szCs w:val="28"/>
          <w:lang w:val="en-US"/>
        </w:rPr>
        <w:t xml:space="preserve"> between the EU and Centra</w:t>
      </w:r>
      <w:r w:rsidR="095A7BDF">
        <w:rPr>
          <w:rFonts w:ascii="Times New Roman" w:hAnsi="Times New Roman" w:cs="Times New Roman"/>
          <w:sz w:val="28"/>
          <w:szCs w:val="28"/>
          <w:lang w:val="en-US"/>
        </w:rPr>
        <w:t xml:space="preserve">l Asian states </w:t>
      </w:r>
      <w:r w:rsidR="1CBBEF44">
        <w:rPr>
          <w:rFonts w:ascii="Times New Roman" w:hAnsi="Times New Roman" w:cs="Times New Roman"/>
          <w:sz w:val="28"/>
          <w:szCs w:val="28"/>
          <w:lang w:val="en-US"/>
        </w:rPr>
        <w:t>during</w:t>
      </w:r>
      <w:r w:rsidR="594C440B">
        <w:rPr>
          <w:rFonts w:ascii="Times New Roman" w:hAnsi="Times New Roman" w:cs="Times New Roman"/>
          <w:sz w:val="28"/>
          <w:szCs w:val="28"/>
          <w:lang w:val="en-US"/>
        </w:rPr>
        <w:t xml:space="preserve"> </w:t>
      </w:r>
      <w:r w:rsidR="55F17C63">
        <w:rPr>
          <w:rFonts w:ascii="Times New Roman" w:hAnsi="Times New Roman" w:cs="Times New Roman"/>
          <w:sz w:val="28"/>
          <w:szCs w:val="28"/>
          <w:lang w:val="en-US"/>
        </w:rPr>
        <w:t>the covid and post-covid period of time.</w:t>
      </w:r>
      <w:r w:rsidR="4FF228FF">
        <w:rPr>
          <w:rFonts w:ascii="Times New Roman" w:hAnsi="Times New Roman" w:cs="Times New Roman"/>
          <w:sz w:val="28"/>
          <w:szCs w:val="28"/>
          <w:lang w:val="en-US"/>
        </w:rPr>
        <w:t xml:space="preserve"> </w:t>
      </w:r>
      <w:r w:rsidR="49433CA1">
        <w:rPr>
          <w:rFonts w:ascii="Times New Roman" w:hAnsi="Times New Roman" w:cs="Times New Roman"/>
          <w:sz w:val="28"/>
          <w:szCs w:val="28"/>
          <w:lang w:val="en-US"/>
        </w:rPr>
        <w:t>We also considered the recent internal and external political sit</w:t>
      </w:r>
      <w:r w:rsidR="211E40B9">
        <w:rPr>
          <w:rFonts w:ascii="Times New Roman" w:hAnsi="Times New Roman" w:cs="Times New Roman"/>
          <w:sz w:val="28"/>
          <w:szCs w:val="28"/>
          <w:lang w:val="en-US"/>
        </w:rPr>
        <w:t xml:space="preserve">uations and their influence on Central Asia and cooperation between Central Asia and the EU. </w:t>
      </w:r>
    </w:p>
    <w:p w14:paraId="25EB356C" w14:textId="77777777" w:rsidR="00E95D44" w:rsidRPr="00BE02A5" w:rsidRDefault="00E95D44" w:rsidP="00E95D44">
      <w:pPr>
        <w:tabs>
          <w:tab w:val="left" w:pos="5966"/>
        </w:tabs>
        <w:spacing w:after="0" w:line="240" w:lineRule="auto"/>
        <w:ind w:firstLine="708"/>
        <w:contextualSpacing/>
        <w:jc w:val="both"/>
        <w:rPr>
          <w:rFonts w:ascii="Times New Roman" w:eastAsia="Times New Roman" w:hAnsi="Times New Roman" w:cs="Times New Roman"/>
          <w:color w:val="000000" w:themeColor="text1"/>
          <w:sz w:val="28"/>
          <w:szCs w:val="28"/>
          <w:lang w:val="en-US"/>
        </w:rPr>
      </w:pPr>
      <w:r w:rsidRPr="0BE2D7A4">
        <w:rPr>
          <w:rFonts w:ascii="Times New Roman" w:eastAsia="Times New Roman" w:hAnsi="Times New Roman" w:cs="Times New Roman"/>
          <w:color w:val="000000" w:themeColor="text1"/>
          <w:sz w:val="28"/>
          <w:szCs w:val="28"/>
          <w:lang w:val="en-US"/>
        </w:rPr>
        <w:t xml:space="preserve">The </w:t>
      </w:r>
      <w:r w:rsidRPr="0BE2D7A4">
        <w:rPr>
          <w:rFonts w:ascii="Times New Roman" w:eastAsia="Times New Roman" w:hAnsi="Times New Roman" w:cs="Times New Roman"/>
          <w:b/>
          <w:bCs/>
          <w:color w:val="000000" w:themeColor="text1"/>
          <w:sz w:val="28"/>
          <w:szCs w:val="28"/>
          <w:lang w:val="en-US"/>
        </w:rPr>
        <w:t>object</w:t>
      </w:r>
      <w:r w:rsidRPr="0BE2D7A4">
        <w:rPr>
          <w:rFonts w:ascii="Times New Roman" w:eastAsia="Times New Roman" w:hAnsi="Times New Roman" w:cs="Times New Roman"/>
          <w:color w:val="000000" w:themeColor="text1"/>
          <w:sz w:val="28"/>
          <w:szCs w:val="28"/>
          <w:lang w:val="en-US"/>
        </w:rPr>
        <w:t xml:space="preserve"> of the </w:t>
      </w:r>
      <w:r w:rsidRPr="00BE02A5">
        <w:rPr>
          <w:rFonts w:ascii="Times New Roman" w:eastAsia="Times New Roman" w:hAnsi="Times New Roman" w:cs="Times New Roman"/>
          <w:color w:val="000000" w:themeColor="text1"/>
          <w:sz w:val="28"/>
          <w:szCs w:val="28"/>
          <w:lang w:val="en-US"/>
        </w:rPr>
        <w:t>research is the cooperation between the European Union and Central Asia, with a particular focus on the factors of cohesion that influence and shape this partnership.</w:t>
      </w:r>
    </w:p>
    <w:p w14:paraId="35B9E61D" w14:textId="77777777" w:rsidR="00E95D44" w:rsidRDefault="00E95D44" w:rsidP="00E95D44">
      <w:pPr>
        <w:tabs>
          <w:tab w:val="left" w:pos="5966"/>
        </w:tabs>
        <w:spacing w:after="0" w:line="240" w:lineRule="auto"/>
        <w:ind w:firstLine="708"/>
        <w:contextualSpacing/>
        <w:jc w:val="both"/>
        <w:rPr>
          <w:rFonts w:ascii="Times New Roman" w:eastAsia="Times New Roman" w:hAnsi="Times New Roman" w:cs="Times New Roman"/>
          <w:color w:val="000000" w:themeColor="text1"/>
          <w:sz w:val="28"/>
          <w:szCs w:val="28"/>
          <w:lang w:val="en-US"/>
        </w:rPr>
      </w:pPr>
      <w:r w:rsidRPr="0BE2D7A4">
        <w:rPr>
          <w:rFonts w:ascii="Times New Roman" w:eastAsia="Times New Roman" w:hAnsi="Times New Roman" w:cs="Times New Roman"/>
          <w:color w:val="000000" w:themeColor="text1"/>
          <w:sz w:val="28"/>
          <w:szCs w:val="28"/>
          <w:lang w:val="en-US"/>
        </w:rPr>
        <w:t xml:space="preserve">The </w:t>
      </w:r>
      <w:r w:rsidRPr="0BE2D7A4">
        <w:rPr>
          <w:rFonts w:ascii="Times New Roman" w:eastAsia="Times New Roman" w:hAnsi="Times New Roman" w:cs="Times New Roman"/>
          <w:b/>
          <w:bCs/>
          <w:color w:val="000000" w:themeColor="text1"/>
          <w:sz w:val="28"/>
          <w:szCs w:val="28"/>
          <w:lang w:val="en-US"/>
        </w:rPr>
        <w:t>subject</w:t>
      </w:r>
      <w:r w:rsidRPr="0BE2D7A4">
        <w:rPr>
          <w:rFonts w:ascii="Times New Roman" w:eastAsia="Times New Roman" w:hAnsi="Times New Roman" w:cs="Times New Roman"/>
          <w:color w:val="000000" w:themeColor="text1"/>
          <w:sz w:val="28"/>
          <w:szCs w:val="28"/>
          <w:lang w:val="en-US"/>
        </w:rPr>
        <w:t xml:space="preserve"> </w:t>
      </w:r>
      <w:r w:rsidRPr="00BE02A5">
        <w:rPr>
          <w:rFonts w:ascii="Times New Roman" w:eastAsia="Times New Roman" w:hAnsi="Times New Roman" w:cs="Times New Roman"/>
          <w:color w:val="000000" w:themeColor="text1"/>
          <w:sz w:val="28"/>
          <w:szCs w:val="28"/>
          <w:lang w:val="en-US"/>
        </w:rPr>
        <w:t>of the research refers to the key factors and dynamics that contribute to cohesion in the EU-CA cooperation under the framework of the new EU Strategy for Central Asia</w:t>
      </w:r>
      <w:r w:rsidRPr="0BE2D7A4">
        <w:rPr>
          <w:rFonts w:ascii="Times New Roman" w:eastAsia="Times New Roman" w:hAnsi="Times New Roman" w:cs="Times New Roman"/>
          <w:color w:val="000000" w:themeColor="text1"/>
          <w:sz w:val="28"/>
          <w:szCs w:val="28"/>
          <w:lang w:val="en-US"/>
        </w:rPr>
        <w:t>.</w:t>
      </w:r>
    </w:p>
    <w:p w14:paraId="6C30DF9E" w14:textId="77777777" w:rsidR="00E95D44" w:rsidRDefault="00E95D44" w:rsidP="00E95D44">
      <w:pPr>
        <w:tabs>
          <w:tab w:val="left" w:pos="5966"/>
        </w:tabs>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The </w:t>
      </w:r>
      <w:r w:rsidRPr="0BE2D7A4">
        <w:rPr>
          <w:rFonts w:ascii="Times New Roman" w:hAnsi="Times New Roman" w:cs="Times New Roman"/>
          <w:b/>
          <w:bCs/>
          <w:sz w:val="28"/>
          <w:szCs w:val="28"/>
          <w:lang w:val="en-US"/>
        </w:rPr>
        <w:t xml:space="preserve">goal </w:t>
      </w:r>
      <w:r w:rsidRPr="0BE2D7A4">
        <w:rPr>
          <w:rFonts w:ascii="Times New Roman" w:hAnsi="Times New Roman" w:cs="Times New Roman"/>
          <w:sz w:val="28"/>
          <w:szCs w:val="28"/>
          <w:lang w:val="en-US"/>
        </w:rPr>
        <w:t xml:space="preserve">of the research is to analyze the factors of cohesion in the EU-Central Asia cooperation under the framework of the new EU Strategy for Central Asia (2019), focusing on how these factors contribute to the strengthening and deepening of relations between the EU and the Central Asian states. The research aims to examine the evolving nature of the EU’s policy towards Central Asia, identify the key elements that influence </w:t>
      </w:r>
      <w:r w:rsidR="003F3E7B" w:rsidRPr="0BE2D7A4">
        <w:rPr>
          <w:rFonts w:ascii="Times New Roman" w:hAnsi="Times New Roman" w:cs="Times New Roman"/>
          <w:sz w:val="28"/>
          <w:szCs w:val="28"/>
          <w:lang w:val="en-US"/>
        </w:rPr>
        <w:t>cooperation</w:t>
      </w:r>
      <w:r w:rsidRPr="0BE2D7A4">
        <w:rPr>
          <w:rFonts w:ascii="Times New Roman" w:hAnsi="Times New Roman" w:cs="Times New Roman"/>
          <w:sz w:val="28"/>
          <w:szCs w:val="28"/>
          <w:lang w:val="en-US"/>
        </w:rPr>
        <w:t xml:space="preserve">, and assess the challenges and opportunities that shape the mutual engagement between the two regions. Through this analysis, the dissertation seeks to provide a comprehensive understanding of the strategic priorities of the EU in Central Asia, the role of regional cooperation, and the factors that determine the effectiveness and sustainability of </w:t>
      </w:r>
      <w:r w:rsidR="003F3E7B" w:rsidRPr="0BE2D7A4">
        <w:rPr>
          <w:rFonts w:ascii="Times New Roman" w:hAnsi="Times New Roman" w:cs="Times New Roman"/>
          <w:sz w:val="28"/>
          <w:szCs w:val="28"/>
          <w:lang w:val="en-US"/>
        </w:rPr>
        <w:t>partnership</w:t>
      </w:r>
      <w:r w:rsidRPr="0BE2D7A4">
        <w:rPr>
          <w:rFonts w:ascii="Times New Roman" w:hAnsi="Times New Roman" w:cs="Times New Roman"/>
          <w:sz w:val="28"/>
          <w:szCs w:val="28"/>
          <w:lang w:val="en-US"/>
        </w:rPr>
        <w:t xml:space="preserve"> in the context of geopolitical, economic, and security dynamics.</w:t>
      </w:r>
    </w:p>
    <w:p w14:paraId="5473A29C" w14:textId="77777777" w:rsidR="00E95D44" w:rsidRDefault="00E95D44" w:rsidP="00E95D44">
      <w:pPr>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It is also vital to study the process of transformation of the policy and strategy of the European Union in Central Asia and to identify the factors of cohesion of the countries of Central Asia within the framework of the EU Strategy of 2019 and its influence on the region. Moreover, the research work focuses on the effectiveness of a new EU Strategy in Central Asia. It is significant to study the progress and effectiveness of EU Strategy of 2019, as the EU formulated its strategy for 2019 in consultation with Central Asian experts. As we know, Central Asia did not take part in the formation of the EU Strategy for Central Asia of 2017. </w:t>
      </w:r>
    </w:p>
    <w:p w14:paraId="5AA299EC" w14:textId="77777777" w:rsidR="003F3E7B" w:rsidRDefault="00E95D44" w:rsidP="003F3E7B">
      <w:pPr>
        <w:tabs>
          <w:tab w:val="left" w:pos="5966"/>
        </w:tabs>
        <w:spacing w:after="0" w:line="240" w:lineRule="auto"/>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           In accordance with the goal, the following </w:t>
      </w:r>
      <w:r w:rsidRPr="0BE2D7A4">
        <w:rPr>
          <w:rFonts w:ascii="Times New Roman" w:hAnsi="Times New Roman" w:cs="Times New Roman"/>
          <w:b/>
          <w:bCs/>
          <w:sz w:val="28"/>
          <w:szCs w:val="28"/>
          <w:lang w:val="en-US"/>
        </w:rPr>
        <w:t>tasks</w:t>
      </w:r>
      <w:r w:rsidRPr="0BE2D7A4">
        <w:rPr>
          <w:rFonts w:ascii="Times New Roman" w:hAnsi="Times New Roman" w:cs="Times New Roman"/>
          <w:sz w:val="28"/>
          <w:szCs w:val="28"/>
          <w:lang w:val="en-US"/>
        </w:rPr>
        <w:t xml:space="preserve"> are defined:</w:t>
      </w:r>
    </w:p>
    <w:p w14:paraId="2DD825E5" w14:textId="77777777" w:rsidR="003F3E7B" w:rsidRDefault="003F3E7B" w:rsidP="003F3E7B">
      <w:pPr>
        <w:tabs>
          <w:tab w:val="left" w:pos="5966"/>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95D44" w:rsidRPr="003F3E7B">
        <w:rPr>
          <w:rFonts w:ascii="Times New Roman" w:hAnsi="Times New Roman" w:cs="Times New Roman"/>
          <w:sz w:val="28"/>
          <w:szCs w:val="28"/>
          <w:lang w:val="en-US"/>
        </w:rPr>
        <w:t>to compare the theoretical foundations of the foreign policy of the European Union and explore the key trends in the contemporary foreign policy of the European Union;</w:t>
      </w:r>
    </w:p>
    <w:p w14:paraId="406DA5A8" w14:textId="77777777" w:rsidR="003F3E7B" w:rsidRDefault="003F3E7B" w:rsidP="003F3E7B">
      <w:pPr>
        <w:tabs>
          <w:tab w:val="left" w:pos="5966"/>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17A6D">
        <w:rPr>
          <w:rFonts w:ascii="Times New Roman" w:hAnsi="Times New Roman" w:cs="Times New Roman"/>
          <w:sz w:val="28"/>
          <w:szCs w:val="28"/>
          <w:lang w:val="en-US"/>
        </w:rPr>
        <w:t xml:space="preserve">to </w:t>
      </w:r>
      <w:r w:rsidR="00E95D44" w:rsidRPr="003F3E7B">
        <w:rPr>
          <w:rFonts w:ascii="Times New Roman" w:hAnsi="Times New Roman" w:cs="Times New Roman"/>
          <w:sz w:val="28"/>
          <w:szCs w:val="28"/>
          <w:lang w:val="en-US"/>
        </w:rPr>
        <w:t>study the process of diversification of the EU foreign policy approaches to Central Asia;</w:t>
      </w:r>
    </w:p>
    <w:p w14:paraId="31B0451F" w14:textId="77777777" w:rsidR="003F3E7B" w:rsidRDefault="003F3E7B" w:rsidP="003F3E7B">
      <w:pPr>
        <w:tabs>
          <w:tab w:val="left" w:pos="5966"/>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17A6D">
        <w:rPr>
          <w:rFonts w:ascii="Times New Roman" w:hAnsi="Times New Roman" w:cs="Times New Roman"/>
          <w:sz w:val="28"/>
          <w:szCs w:val="28"/>
          <w:lang w:val="en-US"/>
        </w:rPr>
        <w:t xml:space="preserve">to </w:t>
      </w:r>
      <w:r w:rsidR="00E95D44" w:rsidRPr="003F3E7B">
        <w:rPr>
          <w:rFonts w:ascii="Times New Roman" w:hAnsi="Times New Roman" w:cs="Times New Roman"/>
          <w:sz w:val="28"/>
          <w:szCs w:val="28"/>
          <w:lang w:val="en-US"/>
        </w:rPr>
        <w:t>conduct a comparative analysis of the EU strategies in Central Asia and the main results of their implementation (including intermediate stages);</w:t>
      </w:r>
    </w:p>
    <w:p w14:paraId="2E08C84B" w14:textId="77777777" w:rsidR="003F3E7B" w:rsidRDefault="003F3E7B" w:rsidP="003F3E7B">
      <w:pPr>
        <w:tabs>
          <w:tab w:val="left" w:pos="5966"/>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95D44" w:rsidRPr="003F3E7B">
        <w:rPr>
          <w:rFonts w:ascii="Times New Roman" w:hAnsi="Times New Roman" w:cs="Times New Roman"/>
          <w:sz w:val="28"/>
          <w:szCs w:val="28"/>
          <w:lang w:val="en-US"/>
        </w:rPr>
        <w:t>to examine the process of implementation of the EU Strategy for Central Asia of 2019 including Covid period till 2024;</w:t>
      </w:r>
    </w:p>
    <w:p w14:paraId="4A027366" w14:textId="77777777" w:rsidR="003F3E7B" w:rsidRDefault="003F3E7B" w:rsidP="003F3E7B">
      <w:pPr>
        <w:tabs>
          <w:tab w:val="left" w:pos="5966"/>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95D44" w:rsidRPr="003F3E7B">
        <w:rPr>
          <w:rFonts w:ascii="Times New Roman" w:hAnsi="Times New Roman" w:cs="Times New Roman"/>
          <w:sz w:val="28"/>
          <w:szCs w:val="28"/>
          <w:lang w:val="en-US"/>
        </w:rPr>
        <w:t xml:space="preserve">to analyze factors of Central Asia cohesion under the new EU Strategy for Central Asia and to conduct a SWOT-analysis of the Strategy. </w:t>
      </w:r>
    </w:p>
    <w:p w14:paraId="72EA67B3" w14:textId="77777777" w:rsidR="003F3E7B" w:rsidRDefault="003F3E7B" w:rsidP="003F3E7B">
      <w:pPr>
        <w:tabs>
          <w:tab w:val="left" w:pos="5966"/>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95D44" w:rsidRPr="003F3E7B">
        <w:rPr>
          <w:rFonts w:ascii="Times New Roman" w:hAnsi="Times New Roman" w:cs="Times New Roman"/>
          <w:sz w:val="28"/>
          <w:szCs w:val="28"/>
          <w:lang w:val="en-US"/>
        </w:rPr>
        <w:t>to examine the influence of internal and external factors in the process of implementation of the Strategy;</w:t>
      </w:r>
    </w:p>
    <w:p w14:paraId="31C52734" w14:textId="77777777" w:rsidR="003F3E7B" w:rsidRDefault="003F3E7B" w:rsidP="003F3E7B">
      <w:pPr>
        <w:tabs>
          <w:tab w:val="left" w:pos="5966"/>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95D44" w:rsidRPr="003F3E7B">
        <w:rPr>
          <w:rFonts w:ascii="Times New Roman" w:hAnsi="Times New Roman" w:cs="Times New Roman"/>
          <w:sz w:val="28"/>
          <w:szCs w:val="28"/>
          <w:lang w:val="en-US"/>
        </w:rPr>
        <w:t>to determine the contribution of Kazakhstan and other Central Asian states to the formation and development of European foreign policy in relation to the region;</w:t>
      </w:r>
    </w:p>
    <w:p w14:paraId="4C09B061" w14:textId="77777777" w:rsidR="003F3E7B" w:rsidRDefault="003F3E7B" w:rsidP="003F3E7B">
      <w:pPr>
        <w:tabs>
          <w:tab w:val="left" w:pos="5966"/>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95D44" w:rsidRPr="003F3E7B">
        <w:rPr>
          <w:rFonts w:ascii="Times New Roman" w:hAnsi="Times New Roman" w:cs="Times New Roman"/>
          <w:sz w:val="28"/>
          <w:szCs w:val="28"/>
          <w:lang w:val="en-US"/>
        </w:rPr>
        <w:t>to identify major problems and barriers during the implementation of strategy in Central Asia</w:t>
      </w:r>
      <w:r>
        <w:rPr>
          <w:rFonts w:ascii="Times New Roman" w:hAnsi="Times New Roman" w:cs="Times New Roman"/>
          <w:sz w:val="28"/>
          <w:szCs w:val="28"/>
          <w:lang w:val="en-US"/>
        </w:rPr>
        <w:t>;</w:t>
      </w:r>
    </w:p>
    <w:p w14:paraId="2F2748E3" w14:textId="77777777" w:rsidR="00E95D44" w:rsidRPr="003F3E7B" w:rsidRDefault="003F3E7B" w:rsidP="003F3E7B">
      <w:pPr>
        <w:tabs>
          <w:tab w:val="left" w:pos="5966"/>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95D44" w:rsidRPr="003F3E7B">
        <w:rPr>
          <w:rFonts w:ascii="Times New Roman" w:hAnsi="Times New Roman" w:cs="Times New Roman"/>
          <w:sz w:val="28"/>
          <w:szCs w:val="28"/>
          <w:lang w:val="en-US"/>
        </w:rPr>
        <w:t xml:space="preserve">to develop a recommendatory base for increasing the effectiveness of cooperation between the European Union and the Central Asian region for the future strategical documents. </w:t>
      </w:r>
    </w:p>
    <w:p w14:paraId="3BC3D5DA" w14:textId="77777777" w:rsidR="00DD07CF" w:rsidRDefault="007209C0" w:rsidP="120AEEC1">
      <w:pPr>
        <w:spacing w:after="0" w:line="240" w:lineRule="auto"/>
        <w:ind w:firstLine="708"/>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b/>
          <w:bCs/>
          <w:sz w:val="28"/>
          <w:szCs w:val="28"/>
          <w:lang w:val="en-US"/>
        </w:rPr>
        <w:t>General</w:t>
      </w:r>
      <w:r w:rsidR="7F303EE6" w:rsidRPr="120AEEC1">
        <w:rPr>
          <w:rFonts w:ascii="Times New Roman" w:eastAsia="Times New Roman" w:hAnsi="Times New Roman" w:cs="Times New Roman"/>
          <w:b/>
          <w:bCs/>
          <w:sz w:val="28"/>
          <w:szCs w:val="28"/>
          <w:lang w:val="en-US"/>
        </w:rPr>
        <w:t xml:space="preserve"> research methodology.</w:t>
      </w:r>
      <w:r w:rsidR="54FC2A9B" w:rsidRPr="120AEEC1">
        <w:rPr>
          <w:rFonts w:ascii="Times New Roman" w:eastAsia="Times New Roman" w:hAnsi="Times New Roman" w:cs="Times New Roman"/>
          <w:color w:val="000000" w:themeColor="text1"/>
          <w:sz w:val="28"/>
          <w:szCs w:val="28"/>
          <w:lang w:val="en-US"/>
        </w:rPr>
        <w:t xml:space="preserve"> This section outlines the research methodology employed in analyzing the European Union-Central Asia cooperation, particularly focusing on the factors of cohesion under the new EU Strategy for Central Asia. The methodology is designed to comprehensively assess the evolving nature of EU-CA relations, the strategic drivers, and the key elements fostering cohesion within this partnership. The analysis of EU-Central Asia cooperation, particularly in light of the new EU Strategy for Central Asia, requires a multi-method approach. </w:t>
      </w:r>
    </w:p>
    <w:p w14:paraId="62C91F54" w14:textId="77777777" w:rsidR="00DD07CF" w:rsidRDefault="54FC2A9B"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0BE2D7A4">
        <w:rPr>
          <w:rFonts w:ascii="Times New Roman" w:eastAsia="Times New Roman" w:hAnsi="Times New Roman" w:cs="Times New Roman"/>
          <w:color w:val="000000" w:themeColor="text1"/>
          <w:sz w:val="28"/>
          <w:szCs w:val="28"/>
          <w:lang w:val="en-US"/>
        </w:rPr>
        <w:t xml:space="preserve">The methodological basis of the study is the scientific principles of research objectivity and reliability, which is confirmed by work with primary sources, extensive factual and scientific data, taking into account the specifics of political, economic and other aspects of </w:t>
      </w:r>
      <w:r w:rsidR="007209C0" w:rsidRPr="0BE2D7A4">
        <w:rPr>
          <w:rFonts w:ascii="Times New Roman" w:eastAsia="Times New Roman" w:hAnsi="Times New Roman" w:cs="Times New Roman"/>
          <w:color w:val="000000" w:themeColor="text1"/>
          <w:sz w:val="28"/>
          <w:szCs w:val="28"/>
          <w:lang w:val="en-US"/>
        </w:rPr>
        <w:t>EU</w:t>
      </w:r>
      <w:r w:rsidRPr="0BE2D7A4">
        <w:rPr>
          <w:rFonts w:ascii="Times New Roman" w:eastAsia="Times New Roman" w:hAnsi="Times New Roman" w:cs="Times New Roman"/>
          <w:color w:val="000000" w:themeColor="text1"/>
          <w:sz w:val="28"/>
          <w:szCs w:val="28"/>
          <w:lang w:val="en-US"/>
        </w:rPr>
        <w:t xml:space="preserve"> policy and strategy in Central Asia. The principle of completeness of data reflection made it possible to research the issues under study and identify the strengths of the EU's cooperation with the Central Asian states, as well as aspects of interaction that require additional elaboration.</w:t>
      </w:r>
    </w:p>
    <w:p w14:paraId="2E69B443" w14:textId="77777777" w:rsidR="00DD07CF" w:rsidRDefault="54FC2A9B" w:rsidP="120AEEC1">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The application of a systematic approach used throughout the work made it possible to consider the EU's foreign policy in Central Asia as a complex of interrelated elements that are in constant interaction with each other and with the environment in order to form the most appropriate ways for its development. Thanks to this, it was possible to identify the features of the EU approaches towards the Central Asian countries at different stages of the evolution of its policies and strategies and to determine the degree of effectiveness of their results.</w:t>
      </w:r>
    </w:p>
    <w:p w14:paraId="29CC8C39" w14:textId="77777777" w:rsidR="00DD07CF" w:rsidRDefault="54FC2A9B"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Historical-descriptive and political-descriptive methods were used in the work for systematization and general analysis of primary factual information. With the help of a comparative historical method and system analysis, the main periods of the formation of the EU policy in Central Asia are structured and interpreted, causal relationships are established and key trends in the development of EU interaction with the countries of the region are identified.</w:t>
      </w:r>
    </w:p>
    <w:p w14:paraId="5CD3C688" w14:textId="77777777" w:rsidR="00DD07CF" w:rsidRDefault="54FC2A9B" w:rsidP="0BE2D7A4">
      <w:pPr>
        <w:tabs>
          <w:tab w:val="num" w:pos="720"/>
        </w:tabs>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One of the primary methods used in this research is comparative analysis, which involves comparing the EU-CA relations before and after the adoption of the new EU Strategy for Central Asia (2019). This analysis aims to identify shifts in EU policies, priorities, and objectives towards the region and assess the effectiveness of the new strategy in fostering stronger cohesion between the EU and Central Asian countries. The comparison focused on political and economic priorities outlined in the pre- and post-strategy frameworks; key sectors of cooperation (e.g., trade, security, infrastructure) and their evolution over time; institutional and strategic adjustments made by both the EU and CA countries in response to the strategy.</w:t>
      </w:r>
    </w:p>
    <w:p w14:paraId="23351A53" w14:textId="77777777" w:rsidR="00DD07CF" w:rsidRDefault="54FC2A9B" w:rsidP="0BE2D7A4">
      <w:pPr>
        <w:tabs>
          <w:tab w:val="num" w:pos="720"/>
        </w:tabs>
        <w:spacing w:after="0" w:line="240" w:lineRule="auto"/>
        <w:ind w:firstLine="851"/>
        <w:jc w:val="both"/>
        <w:rPr>
          <w:rFonts w:ascii="Times New Roman" w:eastAsia="Times New Roman" w:hAnsi="Times New Roman" w:cs="Times New Roman"/>
          <w:color w:val="000000" w:themeColor="text1"/>
          <w:sz w:val="28"/>
          <w:szCs w:val="28"/>
          <w:lang w:val="en-US"/>
        </w:rPr>
      </w:pPr>
      <w:r w:rsidRPr="0BE2D7A4">
        <w:rPr>
          <w:rFonts w:ascii="Times New Roman" w:eastAsia="Times New Roman" w:hAnsi="Times New Roman" w:cs="Times New Roman"/>
          <w:color w:val="000000" w:themeColor="text1"/>
          <w:sz w:val="28"/>
          <w:szCs w:val="28"/>
          <w:lang w:val="en-US"/>
        </w:rPr>
        <w:t>The method of comparative analysis made it possible to determine the common and distinctive features of each of the EU strategies in Central Asia considered in the study. This method is also used to compare the scientific approaches of various researchers on the issue under consideration. Methods of comparative and statistical analysis were applied to identify the dynamics of the EU's interaction with Central Asia, as well as with other major regions of the world from an economic perspective.</w:t>
      </w:r>
      <w:r w:rsidRPr="00BE02A5">
        <w:rPr>
          <w:rFonts w:ascii="Times New Roman" w:eastAsia="Times New Roman" w:hAnsi="Times New Roman" w:cs="Times New Roman"/>
          <w:color w:val="000000" w:themeColor="text1"/>
          <w:sz w:val="28"/>
          <w:szCs w:val="28"/>
          <w:lang w:val="en-US"/>
        </w:rPr>
        <w:t xml:space="preserve"> </w:t>
      </w:r>
    </w:p>
    <w:p w14:paraId="5785955A" w14:textId="77777777" w:rsidR="00DD07CF" w:rsidRDefault="54FC2A9B"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The study of EU-CA cooperation is also based on the dialectical method of research, which consists in the perception of relationships as a general system of processes and phenomena, even opposite ones, in unity and continuous development. It also provides an opportunity to identify and compare factors and conditions for the genesis and modernization of EU policies and strategies in the region.</w:t>
      </w:r>
    </w:p>
    <w:p w14:paraId="32EBF005" w14:textId="77777777" w:rsidR="00DD07CF" w:rsidRDefault="54FC2A9B"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 xml:space="preserve">The research follows a qualitative approach, as it aims to analyze the intricate and dynamic political, economic, and social factors shaping the EU-CA cooperation. The study focuses on understanding the underlying reasons for </w:t>
      </w:r>
      <w:r w:rsidR="00B86915" w:rsidRPr="120AEEC1">
        <w:rPr>
          <w:rFonts w:ascii="Times New Roman" w:eastAsia="Times New Roman" w:hAnsi="Times New Roman" w:cs="Times New Roman"/>
          <w:color w:val="000000" w:themeColor="text1"/>
          <w:sz w:val="28"/>
          <w:szCs w:val="28"/>
          <w:lang w:val="en-US"/>
        </w:rPr>
        <w:t>evolving</w:t>
      </w:r>
      <w:r w:rsidRPr="120AEEC1">
        <w:rPr>
          <w:rFonts w:ascii="Times New Roman" w:eastAsia="Times New Roman" w:hAnsi="Times New Roman" w:cs="Times New Roman"/>
          <w:color w:val="000000" w:themeColor="text1"/>
          <w:sz w:val="28"/>
          <w:szCs w:val="28"/>
          <w:lang w:val="en-US"/>
        </w:rPr>
        <w:t xml:space="preserve"> cooperation, key actors, and the broader geopolitical context in which these interactions take place. The methodology is based on a comparative analysis of official documents, policies, and statements issued by the EU and Central Asian countries.</w:t>
      </w:r>
    </w:p>
    <w:p w14:paraId="2A4CEDEE" w14:textId="77777777" w:rsidR="00DD07CF" w:rsidRDefault="54FC2A9B"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 xml:space="preserve">Case studies of specific EU-CA projects or initiatives (e.g., trade agreements, regional security cooperation, environmental projects) </w:t>
      </w:r>
      <w:r w:rsidR="00B86915" w:rsidRPr="120AEEC1">
        <w:rPr>
          <w:rFonts w:ascii="Times New Roman" w:eastAsia="Times New Roman" w:hAnsi="Times New Roman" w:cs="Times New Roman"/>
          <w:color w:val="000000" w:themeColor="text1"/>
          <w:sz w:val="28"/>
          <w:szCs w:val="28"/>
          <w:lang w:val="en-US"/>
        </w:rPr>
        <w:t>w</w:t>
      </w:r>
      <w:r w:rsidR="00B86915">
        <w:rPr>
          <w:rFonts w:ascii="Times New Roman" w:eastAsia="Times New Roman" w:hAnsi="Times New Roman" w:cs="Times New Roman"/>
          <w:color w:val="000000" w:themeColor="text1"/>
          <w:sz w:val="28"/>
          <w:szCs w:val="28"/>
          <w:lang w:val="en-US"/>
        </w:rPr>
        <w:t>ere</w:t>
      </w:r>
      <w:r w:rsidRPr="120AEEC1">
        <w:rPr>
          <w:rFonts w:ascii="Times New Roman" w:eastAsia="Times New Roman" w:hAnsi="Times New Roman" w:cs="Times New Roman"/>
          <w:color w:val="000000" w:themeColor="text1"/>
          <w:sz w:val="28"/>
          <w:szCs w:val="28"/>
          <w:lang w:val="en-US"/>
        </w:rPr>
        <w:t xml:space="preserve"> analyzed to identify practical examples of cooperation and the factors that have driven success or failure in these areas. These case studies help to illustrate how the EU and Central Asia navigate challenges and build cohesion in specific sectors. SWOT analysis was also used in the research, which helped to highlight main </w:t>
      </w:r>
      <w:r w:rsidR="003C7EEF" w:rsidRPr="120AEEC1">
        <w:rPr>
          <w:rFonts w:ascii="Times New Roman" w:eastAsia="Times New Roman" w:hAnsi="Times New Roman" w:cs="Times New Roman"/>
          <w:color w:val="000000" w:themeColor="text1"/>
          <w:sz w:val="28"/>
          <w:szCs w:val="28"/>
          <w:lang w:val="en-US"/>
        </w:rPr>
        <w:t>strengths</w:t>
      </w:r>
      <w:r w:rsidRPr="120AEEC1">
        <w:rPr>
          <w:rFonts w:ascii="Times New Roman" w:eastAsia="Times New Roman" w:hAnsi="Times New Roman" w:cs="Times New Roman"/>
          <w:color w:val="000000" w:themeColor="text1"/>
          <w:sz w:val="28"/>
          <w:szCs w:val="28"/>
          <w:lang w:val="en-US"/>
        </w:rPr>
        <w:t xml:space="preserve">, weaknesses, opportunities and threats of EU Strategy for Central Asia. </w:t>
      </w:r>
    </w:p>
    <w:p w14:paraId="47BF9C90" w14:textId="77777777" w:rsidR="00DD07CF" w:rsidRDefault="54FC2A9B"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 xml:space="preserve">The research </w:t>
      </w:r>
      <w:r w:rsidR="003C7EEF" w:rsidRPr="00BE02A5">
        <w:rPr>
          <w:rFonts w:ascii="Times New Roman" w:eastAsia="Times New Roman" w:hAnsi="Times New Roman" w:cs="Times New Roman"/>
          <w:color w:val="000000" w:themeColor="text1"/>
          <w:sz w:val="28"/>
          <w:szCs w:val="28"/>
          <w:lang w:val="en-US"/>
        </w:rPr>
        <w:t>employs</w:t>
      </w:r>
      <w:r w:rsidRPr="00BE02A5">
        <w:rPr>
          <w:rFonts w:ascii="Times New Roman" w:eastAsia="Times New Roman" w:hAnsi="Times New Roman" w:cs="Times New Roman"/>
          <w:color w:val="000000" w:themeColor="text1"/>
          <w:sz w:val="28"/>
          <w:szCs w:val="28"/>
          <w:lang w:val="en-US"/>
        </w:rPr>
        <w:t xml:space="preserve"> integration theory and geopolitical analysis as primary frameworks to understand the EU-CA cooperation. Integration theory helps explain the processes of cooperation between regions, highlighting factors like economic interdependence, political alignment, and security cooperation. Geopolitical analysis helps contextualize the role of external actors, such as Russia and China, and examines how regional powers influence EU-CA relations.</w:t>
      </w:r>
    </w:p>
    <w:p w14:paraId="228C1E13" w14:textId="77777777" w:rsidR="00DD07CF" w:rsidRDefault="00B86915" w:rsidP="0BE2D7A4">
      <w:pPr>
        <w:tabs>
          <w:tab w:val="num" w:pos="1440"/>
        </w:tabs>
        <w:spacing w:after="0" w:line="240" w:lineRule="auto"/>
        <w:ind w:firstLine="851"/>
        <w:jc w:val="both"/>
        <w:rPr>
          <w:rFonts w:ascii="Times New Roman" w:eastAsia="Times New Roman" w:hAnsi="Times New Roman" w:cs="Times New Roman"/>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The central</w:t>
      </w:r>
      <w:r w:rsidR="54FC2A9B" w:rsidRPr="00BE02A5">
        <w:rPr>
          <w:rFonts w:ascii="Times New Roman" w:eastAsia="Times New Roman" w:hAnsi="Times New Roman" w:cs="Times New Roman"/>
          <w:color w:val="000000" w:themeColor="text1"/>
          <w:sz w:val="28"/>
          <w:szCs w:val="28"/>
          <w:lang w:val="en-US"/>
        </w:rPr>
        <w:t xml:space="preserve"> focus of the research is the identification and analysis of key factors of cohesion in EU-CA relations. These factors may include: economic interdependence (trade relations, investment flows, energy cooperation, and infrastructure projects); political alignment (shared democratic values, human rights promotion, and governance cooperation); security cooperation (joint efforts in counterterrorism, border security, and conflict prevention); regional stability (the role of Central Asia in broader regional stability, especially in relation to Afghanistan, the Middle East, and the broader Eurasian region); soft power and cultural diplomacy (the influence of EU’s educational, cultural, and human development programs in fostering deeper ties).</w:t>
      </w:r>
    </w:p>
    <w:p w14:paraId="4B5433DC" w14:textId="77777777" w:rsidR="00DD07CF" w:rsidRDefault="54FC2A9B" w:rsidP="0BE2D7A4">
      <w:pPr>
        <w:tabs>
          <w:tab w:val="num" w:pos="1440"/>
        </w:tabs>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 xml:space="preserve">A qualitative content analysis of the policy documents and official statements conducted to identify recurring </w:t>
      </w:r>
      <w:r w:rsidR="003C7EEF" w:rsidRPr="120AEEC1">
        <w:rPr>
          <w:rFonts w:ascii="Times New Roman" w:eastAsia="Times New Roman" w:hAnsi="Times New Roman" w:cs="Times New Roman"/>
          <w:color w:val="000000" w:themeColor="text1"/>
          <w:sz w:val="28"/>
          <w:szCs w:val="28"/>
          <w:lang w:val="en-US"/>
        </w:rPr>
        <w:t>priorities and</w:t>
      </w:r>
      <w:r w:rsidRPr="120AEEC1">
        <w:rPr>
          <w:rFonts w:ascii="Times New Roman" w:eastAsia="Times New Roman" w:hAnsi="Times New Roman" w:cs="Times New Roman"/>
          <w:color w:val="000000" w:themeColor="text1"/>
          <w:sz w:val="28"/>
          <w:szCs w:val="28"/>
          <w:lang w:val="en-US"/>
        </w:rPr>
        <w:t xml:space="preserve"> shifts in EU policy towards Central Asia. This includes both explicit mentions of cooperation areas and implicit goals related to cohesion. Through content analysis, the study focused on identification of key areas of cooperation, such as trade, human rights, governance, energy, and regional security; discourses surrounding the EU’s role in promoting stability, democracy, and economic development in Central Asia; inferences about cohesion based on the alignment or divergence of policy statements and priorities between the EU and CA countries.</w:t>
      </w:r>
    </w:p>
    <w:p w14:paraId="16459BB2" w14:textId="77777777" w:rsidR="00DD07CF" w:rsidRDefault="54FC2A9B" w:rsidP="0BE2D7A4">
      <w:pPr>
        <w:tabs>
          <w:tab w:val="num" w:pos="720"/>
        </w:tabs>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Policy network analysis was used to explore the relationships and interactions among the key actors involved in EU-CA cooperation, including the EU institutions, Central Asian governments, regional organizations and other external actors (Russia, China, the US). This method focuses on mapping the key actors involved in decision-making processes related to EU-CA cooperation; examining the flow of information and resources within the policy networks, including how policies are developed and implemented; identifying the power dynamics between the EU and CA countries, and the influence of other geopolitical factors. Policy network analysis helps clarify the mechanisms through which cohesion is achieved and maintained in EU-CA relations, as well as the roles of various stakeholders in shaping cooperation outcomes.</w:t>
      </w:r>
    </w:p>
    <w:p w14:paraId="7F8BA4FA" w14:textId="77777777" w:rsidR="00DD07CF" w:rsidRDefault="54FC2A9B" w:rsidP="0BE2D7A4">
      <w:pPr>
        <w:tabs>
          <w:tab w:val="num" w:pos="720"/>
        </w:tabs>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A geopolitical analysis was applied to assess the broader context in which EU-CA relations occur, taking into account the strategic importance of Central Asia, as well as the influence of competing powers such as Russia and China. This method involves understanding the regional and global power dynamics affecting EU-CA cooperation; assessing the EU’s strategic interests in Central Asia, including access to energy resources, geopolitical positioning, and regional stability; evaluating the role of external actors. Geopolitical analysis offers a framework for understanding the external factors influencing the cohesion of EU-CA cooperation, especially within the context of regional competition and global power struggles.</w:t>
      </w:r>
    </w:p>
    <w:p w14:paraId="0D367136" w14:textId="77777777" w:rsidR="00DD07CF" w:rsidRDefault="54FC2A9B"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 xml:space="preserve">Other methods of scientific knowledge used in the work were the methods of analysis and synthesis, induction and deduction which were used while examining Strategies of the EU in </w:t>
      </w:r>
      <w:r w:rsidR="003C7EEF" w:rsidRPr="120AEEC1">
        <w:rPr>
          <w:rFonts w:ascii="Times New Roman" w:eastAsia="Times New Roman" w:hAnsi="Times New Roman" w:cs="Times New Roman"/>
          <w:color w:val="000000" w:themeColor="text1"/>
          <w:sz w:val="28"/>
          <w:szCs w:val="28"/>
          <w:lang w:val="en-US"/>
        </w:rPr>
        <w:t>Central</w:t>
      </w:r>
      <w:r w:rsidRPr="120AEEC1">
        <w:rPr>
          <w:rFonts w:ascii="Times New Roman" w:eastAsia="Times New Roman" w:hAnsi="Times New Roman" w:cs="Times New Roman"/>
          <w:color w:val="000000" w:themeColor="text1"/>
          <w:sz w:val="28"/>
          <w:szCs w:val="28"/>
          <w:lang w:val="en-US"/>
        </w:rPr>
        <w:t xml:space="preserve"> Asia and EU programs in the framework of the Strategy. </w:t>
      </w:r>
    </w:p>
    <w:p w14:paraId="20023903" w14:textId="77777777" w:rsidR="00DD07CF" w:rsidRDefault="54FC2A9B"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0BE2D7A4">
        <w:rPr>
          <w:rFonts w:ascii="Times New Roman" w:eastAsia="Times New Roman" w:hAnsi="Times New Roman" w:cs="Times New Roman"/>
          <w:color w:val="000000" w:themeColor="text1"/>
          <w:sz w:val="28"/>
          <w:szCs w:val="28"/>
          <w:lang w:val="en-US"/>
        </w:rPr>
        <w:t xml:space="preserve">With the help of theoretical and methodological tools, the evolution of the policy and strategy of the European Union in Central Asia, geopolitical and economic factors contributing to its formation are studied. </w:t>
      </w:r>
      <w:r w:rsidRPr="00BE02A5">
        <w:rPr>
          <w:rFonts w:ascii="Times New Roman" w:eastAsia="Times New Roman" w:hAnsi="Times New Roman" w:cs="Times New Roman"/>
          <w:color w:val="000000" w:themeColor="text1"/>
          <w:sz w:val="28"/>
          <w:szCs w:val="28"/>
          <w:lang w:val="en-US"/>
        </w:rPr>
        <w:t>By employing these methods of analysis, this study aims to provide a comprehensive and multidimensional understanding of the factors contributing to the cohesion of EU-CA cooperation under the new EU Strategy for Central Asia. Each method contributes to a fuller picture of how these cooperation dynamics evolve, the challenges they face, and the opportunities for strengthening the partnership.</w:t>
      </w:r>
    </w:p>
    <w:p w14:paraId="02FCB58A"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b/>
          <w:bCs/>
          <w:color w:val="000000" w:themeColor="text1"/>
          <w:sz w:val="28"/>
          <w:szCs w:val="28"/>
          <w:lang w:val="en-US"/>
        </w:rPr>
        <w:t>The theoretical basis of the work</w:t>
      </w:r>
      <w:r w:rsidRPr="120AEEC1">
        <w:rPr>
          <w:rFonts w:ascii="Times New Roman" w:eastAsia="Times New Roman" w:hAnsi="Times New Roman" w:cs="Times New Roman"/>
          <w:color w:val="000000" w:themeColor="text1"/>
          <w:sz w:val="28"/>
          <w:szCs w:val="28"/>
          <w:lang w:val="en-US"/>
        </w:rPr>
        <w:t xml:space="preserve"> is mainly based on the provision of the theory of normative power. It lies in the fact that the European Union adheres to such universal norms and values as human rights, democracy and sustainable development, both in external regulation and in integration construction, as well as in foreign policy. The essence of this concept is that “normative power” is neither military nor economic, it comes from the generation of ideas, opinions and approaches, it forms ideas about the “correct” things, concepts and phenomena. The theory of normative power has presented the EU as an international political actor capable of expressing a sense of normality and respect for norms among other international actors. According to J. Manners, normative power is closely related to “ideological power” or “power over opinion”, denoting “the ability to shape concepts of norm”. He emphasizes that the essence of European soft power lies in its ability not only to promote norms, but also to do so in a normative way.</w:t>
      </w:r>
    </w:p>
    <w:p w14:paraId="758BD005" w14:textId="77777777" w:rsidR="0BE864F3" w:rsidRDefault="0BE864F3" w:rsidP="120AEEC1">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 xml:space="preserve">In addition, as </w:t>
      </w:r>
      <w:r w:rsidR="00AD4247" w:rsidRPr="120AEEC1">
        <w:rPr>
          <w:rFonts w:ascii="Times New Roman" w:eastAsia="Times New Roman" w:hAnsi="Times New Roman" w:cs="Times New Roman"/>
          <w:color w:val="000000" w:themeColor="text1"/>
          <w:sz w:val="28"/>
          <w:szCs w:val="28"/>
          <w:lang w:val="en-US"/>
        </w:rPr>
        <w:t>the EU</w:t>
      </w:r>
      <w:r w:rsidRPr="120AEEC1">
        <w:rPr>
          <w:rFonts w:ascii="Times New Roman" w:eastAsia="Times New Roman" w:hAnsi="Times New Roman" w:cs="Times New Roman"/>
          <w:color w:val="000000" w:themeColor="text1"/>
          <w:sz w:val="28"/>
          <w:szCs w:val="28"/>
          <w:lang w:val="en-US"/>
        </w:rPr>
        <w:t xml:space="preserve"> acts as a rational actor seeking to maximize its economic potential and political significance and in order to emphasize international cooperation and the rejection of power politics as the main principles of foreign policy interaction between states, the theory of liberalism and neoliberalism are used in the dissertation work. </w:t>
      </w:r>
    </w:p>
    <w:p w14:paraId="32E02F65"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0BE2D7A4">
        <w:rPr>
          <w:rFonts w:ascii="Times New Roman" w:eastAsia="Times New Roman" w:hAnsi="Times New Roman" w:cs="Times New Roman"/>
          <w:color w:val="000000" w:themeColor="text1"/>
          <w:sz w:val="28"/>
          <w:szCs w:val="28"/>
          <w:lang w:val="en-US"/>
        </w:rPr>
        <w:t>While not a state, the European Union is nonetheless endowed with political power and has a political system (formed on the basis of the 1992 Maastricht Treaty). At the same time, in order to determine the model of legitimacy inherent in any political system, it is important to understand its characteristic features - in the EU it is the decentralization of power, multi-level management, asymmetry and differentiation with a significant influence of supranational institutions [</w:t>
      </w:r>
      <w:r w:rsidR="65C00521" w:rsidRPr="0BE2D7A4">
        <w:rPr>
          <w:rFonts w:ascii="Times New Roman" w:eastAsia="Times New Roman" w:hAnsi="Times New Roman" w:cs="Times New Roman"/>
          <w:color w:val="000000" w:themeColor="text1"/>
          <w:sz w:val="28"/>
          <w:szCs w:val="28"/>
          <w:lang w:val="en-US"/>
        </w:rPr>
        <w:t>3</w:t>
      </w:r>
      <w:r w:rsidRPr="0BE2D7A4">
        <w:rPr>
          <w:rFonts w:ascii="Times New Roman" w:eastAsia="Times New Roman" w:hAnsi="Times New Roman" w:cs="Times New Roman"/>
          <w:color w:val="000000" w:themeColor="text1"/>
          <w:sz w:val="28"/>
          <w:szCs w:val="28"/>
          <w:lang w:val="en-US"/>
        </w:rPr>
        <w:t>]. The intention to secure one's legitimacy as an international actor through fundamental rights representing the European Union was realized through the Charter of the European Union on Human Rights; reference to this document was also included in the Lisbon Treaty.</w:t>
      </w:r>
    </w:p>
    <w:p w14:paraId="1ADB58C9"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The main distinguishing feature and pillar of the European Union are the instruments of the so-called "soft power". The European Union has played a significant role in international relations by spreading its brand of integration through enlargement, neighborhood policies and various forms of association and partnership with third countries</w:t>
      </w:r>
      <w:r w:rsidR="00AD4247">
        <w:rPr>
          <w:rFonts w:ascii="Times New Roman" w:eastAsia="Times New Roman" w:hAnsi="Times New Roman" w:cs="Times New Roman"/>
          <w:color w:val="000000" w:themeColor="text1"/>
          <w:sz w:val="28"/>
          <w:szCs w:val="28"/>
          <w:lang w:val="en-US"/>
        </w:rPr>
        <w:t>.</w:t>
      </w:r>
      <w:r w:rsidRPr="120AEEC1">
        <w:rPr>
          <w:rFonts w:ascii="Times New Roman" w:eastAsia="Times New Roman" w:hAnsi="Times New Roman" w:cs="Times New Roman"/>
          <w:color w:val="000000" w:themeColor="text1"/>
          <w:sz w:val="28"/>
          <w:szCs w:val="28"/>
          <w:lang w:val="en-US"/>
        </w:rPr>
        <w:t xml:space="preserve"> The EU is inclined towards a liberal path of entry into the region through “soft” penetration: programs of development, support and assistance, the purpose of which is systemic reforms and modernization, in our case, of each of the Central Asian states. Thus, the theory of "soft power" was also woven into the process of researching the policy and strategy of the EU in Central Asia.  </w:t>
      </w:r>
    </w:p>
    <w:p w14:paraId="51CF7779" w14:textId="77777777" w:rsidR="0BE864F3" w:rsidRDefault="0BE864F3" w:rsidP="0BE2D7A4">
      <w:pPr>
        <w:tabs>
          <w:tab w:val="num" w:pos="720"/>
        </w:tabs>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Integration theory is central to understanding the mechanisms of cooperation between regions and the processes that facilitate cohesion. This theory emphasizes the gradual process through which states or regions move from cooperation on specific issues to deeper, more comprehensive forms of integration. In the context of EU-CA relations, integration theory helps explain the gradual convergence of interests between the EU and Central Asia, particularly in areas such as trade, security, governance, and development. Key aspects of integration theory relevant to this study include functionalism, neofunctionalism, intergovernmentalism.</w:t>
      </w:r>
    </w:p>
    <w:p w14:paraId="208E9F13" w14:textId="77777777" w:rsidR="0BE864F3" w:rsidRDefault="0BE864F3" w:rsidP="0BE2D7A4">
      <w:pPr>
        <w:tabs>
          <w:tab w:val="num" w:pos="720"/>
        </w:tabs>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Functionalism suggests that regional cooperation often begins with technical or economic issues (such as trade and infrastructure) and gradually broadens to include more complex political and social dimensions. The EU-CA cooperation can be viewed through this lens, as initial cooperation on economic development may pave the way for deeper political and security partnerships. Neofunctionalism theory builds on functionalism but highlights the role of supranational institutions in promoting integration. In the case of the EU-CA partnership, the EU institutions, such as the European External Action Service (EEAS) and the European Commission, play a crucial role in fostering cohesion by setting the agenda for cooperation and ensuring coordination across different sectors. Intergovernmentalism focuses on the role of national governments in driving cooperation. In the case of EU-CA relations, the differing political systems and priorities of the Central Asian countries may influence the level and nature of cooperation. This theory helps explain the importance of state sovereignty and the impact of individual country preferences on the success of regional cooperation.</w:t>
      </w:r>
    </w:p>
    <w:p w14:paraId="689DA4C1"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 xml:space="preserve">Geopolitical theory offers insight into the role of geography and power relations in shaping international cooperation. Central Asia, located at the crossroads of Europe, Asia, and the Middle East, is a region of strategic importance for both the EU and external powers like Russia, China, and the United States. The theory highlights how regional </w:t>
      </w:r>
      <w:r w:rsidR="00AD4247" w:rsidRPr="120AEEC1">
        <w:rPr>
          <w:rFonts w:ascii="Times New Roman" w:eastAsia="Times New Roman" w:hAnsi="Times New Roman" w:cs="Times New Roman"/>
          <w:color w:val="000000" w:themeColor="text1"/>
          <w:sz w:val="28"/>
          <w:szCs w:val="28"/>
          <w:lang w:val="en-US"/>
        </w:rPr>
        <w:t>powers,</w:t>
      </w:r>
      <w:r w:rsidRPr="120AEEC1">
        <w:rPr>
          <w:rFonts w:ascii="Times New Roman" w:eastAsia="Times New Roman" w:hAnsi="Times New Roman" w:cs="Times New Roman"/>
          <w:color w:val="000000" w:themeColor="text1"/>
          <w:sz w:val="28"/>
          <w:szCs w:val="28"/>
          <w:lang w:val="en-US"/>
        </w:rPr>
        <w:t xml:space="preserve"> and global actors shape the political and economic landscape of Central Asia, influencing EU-CA cooperation. Geopolitical theories relevant to this research include regional security complex theory (RSCT). This theory, developed by Barry Buzan, suggests that regions are interconnected through shared security concerns. For Central Asia, issues such as border security, terrorism, and the stabilization of Afghanistan are central to the region’s security dynamics. The EU’s interest in promoting stability and security in Central Asia can be understood through this lens, as the EU seeks to address these shared security concerns while balancing the influence of Russia and China.</w:t>
      </w:r>
    </w:p>
    <w:p w14:paraId="21504808"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The concept of geoeconomics refers to the use of economic instruments to achieve geopolitical objectives. The EU’s strategies in Central Asia often combine economic cooperation with political goals, such as promoting democratization, human rights, and regional stability. The EU uses its economic power, such as trade agreements, investments, and financial assistance, as a tool to shape the region’s development in alignment with its interests.</w:t>
      </w:r>
    </w:p>
    <w:p w14:paraId="090B3B60"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Constructivism is an important theoretical approach for understanding how identities, values, and norms shape international relations and cooperation. In the context of EU-CA relations, constructivism helps explain how shared values (e.g., democracy, human rights, rule of law) and institutional norms influence cooperation between the EU and Central Asian countries. The theory emphasizes the role of ideas, beliefs, and identities in shaping state behavior. Key aspects of constructivism that are relevant to EU-CA cooperation include:</w:t>
      </w:r>
    </w:p>
    <w:p w14:paraId="56C179E3"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 Normative Power Europe (NPE). This concept, developed by Ian Manners, suggests that the EU’s power lies not only in its economic and military capabilities but also in its ability to shape the international order through the promotion of values and norms such as human rights, democracy, and sustainable development. The EU’s strategy toward Central Asia emphasizes the promotion of these values as a key component of its partnership with the region.</w:t>
      </w:r>
    </w:p>
    <w:p w14:paraId="3BD25476"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 Identity and Regionalism. Constructivism also highlights the role of identity in shaping regional cooperation. The EU’s engagement with Central Asia is partly motivated by the desire to promote regional integration and cooperation based on shared European norms, even though Central Asian countries have distinct historical and cultural identities. Constructivist theory helps explain how the EU can promote cohesion despite these differences, by emphasizing common goals such as regional stability and economic development.</w:t>
      </w:r>
    </w:p>
    <w:p w14:paraId="5ED2C11F"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Theories of regionalism provide insight into the processes through which states and regions cooperate in political, economic, and social spheres. These theories examine why countries in a specific region choose to cooperate and the mechanisms through which they do so. In the context of EU-CA relations, regionalism theories help explain how the EU’s strategy can contribute to the formation of stronger regional cooperation in Central Asia.</w:t>
      </w:r>
    </w:p>
    <w:p w14:paraId="29382B4D"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120AEEC1">
        <w:rPr>
          <w:rFonts w:ascii="Times New Roman" w:eastAsia="Times New Roman" w:hAnsi="Times New Roman" w:cs="Times New Roman"/>
          <w:color w:val="000000" w:themeColor="text1"/>
          <w:sz w:val="28"/>
          <w:szCs w:val="28"/>
          <w:lang w:val="en-US"/>
        </w:rPr>
        <w:t xml:space="preserve">Dependency theory and world-systems theory offer a critical perspective on international relations by focusing on the economic and power imbalances between the Global North and the Global South. These theories argue that the international system is structured in a way that perpetuates inequality, with peripheral countries (such as those in Central Asia) remaining dependent on the core powers (such as the EU and Russia). </w:t>
      </w:r>
    </w:p>
    <w:p w14:paraId="7B5FD7E9"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0BE2D7A4">
        <w:rPr>
          <w:rFonts w:ascii="Times New Roman" w:eastAsia="Times New Roman" w:hAnsi="Times New Roman" w:cs="Times New Roman"/>
          <w:color w:val="000000" w:themeColor="text1"/>
          <w:sz w:val="28"/>
          <w:szCs w:val="28"/>
          <w:lang w:val="en-US"/>
        </w:rPr>
        <w:t xml:space="preserve">Another significant theory that was used in the dissertation work is </w:t>
      </w:r>
      <w:r w:rsidR="003C7EEF" w:rsidRPr="0BE2D7A4">
        <w:rPr>
          <w:rFonts w:ascii="Times New Roman" w:eastAsia="Times New Roman" w:hAnsi="Times New Roman" w:cs="Times New Roman"/>
          <w:color w:val="000000" w:themeColor="text1"/>
          <w:sz w:val="28"/>
          <w:szCs w:val="28"/>
          <w:lang w:val="en-US"/>
        </w:rPr>
        <w:t>the theory</w:t>
      </w:r>
      <w:r w:rsidRPr="0BE2D7A4">
        <w:rPr>
          <w:rFonts w:ascii="Times New Roman" w:eastAsia="Times New Roman" w:hAnsi="Times New Roman" w:cs="Times New Roman"/>
          <w:color w:val="000000" w:themeColor="text1"/>
          <w:sz w:val="28"/>
          <w:szCs w:val="28"/>
          <w:lang w:val="en-US"/>
        </w:rPr>
        <w:t xml:space="preserve"> of regionalism. Thus, we are examining cooperation of both regions and cohesion of Central Asian states in the framework of Strategy.</w:t>
      </w:r>
    </w:p>
    <w:p w14:paraId="560741E6" w14:textId="77777777" w:rsidR="0BE864F3" w:rsidRDefault="0BE864F3" w:rsidP="0BE2D7A4">
      <w:pPr>
        <w:spacing w:after="0" w:line="240" w:lineRule="auto"/>
        <w:ind w:firstLine="851"/>
        <w:jc w:val="both"/>
        <w:rPr>
          <w:rFonts w:ascii="Times New Roman" w:eastAsia="Times New Roman" w:hAnsi="Times New Roman" w:cs="Times New Roman"/>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The theoretical basis of this study combines elements of integration theory, geopolitical theory, constructivism, regionalism, and dependency theory to analyze the complex dynamics of EU-Central Asia cooperation. These theoretical frameworks provide the analytical tools necessary to understand the factors of cohesion, the challenges of cooperation, and the evolving nature of the EU’s engagement with Central Asia under the new EU Strategy. Through these lenses, the study will explore how the EU navigates the geopolitical, economic, and normative challenges in fostering a cohesive and sustainable partnership with Central Asia.</w:t>
      </w:r>
    </w:p>
    <w:p w14:paraId="5E369B9C" w14:textId="77777777" w:rsidR="00DD07CF" w:rsidRDefault="0BE2D7A4" w:rsidP="0BE2D7A4">
      <w:pPr>
        <w:spacing w:after="0" w:line="240" w:lineRule="auto"/>
        <w:ind w:firstLine="851"/>
        <w:jc w:val="both"/>
        <w:rPr>
          <w:rFonts w:ascii="Times New Roman" w:hAnsi="Times New Roman" w:cs="Times New Roman"/>
          <w:sz w:val="28"/>
          <w:szCs w:val="28"/>
          <w:lang w:val="en-US"/>
        </w:rPr>
      </w:pPr>
      <w:r w:rsidRPr="0BE2D7A4">
        <w:rPr>
          <w:rFonts w:ascii="Times New Roman" w:hAnsi="Times New Roman" w:cs="Times New Roman"/>
          <w:b/>
          <w:bCs/>
          <w:sz w:val="28"/>
          <w:szCs w:val="28"/>
          <w:lang w:val="en-US"/>
        </w:rPr>
        <w:t>The source base</w:t>
      </w:r>
      <w:r w:rsidRPr="0BE2D7A4">
        <w:rPr>
          <w:rFonts w:ascii="Times New Roman" w:hAnsi="Times New Roman" w:cs="Times New Roman"/>
          <w:sz w:val="28"/>
          <w:szCs w:val="28"/>
          <w:lang w:val="en-US"/>
        </w:rPr>
        <w:t xml:space="preserve"> of the dissertation is extensive and therefore divided into groups. </w:t>
      </w:r>
    </w:p>
    <w:p w14:paraId="706729F3" w14:textId="77777777" w:rsidR="00DD07CF" w:rsidRDefault="155010CB" w:rsidP="0BE2D7A4">
      <w:pPr>
        <w:spacing w:after="0" w:line="240" w:lineRule="auto"/>
        <w:ind w:firstLine="851"/>
        <w:jc w:val="both"/>
        <w:rPr>
          <w:rFonts w:ascii="Times New Roman" w:hAnsi="Times New Roman" w:cs="Times New Roman"/>
          <w:sz w:val="28"/>
          <w:szCs w:val="28"/>
          <w:lang w:val="en-US"/>
        </w:rPr>
      </w:pPr>
      <w:r w:rsidRPr="0BE2D7A4">
        <w:rPr>
          <w:rFonts w:ascii="Times New Roman" w:hAnsi="Times New Roman" w:cs="Times New Roman"/>
          <w:i/>
          <w:iCs/>
          <w:sz w:val="28"/>
          <w:szCs w:val="28"/>
          <w:lang w:val="en-US"/>
        </w:rPr>
        <w:t xml:space="preserve">The first </w:t>
      </w:r>
      <w:r w:rsidR="00E95D44" w:rsidRPr="00E95D44">
        <w:rPr>
          <w:rFonts w:ascii="Times New Roman" w:hAnsi="Times New Roman" w:cs="Times New Roman"/>
          <w:sz w:val="28"/>
          <w:szCs w:val="28"/>
          <w:lang w:val="en-US"/>
        </w:rPr>
        <w:t>group</w:t>
      </w:r>
      <w:r w:rsidR="00E95D44">
        <w:rPr>
          <w:rFonts w:ascii="Times New Roman" w:hAnsi="Times New Roman" w:cs="Times New Roman"/>
          <w:i/>
          <w:iCs/>
          <w:sz w:val="28"/>
          <w:szCs w:val="28"/>
          <w:lang w:val="en-US"/>
        </w:rPr>
        <w:t xml:space="preserve"> </w:t>
      </w:r>
      <w:r w:rsidRPr="0BE2D7A4">
        <w:rPr>
          <w:rFonts w:ascii="Times New Roman" w:hAnsi="Times New Roman" w:cs="Times New Roman"/>
          <w:sz w:val="28"/>
          <w:szCs w:val="28"/>
          <w:lang w:val="en-US"/>
        </w:rPr>
        <w:t>includes legislative and regulatory acts of the EU and the Central Asian states on foreign policy issues, as well as documents regulating the activities of various structures in the field of international relations [4-1</w:t>
      </w:r>
      <w:r w:rsidR="4D6BB58B" w:rsidRPr="0BE2D7A4">
        <w:rPr>
          <w:rFonts w:ascii="Times New Roman" w:hAnsi="Times New Roman" w:cs="Times New Roman"/>
          <w:sz w:val="28"/>
          <w:szCs w:val="28"/>
          <w:lang w:val="en-US"/>
        </w:rPr>
        <w:t>2</w:t>
      </w:r>
      <w:r w:rsidRPr="0BE2D7A4">
        <w:rPr>
          <w:rFonts w:ascii="Times New Roman" w:hAnsi="Times New Roman" w:cs="Times New Roman"/>
          <w:sz w:val="28"/>
          <w:szCs w:val="28"/>
          <w:lang w:val="en-US"/>
        </w:rPr>
        <w:t>].</w:t>
      </w:r>
    </w:p>
    <w:p w14:paraId="0EB44102" w14:textId="77777777" w:rsidR="00DD07CF" w:rsidRDefault="155010CB" w:rsidP="0BE2D7A4">
      <w:pPr>
        <w:spacing w:after="0" w:line="240" w:lineRule="auto"/>
        <w:ind w:firstLine="851"/>
        <w:jc w:val="both"/>
        <w:rPr>
          <w:rFonts w:ascii="Times New Roman" w:hAnsi="Times New Roman" w:cs="Times New Roman"/>
          <w:sz w:val="28"/>
          <w:szCs w:val="28"/>
          <w:lang w:val="en-US"/>
        </w:rPr>
      </w:pPr>
      <w:r w:rsidRPr="0BE2D7A4">
        <w:rPr>
          <w:rFonts w:ascii="Times New Roman" w:hAnsi="Times New Roman" w:cs="Times New Roman"/>
          <w:i/>
          <w:iCs/>
          <w:sz w:val="28"/>
          <w:szCs w:val="28"/>
          <w:lang w:val="en-US"/>
        </w:rPr>
        <w:t xml:space="preserve">The second group </w:t>
      </w:r>
      <w:r w:rsidRPr="0BE2D7A4">
        <w:rPr>
          <w:rFonts w:ascii="Times New Roman" w:hAnsi="Times New Roman" w:cs="Times New Roman"/>
          <w:sz w:val="28"/>
          <w:szCs w:val="28"/>
          <w:lang w:val="en-US"/>
        </w:rPr>
        <w:t>includes official statements, speeches and interviews of politicians and statesmen of the European Union, heads of state and other officials of the Central Asian region [1</w:t>
      </w:r>
      <w:r w:rsidR="2E9654B0" w:rsidRPr="0BE2D7A4">
        <w:rPr>
          <w:rFonts w:ascii="Times New Roman" w:hAnsi="Times New Roman" w:cs="Times New Roman"/>
          <w:sz w:val="28"/>
          <w:szCs w:val="28"/>
          <w:lang w:val="en-US"/>
        </w:rPr>
        <w:t>3</w:t>
      </w:r>
      <w:r w:rsidRPr="0BE2D7A4">
        <w:rPr>
          <w:rFonts w:ascii="Times New Roman" w:hAnsi="Times New Roman" w:cs="Times New Roman"/>
          <w:sz w:val="28"/>
          <w:szCs w:val="28"/>
          <w:lang w:val="en-US"/>
        </w:rPr>
        <w:t>-2</w:t>
      </w:r>
      <w:r w:rsidR="212316CC" w:rsidRPr="0BE2D7A4">
        <w:rPr>
          <w:rFonts w:ascii="Times New Roman" w:hAnsi="Times New Roman" w:cs="Times New Roman"/>
          <w:sz w:val="28"/>
          <w:szCs w:val="28"/>
          <w:lang w:val="en-US"/>
        </w:rPr>
        <w:t>9</w:t>
      </w:r>
      <w:r w:rsidRPr="0BE2D7A4">
        <w:rPr>
          <w:rFonts w:ascii="Times New Roman" w:hAnsi="Times New Roman" w:cs="Times New Roman"/>
          <w:sz w:val="28"/>
          <w:szCs w:val="28"/>
          <w:lang w:val="en-US"/>
        </w:rPr>
        <w:t>].</w:t>
      </w:r>
    </w:p>
    <w:p w14:paraId="186DF38A" w14:textId="77777777" w:rsidR="00DD07CF" w:rsidRDefault="155010CB" w:rsidP="0BE2D7A4">
      <w:pPr>
        <w:spacing w:after="0" w:line="240" w:lineRule="auto"/>
        <w:ind w:firstLine="851"/>
        <w:jc w:val="both"/>
        <w:rPr>
          <w:rFonts w:ascii="Times New Roman" w:hAnsi="Times New Roman" w:cs="Times New Roman"/>
          <w:sz w:val="28"/>
          <w:szCs w:val="28"/>
          <w:lang w:val="en-US"/>
        </w:rPr>
      </w:pPr>
      <w:r w:rsidRPr="0BE2D7A4">
        <w:rPr>
          <w:rFonts w:ascii="Times New Roman" w:hAnsi="Times New Roman" w:cs="Times New Roman"/>
          <w:i/>
          <w:iCs/>
          <w:sz w:val="28"/>
          <w:szCs w:val="28"/>
          <w:lang w:val="en-US"/>
        </w:rPr>
        <w:t>The third group</w:t>
      </w:r>
      <w:r w:rsidRPr="0BE2D7A4">
        <w:rPr>
          <w:rFonts w:ascii="Times New Roman" w:hAnsi="Times New Roman" w:cs="Times New Roman"/>
          <w:sz w:val="28"/>
          <w:szCs w:val="28"/>
          <w:lang w:val="en-US"/>
        </w:rPr>
        <w:t xml:space="preserve"> of sources consists of various diplomatic documents, treaties, conceptual documents of a strategic nature (strategies, concepts, foreign policy doctrines) published by EU structures and Central Asian states, as well as stored in the archive of the Ministry of Foreign Affairs of the Republic of Kazakhstan [</w:t>
      </w:r>
      <w:r w:rsidR="59D09580" w:rsidRPr="0BE2D7A4">
        <w:rPr>
          <w:rFonts w:ascii="Times New Roman" w:hAnsi="Times New Roman" w:cs="Times New Roman"/>
          <w:sz w:val="28"/>
          <w:szCs w:val="28"/>
          <w:lang w:val="en-US"/>
        </w:rPr>
        <w:t>30</w:t>
      </w:r>
      <w:r w:rsidRPr="0BE2D7A4">
        <w:rPr>
          <w:rFonts w:ascii="Times New Roman" w:hAnsi="Times New Roman" w:cs="Times New Roman"/>
          <w:sz w:val="28"/>
          <w:szCs w:val="28"/>
          <w:lang w:val="en-US"/>
        </w:rPr>
        <w:t>-35].</w:t>
      </w:r>
    </w:p>
    <w:p w14:paraId="34DFE370" w14:textId="77777777" w:rsidR="00DD07CF" w:rsidRDefault="155010CB" w:rsidP="0BE2D7A4">
      <w:pPr>
        <w:spacing w:after="0" w:line="240" w:lineRule="auto"/>
        <w:ind w:firstLine="851"/>
        <w:jc w:val="both"/>
        <w:rPr>
          <w:rFonts w:ascii="Times New Roman" w:hAnsi="Times New Roman" w:cs="Times New Roman"/>
          <w:sz w:val="28"/>
          <w:szCs w:val="28"/>
          <w:lang w:val="en-US"/>
        </w:rPr>
      </w:pPr>
      <w:r w:rsidRPr="0BE2D7A4">
        <w:rPr>
          <w:rFonts w:ascii="Times New Roman" w:hAnsi="Times New Roman" w:cs="Times New Roman"/>
          <w:i/>
          <w:iCs/>
          <w:sz w:val="28"/>
          <w:szCs w:val="28"/>
          <w:lang w:val="en-US"/>
        </w:rPr>
        <w:t xml:space="preserve">The fourth group </w:t>
      </w:r>
      <w:r w:rsidRPr="0BE2D7A4">
        <w:rPr>
          <w:rFonts w:ascii="Times New Roman" w:hAnsi="Times New Roman" w:cs="Times New Roman"/>
          <w:sz w:val="28"/>
          <w:szCs w:val="28"/>
          <w:lang w:val="en-US"/>
        </w:rPr>
        <w:t>includes statistical data that cover a wide range of activities of the European Union and its relations with third countries (including trade between the EU and the Central Asian countries, the influx of European investments in the Central Asian economies, data on EU assistance provided to the states of the region) [36-4</w:t>
      </w:r>
      <w:r w:rsidR="39AA1061" w:rsidRPr="0BE2D7A4">
        <w:rPr>
          <w:rFonts w:ascii="Times New Roman" w:hAnsi="Times New Roman" w:cs="Times New Roman"/>
          <w:sz w:val="28"/>
          <w:szCs w:val="28"/>
          <w:lang w:val="en-US"/>
        </w:rPr>
        <w:t>3</w:t>
      </w:r>
      <w:r w:rsidRPr="0BE2D7A4">
        <w:rPr>
          <w:rFonts w:ascii="Times New Roman" w:hAnsi="Times New Roman" w:cs="Times New Roman"/>
          <w:sz w:val="28"/>
          <w:szCs w:val="28"/>
          <w:lang w:val="en-US"/>
        </w:rPr>
        <w:t>].</w:t>
      </w:r>
    </w:p>
    <w:p w14:paraId="107B3843" w14:textId="77777777" w:rsidR="00DD07CF" w:rsidRDefault="155010CB" w:rsidP="0BE2D7A4">
      <w:pPr>
        <w:spacing w:after="0" w:line="240" w:lineRule="auto"/>
        <w:ind w:firstLine="851"/>
        <w:jc w:val="both"/>
        <w:rPr>
          <w:rFonts w:ascii="Times New Roman" w:hAnsi="Times New Roman" w:cs="Times New Roman"/>
          <w:b/>
          <w:bCs/>
          <w:sz w:val="28"/>
          <w:szCs w:val="28"/>
          <w:lang w:val="en-US"/>
        </w:rPr>
      </w:pPr>
      <w:r w:rsidRPr="0BE2D7A4">
        <w:rPr>
          <w:rFonts w:ascii="Times New Roman" w:hAnsi="Times New Roman" w:cs="Times New Roman"/>
          <w:i/>
          <w:iCs/>
          <w:sz w:val="28"/>
          <w:szCs w:val="28"/>
          <w:lang w:val="en-US"/>
        </w:rPr>
        <w:t>The fifth group of sources</w:t>
      </w:r>
      <w:r w:rsidRPr="0BE2D7A4">
        <w:rPr>
          <w:rFonts w:ascii="Times New Roman" w:hAnsi="Times New Roman" w:cs="Times New Roman"/>
          <w:sz w:val="28"/>
          <w:szCs w:val="28"/>
          <w:lang w:val="en-US"/>
        </w:rPr>
        <w:t xml:space="preserve"> is represented by materials from periodicals and news agencies, official websites of EU institutions and departments of the Central Asian states, as well as materials from foreign and Central Asian expert circles [4</w:t>
      </w:r>
      <w:r w:rsidR="2E013E01" w:rsidRPr="0BE2D7A4">
        <w:rPr>
          <w:rFonts w:ascii="Times New Roman" w:hAnsi="Times New Roman" w:cs="Times New Roman"/>
          <w:sz w:val="28"/>
          <w:szCs w:val="28"/>
          <w:lang w:val="en-US"/>
        </w:rPr>
        <w:t>4</w:t>
      </w:r>
      <w:r w:rsidRPr="0BE2D7A4">
        <w:rPr>
          <w:rFonts w:ascii="Times New Roman" w:hAnsi="Times New Roman" w:cs="Times New Roman"/>
          <w:sz w:val="28"/>
          <w:szCs w:val="28"/>
          <w:lang w:val="en-US"/>
        </w:rPr>
        <w:t>-5</w:t>
      </w:r>
      <w:r w:rsidR="118AF0A3" w:rsidRPr="0BE2D7A4">
        <w:rPr>
          <w:rFonts w:ascii="Times New Roman" w:hAnsi="Times New Roman" w:cs="Times New Roman"/>
          <w:sz w:val="28"/>
          <w:szCs w:val="28"/>
          <w:lang w:val="en-US"/>
        </w:rPr>
        <w:t>5</w:t>
      </w:r>
      <w:r w:rsidRPr="0BE2D7A4">
        <w:rPr>
          <w:rFonts w:ascii="Times New Roman" w:hAnsi="Times New Roman" w:cs="Times New Roman"/>
          <w:sz w:val="28"/>
          <w:szCs w:val="28"/>
          <w:lang w:val="en-US"/>
        </w:rPr>
        <w:t>].</w:t>
      </w:r>
    </w:p>
    <w:p w14:paraId="75286D32" w14:textId="77777777" w:rsidR="00DD07CF" w:rsidRDefault="0BE2D7A4" w:rsidP="00E95D44">
      <w:pPr>
        <w:spacing w:after="0" w:line="240" w:lineRule="auto"/>
        <w:ind w:firstLine="851"/>
        <w:jc w:val="both"/>
        <w:rPr>
          <w:rFonts w:ascii="Times New Roman" w:hAnsi="Times New Roman" w:cs="Times New Roman"/>
          <w:b/>
          <w:bCs/>
          <w:sz w:val="28"/>
          <w:szCs w:val="28"/>
          <w:lang w:val="en-US"/>
        </w:rPr>
      </w:pPr>
      <w:r w:rsidRPr="0BE2D7A4">
        <w:rPr>
          <w:rFonts w:ascii="Times New Roman" w:hAnsi="Times New Roman" w:cs="Times New Roman"/>
          <w:b/>
          <w:bCs/>
          <w:sz w:val="28"/>
          <w:szCs w:val="28"/>
          <w:lang w:val="en-US"/>
        </w:rPr>
        <w:t xml:space="preserve">The degree of scientific elaboration of the problem. </w:t>
      </w:r>
      <w:r w:rsidR="7BFC0A0C" w:rsidRPr="0BE2D7A4">
        <w:rPr>
          <w:rFonts w:ascii="Times New Roman" w:hAnsi="Times New Roman" w:cs="Times New Roman"/>
          <w:sz w:val="28"/>
          <w:szCs w:val="28"/>
          <w:lang w:val="en-US"/>
        </w:rPr>
        <w:t xml:space="preserve">The issue related to the development of the EU foreign policy, in particular in Central Asia, has been present in scientific discourse for a long time, while the share of works devoted to a comprehensive analysis of the </w:t>
      </w:r>
      <w:r w:rsidR="7EFE2CB7" w:rsidRPr="0BE2D7A4">
        <w:rPr>
          <w:rFonts w:ascii="Times New Roman" w:hAnsi="Times New Roman" w:cs="Times New Roman"/>
          <w:sz w:val="28"/>
          <w:szCs w:val="28"/>
          <w:lang w:val="en-US"/>
        </w:rPr>
        <w:t xml:space="preserve">EU </w:t>
      </w:r>
      <w:r w:rsidR="7BFC0A0C" w:rsidRPr="0BE2D7A4">
        <w:rPr>
          <w:rFonts w:ascii="Times New Roman" w:hAnsi="Times New Roman" w:cs="Times New Roman"/>
          <w:sz w:val="28"/>
          <w:szCs w:val="28"/>
          <w:lang w:val="en-US"/>
        </w:rPr>
        <w:t>strategy</w:t>
      </w:r>
      <w:r w:rsidR="5550C55E" w:rsidRPr="0BE2D7A4">
        <w:rPr>
          <w:rFonts w:ascii="Times New Roman" w:hAnsi="Times New Roman" w:cs="Times New Roman"/>
          <w:sz w:val="28"/>
          <w:szCs w:val="28"/>
          <w:lang w:val="en-US"/>
        </w:rPr>
        <w:t xml:space="preserve"> of 2019</w:t>
      </w:r>
      <w:r w:rsidR="7BFC0A0C" w:rsidRPr="0BE2D7A4">
        <w:rPr>
          <w:rFonts w:ascii="Times New Roman" w:hAnsi="Times New Roman" w:cs="Times New Roman"/>
          <w:sz w:val="28"/>
          <w:szCs w:val="28"/>
          <w:lang w:val="en-US"/>
        </w:rPr>
        <w:t xml:space="preserve"> in the region</w:t>
      </w:r>
      <w:r w:rsidR="2E41A892" w:rsidRPr="0BE2D7A4">
        <w:rPr>
          <w:rFonts w:ascii="Times New Roman" w:hAnsi="Times New Roman" w:cs="Times New Roman"/>
          <w:sz w:val="28"/>
          <w:szCs w:val="28"/>
          <w:lang w:val="en-US"/>
        </w:rPr>
        <w:t xml:space="preserve"> and examination of internal and external factors influencing the implementation of the strategy</w:t>
      </w:r>
      <w:r w:rsidR="68A8F450" w:rsidRPr="0BE2D7A4">
        <w:rPr>
          <w:rFonts w:ascii="Times New Roman" w:hAnsi="Times New Roman" w:cs="Times New Roman"/>
          <w:sz w:val="28"/>
          <w:szCs w:val="28"/>
          <w:lang w:val="en-US"/>
        </w:rPr>
        <w:t xml:space="preserve">, </w:t>
      </w:r>
      <w:r w:rsidR="2E818110" w:rsidRPr="0BE2D7A4">
        <w:rPr>
          <w:rFonts w:ascii="Times New Roman" w:hAnsi="Times New Roman" w:cs="Times New Roman"/>
          <w:sz w:val="28"/>
          <w:szCs w:val="28"/>
          <w:lang w:val="en-US"/>
        </w:rPr>
        <w:t xml:space="preserve">including the COVID-19 and </w:t>
      </w:r>
      <w:r w:rsidR="68A8F450" w:rsidRPr="0BE2D7A4">
        <w:rPr>
          <w:rFonts w:ascii="Times New Roman" w:hAnsi="Times New Roman" w:cs="Times New Roman"/>
          <w:sz w:val="28"/>
          <w:szCs w:val="28"/>
          <w:lang w:val="en-US"/>
        </w:rPr>
        <w:t>the effectiveness of the strategy overall</w:t>
      </w:r>
      <w:r w:rsidR="2E41A892" w:rsidRPr="0BE2D7A4">
        <w:rPr>
          <w:rFonts w:ascii="Times New Roman" w:hAnsi="Times New Roman" w:cs="Times New Roman"/>
          <w:sz w:val="28"/>
          <w:szCs w:val="28"/>
          <w:lang w:val="en-US"/>
        </w:rPr>
        <w:t xml:space="preserve"> </w:t>
      </w:r>
      <w:r w:rsidR="7BFC0A0C" w:rsidRPr="0BE2D7A4">
        <w:rPr>
          <w:rFonts w:ascii="Times New Roman" w:hAnsi="Times New Roman" w:cs="Times New Roman"/>
          <w:sz w:val="28"/>
          <w:szCs w:val="28"/>
          <w:lang w:val="en-US"/>
        </w:rPr>
        <w:t xml:space="preserve"> is low.</w:t>
      </w:r>
    </w:p>
    <w:p w14:paraId="24FA5634" w14:textId="77777777" w:rsidR="00DD07CF" w:rsidRDefault="155010CB" w:rsidP="0BE2D7A4">
      <w:pPr>
        <w:tabs>
          <w:tab w:val="left" w:pos="5966"/>
        </w:tabs>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As for Kazakhstan, the priority of the European vector in the country's foreign policy is confirmed, first of all, by the work of the first persons of Kazakhstan: the First President of the Republic of Kazakhstan - N. Nazarbayev and the Head of State K. Tokayev. Fundamental coverage of the problems of geopolitics in Central Asia and its impact on Kazakhstan was reflected in the works of N. Nazarbayev "The Critical Decade" [56], "The Era of Independence" [57] and in a number of others. The works of K. Tokayev “Under the banner of independence” [58], “Foreign policy of the Republic of Kazakhstan during the formation of a new world order” [59], “Diplomacy of the Republic of Kazakhstan” [60] are devoted mainly to the priorities of Kazakhstan’s foreign policy, in which the equivalent </w:t>
      </w:r>
      <w:r w:rsidR="42BC4607" w:rsidRPr="0BE2D7A4">
        <w:rPr>
          <w:rFonts w:ascii="Times New Roman" w:hAnsi="Times New Roman" w:cs="Times New Roman"/>
          <w:sz w:val="28"/>
          <w:szCs w:val="28"/>
          <w:lang w:val="en-US"/>
        </w:rPr>
        <w:t>a</w:t>
      </w:r>
      <w:r w:rsidRPr="0BE2D7A4">
        <w:rPr>
          <w:rFonts w:ascii="Times New Roman" w:hAnsi="Times New Roman" w:cs="Times New Roman"/>
          <w:sz w:val="28"/>
          <w:szCs w:val="28"/>
          <w:lang w:val="en-US"/>
        </w:rPr>
        <w:t>ttention is paid to the relations of the Republic of Kazakhstan both with the world community and with the Central Asian neighbors.</w:t>
      </w:r>
    </w:p>
    <w:p w14:paraId="712FB9CA" w14:textId="77777777" w:rsidR="00DD07CF" w:rsidRDefault="0BE2D7A4" w:rsidP="0BE2D7A4">
      <w:pPr>
        <w:tabs>
          <w:tab w:val="left" w:pos="5966"/>
        </w:tabs>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It should be noted that the intention to expand partnership and cooperation with the European Union and its member states is reflected in the Foreign Policy Concept of the Republic of Kazakhstan for 2020-2030 [61], developed in accordance with the goals and objectives defined in the Strategy for Long-term and Sustainable Development until 2050, the Plan of the Nation "100 Concrete Steps to Implement Five Institutional Reforms" and the annual messages of the President to the people of Kazakhstan.</w:t>
      </w:r>
    </w:p>
    <w:p w14:paraId="40443D58" w14:textId="77777777" w:rsidR="00DD07CF" w:rsidRDefault="0BE2D7A4" w:rsidP="0BE2D7A4">
      <w:pPr>
        <w:tabs>
          <w:tab w:val="left" w:pos="5966"/>
        </w:tabs>
        <w:spacing w:after="0" w:line="240" w:lineRule="auto"/>
        <w:jc w:val="both"/>
        <w:rPr>
          <w:rFonts w:ascii="Times New Roman" w:hAnsi="Times New Roman" w:cs="Times New Roman"/>
          <w:sz w:val="28"/>
          <w:szCs w:val="28"/>
          <w:lang w:val="en-US"/>
        </w:rPr>
      </w:pPr>
      <w:r w:rsidRPr="60ECF5C7">
        <w:rPr>
          <w:rFonts w:ascii="Times New Roman" w:hAnsi="Times New Roman" w:cs="Times New Roman"/>
          <w:sz w:val="28"/>
          <w:szCs w:val="28"/>
          <w:lang w:val="en-US"/>
        </w:rPr>
        <w:t xml:space="preserve">        The study of the problems of European politics and strategies was devoted to the </w:t>
      </w:r>
      <w:r w:rsidR="00E95D44" w:rsidRPr="60ECF5C7">
        <w:rPr>
          <w:rFonts w:ascii="Times New Roman" w:hAnsi="Times New Roman" w:cs="Times New Roman"/>
          <w:sz w:val="28"/>
          <w:szCs w:val="28"/>
          <w:lang w:val="en-US"/>
        </w:rPr>
        <w:t>work</w:t>
      </w:r>
      <w:r w:rsidRPr="60ECF5C7">
        <w:rPr>
          <w:rFonts w:ascii="Times New Roman" w:hAnsi="Times New Roman" w:cs="Times New Roman"/>
          <w:sz w:val="28"/>
          <w:szCs w:val="28"/>
          <w:lang w:val="en-US"/>
        </w:rPr>
        <w:t xml:space="preserve"> of both domestic and foreign researchers. Among the studies of Kazakh scientists devoted to the policy of the European Union in the states of Central Asia in general and in Kazakhstan, in particular, it is first of all necessary to name the works of K. Bayzakova [62], M. Gubaidullina [63], Zh. Ibrashev and E. Yesenbayeva [64] , S. Kushkumbaev [65], M. Laumulin [66], B. Sultanov [67], G. Rakhmatulina [68], G. Movkebaeva [69], A. Chebotarev [70], S.Nurdavletova [71</w:t>
      </w:r>
      <w:r w:rsidR="68CEBF76" w:rsidRPr="60ECF5C7">
        <w:rPr>
          <w:rFonts w:ascii="Times New Roman" w:hAnsi="Times New Roman" w:cs="Times New Roman"/>
          <w:sz w:val="28"/>
          <w:szCs w:val="28"/>
          <w:lang w:val="en-US"/>
        </w:rPr>
        <w:t>-72</w:t>
      </w:r>
      <w:r w:rsidRPr="60ECF5C7">
        <w:rPr>
          <w:rFonts w:ascii="Times New Roman" w:hAnsi="Times New Roman" w:cs="Times New Roman"/>
          <w:sz w:val="28"/>
          <w:szCs w:val="28"/>
          <w:lang w:val="en-US"/>
        </w:rPr>
        <w:t>], Zh.Medeubayeva [7</w:t>
      </w:r>
      <w:r w:rsidR="4EFA2C81" w:rsidRPr="60ECF5C7">
        <w:rPr>
          <w:rFonts w:ascii="Times New Roman" w:hAnsi="Times New Roman" w:cs="Times New Roman"/>
          <w:sz w:val="28"/>
          <w:szCs w:val="28"/>
          <w:lang w:val="en-US"/>
        </w:rPr>
        <w:t>3</w:t>
      </w:r>
      <w:r w:rsidRPr="60ECF5C7">
        <w:rPr>
          <w:rFonts w:ascii="Times New Roman" w:hAnsi="Times New Roman" w:cs="Times New Roman"/>
          <w:sz w:val="28"/>
          <w:szCs w:val="28"/>
          <w:lang w:val="en-US"/>
        </w:rPr>
        <w:t>], R.Zhanbulatova [7</w:t>
      </w:r>
      <w:r w:rsidR="5B34EACF" w:rsidRPr="60ECF5C7">
        <w:rPr>
          <w:rFonts w:ascii="Times New Roman" w:hAnsi="Times New Roman" w:cs="Times New Roman"/>
          <w:sz w:val="28"/>
          <w:szCs w:val="28"/>
          <w:lang w:val="en-US"/>
        </w:rPr>
        <w:t>4</w:t>
      </w:r>
      <w:r w:rsidRPr="60ECF5C7">
        <w:rPr>
          <w:rFonts w:ascii="Times New Roman" w:hAnsi="Times New Roman" w:cs="Times New Roman"/>
          <w:sz w:val="28"/>
          <w:szCs w:val="28"/>
          <w:lang w:val="en-US"/>
        </w:rPr>
        <w:t xml:space="preserve">]. </w:t>
      </w:r>
    </w:p>
    <w:p w14:paraId="55029BB6" w14:textId="77777777" w:rsidR="00DD07CF" w:rsidRDefault="0BE2D7A4" w:rsidP="0BE2D7A4">
      <w:pPr>
        <w:tabs>
          <w:tab w:val="left" w:pos="5966"/>
        </w:tabs>
        <w:spacing w:after="0" w:line="240" w:lineRule="auto"/>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       The monograph by T. Suleimenov "Kazakhstan and the countries of Eastern Europe: the main directions and prospects of cooperation" [74] contributed to the formation of a complete understanding of the reform processes in the Eastern European countries, as well as the mechanisms for the formation of the Eastern European vector of Kazakhstan's foreign policy.</w:t>
      </w:r>
    </w:p>
    <w:p w14:paraId="51840AA7" w14:textId="77777777" w:rsidR="00DD07CF" w:rsidRDefault="0BE2D7A4" w:rsidP="0BE2D7A4">
      <w:pPr>
        <w:tabs>
          <w:tab w:val="left" w:pos="5966"/>
        </w:tabs>
        <w:spacing w:after="0" w:line="240" w:lineRule="auto"/>
        <w:jc w:val="both"/>
        <w:rPr>
          <w:rFonts w:ascii="Times New Roman" w:hAnsi="Times New Roman" w:cs="Times New Roman"/>
          <w:sz w:val="28"/>
          <w:szCs w:val="28"/>
          <w:lang w:val="en-US"/>
        </w:rPr>
      </w:pPr>
      <w:r w:rsidRPr="79B2C90B">
        <w:rPr>
          <w:rFonts w:ascii="Times New Roman" w:hAnsi="Times New Roman" w:cs="Times New Roman"/>
          <w:sz w:val="28"/>
          <w:szCs w:val="28"/>
          <w:lang w:val="en-US"/>
        </w:rPr>
        <w:t xml:space="preserve">       In the works of M. Laumulin, the first analytical materials of European researchers were clearly analyzed, in which the possible attitude of the EU countries to the Central Asian region and the Caspian was formulated [75]. Separately, the work of Timur Tokayev should be singled out, which presents a deep analysis of the evolution of cooperation between the Republic of Kazakhstan and the European Union until 2008 [7</w:t>
      </w:r>
      <w:r w:rsidR="16F72387" w:rsidRPr="79B2C90B">
        <w:rPr>
          <w:rFonts w:ascii="Times New Roman" w:hAnsi="Times New Roman" w:cs="Times New Roman"/>
          <w:sz w:val="28"/>
          <w:szCs w:val="28"/>
          <w:lang w:val="en-US"/>
        </w:rPr>
        <w:t>7</w:t>
      </w:r>
      <w:r w:rsidRPr="79B2C90B">
        <w:rPr>
          <w:rFonts w:ascii="Times New Roman" w:hAnsi="Times New Roman" w:cs="Times New Roman"/>
          <w:sz w:val="28"/>
          <w:szCs w:val="28"/>
          <w:lang w:val="en-US"/>
        </w:rPr>
        <w:t>].</w:t>
      </w:r>
    </w:p>
    <w:p w14:paraId="0C0F8C3A" w14:textId="77777777" w:rsidR="00DD07CF" w:rsidRDefault="0BE2D7A4" w:rsidP="0BE2D7A4">
      <w:pPr>
        <w:tabs>
          <w:tab w:val="left" w:pos="5966"/>
        </w:tabs>
        <w:spacing w:after="0" w:line="240" w:lineRule="auto"/>
        <w:jc w:val="both"/>
        <w:rPr>
          <w:rFonts w:ascii="Times New Roman" w:hAnsi="Times New Roman" w:cs="Times New Roman"/>
          <w:sz w:val="28"/>
          <w:szCs w:val="28"/>
          <w:lang w:val="en-US"/>
        </w:rPr>
      </w:pPr>
      <w:r w:rsidRPr="79B2C90B">
        <w:rPr>
          <w:rFonts w:ascii="Times New Roman" w:hAnsi="Times New Roman" w:cs="Times New Roman"/>
          <w:sz w:val="28"/>
          <w:szCs w:val="28"/>
          <w:lang w:val="en-US"/>
        </w:rPr>
        <w:t xml:space="preserve">        A relatively new view on EU cooperation with the Central Asian countries and, in particular, with the Republic of Kazakhstan is presented in the monograph by R. Kurmanguzhin [7</w:t>
      </w:r>
      <w:r w:rsidR="6AAD69ED" w:rsidRPr="79B2C90B">
        <w:rPr>
          <w:rFonts w:ascii="Times New Roman" w:hAnsi="Times New Roman" w:cs="Times New Roman"/>
          <w:sz w:val="28"/>
          <w:szCs w:val="28"/>
          <w:lang w:val="en-US"/>
        </w:rPr>
        <w:t>8</w:t>
      </w:r>
      <w:r w:rsidRPr="79B2C90B">
        <w:rPr>
          <w:rFonts w:ascii="Times New Roman" w:hAnsi="Times New Roman" w:cs="Times New Roman"/>
          <w:sz w:val="28"/>
          <w:szCs w:val="28"/>
          <w:lang w:val="en-US"/>
        </w:rPr>
        <w:t>], which contains a qualitative analysis of Kazakhstani initiatives on the European track of diplomacy in the period from 2000 to 2010. A significant support for this study was the works of Kazakh scientists A. Chebotarev and M. Gubaidullina, dedicated to the policies and strategies of the EU in Central Asia at different stages of cooperation - in 2007-2013 [7</w:t>
      </w:r>
      <w:r w:rsidR="248A6E92" w:rsidRPr="79B2C90B">
        <w:rPr>
          <w:rFonts w:ascii="Times New Roman" w:hAnsi="Times New Roman" w:cs="Times New Roman"/>
          <w:sz w:val="28"/>
          <w:szCs w:val="28"/>
          <w:lang w:val="en-US"/>
        </w:rPr>
        <w:t>9</w:t>
      </w:r>
      <w:r w:rsidRPr="79B2C90B">
        <w:rPr>
          <w:rFonts w:ascii="Times New Roman" w:hAnsi="Times New Roman" w:cs="Times New Roman"/>
          <w:sz w:val="28"/>
          <w:szCs w:val="28"/>
          <w:lang w:val="en-US"/>
        </w:rPr>
        <w:t>], as well as within the framework of the recently announced Strategy for 2019 [</w:t>
      </w:r>
      <w:r w:rsidR="1BB897FA" w:rsidRPr="79B2C90B">
        <w:rPr>
          <w:rFonts w:ascii="Times New Roman" w:hAnsi="Times New Roman" w:cs="Times New Roman"/>
          <w:sz w:val="28"/>
          <w:szCs w:val="28"/>
          <w:lang w:val="en-US"/>
        </w:rPr>
        <w:t>80</w:t>
      </w:r>
      <w:r w:rsidRPr="79B2C90B">
        <w:rPr>
          <w:rFonts w:ascii="Times New Roman" w:hAnsi="Times New Roman" w:cs="Times New Roman"/>
          <w:sz w:val="28"/>
          <w:szCs w:val="28"/>
          <w:lang w:val="en-US"/>
        </w:rPr>
        <w:t xml:space="preserve">]. </w:t>
      </w:r>
    </w:p>
    <w:p w14:paraId="1F113997" w14:textId="77777777" w:rsidR="0BE2D7A4" w:rsidRDefault="0BE2D7A4" w:rsidP="0BE2D7A4">
      <w:pPr>
        <w:tabs>
          <w:tab w:val="left" w:pos="5966"/>
        </w:tabs>
        <w:spacing w:after="0" w:line="240" w:lineRule="auto"/>
        <w:jc w:val="both"/>
        <w:rPr>
          <w:rFonts w:ascii="Times New Roman" w:hAnsi="Times New Roman" w:cs="Times New Roman"/>
          <w:sz w:val="28"/>
          <w:szCs w:val="28"/>
          <w:lang w:val="en-US"/>
        </w:rPr>
      </w:pPr>
      <w:r w:rsidRPr="79B2C90B">
        <w:rPr>
          <w:rFonts w:ascii="Times New Roman" w:hAnsi="Times New Roman" w:cs="Times New Roman"/>
          <w:sz w:val="28"/>
          <w:szCs w:val="28"/>
          <w:lang w:val="en-US"/>
        </w:rPr>
        <w:t xml:space="preserve">       Among the few comprehensive works devoted to the activities of the European Union in Central Asia, the works of some Central Asian researchers deserve special mention. Thus, the work of Uzbek experts V. Paramonov, A. Strokov and Z. Abduganieva provides an opportunity to better understand the results of EU cooperation with the countries of the region since the 1990s. Along with highlighting the strengths of European policy, the opinion of Uzbek experts that “the positions of the European Union in Central Asia are insignificant and, moreover, continue to decline” looks rather controversial [8</w:t>
      </w:r>
      <w:r w:rsidR="38F6A9EF" w:rsidRPr="79B2C90B">
        <w:rPr>
          <w:rFonts w:ascii="Times New Roman" w:hAnsi="Times New Roman" w:cs="Times New Roman"/>
          <w:sz w:val="28"/>
          <w:szCs w:val="28"/>
          <w:lang w:val="en-US"/>
        </w:rPr>
        <w:t>1</w:t>
      </w:r>
      <w:r w:rsidRPr="79B2C90B">
        <w:rPr>
          <w:rFonts w:ascii="Times New Roman" w:hAnsi="Times New Roman" w:cs="Times New Roman"/>
          <w:sz w:val="28"/>
          <w:szCs w:val="28"/>
          <w:lang w:val="en-US"/>
        </w:rPr>
        <w:t>].</w:t>
      </w:r>
    </w:p>
    <w:p w14:paraId="4B63862F" w14:textId="77777777" w:rsidR="727CE41A" w:rsidRDefault="727CE41A" w:rsidP="79B2C90B">
      <w:pPr>
        <w:tabs>
          <w:tab w:val="left" w:pos="5966"/>
        </w:tabs>
        <w:spacing w:after="0" w:line="240" w:lineRule="auto"/>
        <w:ind w:firstLine="708"/>
        <w:jc w:val="both"/>
        <w:rPr>
          <w:rFonts w:ascii="Times New Roman" w:hAnsi="Times New Roman" w:cs="Times New Roman"/>
          <w:sz w:val="28"/>
          <w:szCs w:val="28"/>
          <w:lang w:val="en-US"/>
        </w:rPr>
      </w:pPr>
      <w:r w:rsidRPr="79B2C90B">
        <w:rPr>
          <w:rFonts w:ascii="Times New Roman" w:hAnsi="Times New Roman" w:cs="Times New Roman"/>
          <w:sz w:val="28"/>
          <w:szCs w:val="28"/>
          <w:lang w:val="en-US"/>
        </w:rPr>
        <w:t xml:space="preserve">Among Uzbek researchers, we need to </w:t>
      </w:r>
      <w:r w:rsidR="37258A78" w:rsidRPr="79B2C90B">
        <w:rPr>
          <w:rFonts w:ascii="Times New Roman" w:hAnsi="Times New Roman" w:cs="Times New Roman"/>
          <w:sz w:val="28"/>
          <w:szCs w:val="28"/>
          <w:lang w:val="en-US"/>
        </w:rPr>
        <w:t>highlight</w:t>
      </w:r>
      <w:r w:rsidRPr="79B2C90B">
        <w:rPr>
          <w:rFonts w:ascii="Times New Roman" w:hAnsi="Times New Roman" w:cs="Times New Roman"/>
          <w:sz w:val="28"/>
          <w:szCs w:val="28"/>
          <w:lang w:val="en-US"/>
        </w:rPr>
        <w:t xml:space="preserve"> the works of M.</w:t>
      </w:r>
      <w:r w:rsidR="071B5D09" w:rsidRPr="79B2C90B">
        <w:rPr>
          <w:rFonts w:ascii="Times New Roman" w:hAnsi="Times New Roman" w:cs="Times New Roman"/>
          <w:sz w:val="28"/>
          <w:szCs w:val="28"/>
          <w:lang w:val="en-US"/>
        </w:rPr>
        <w:t>Rakhimov, who clearly focused on transformation of the EU-CA cooperation</w:t>
      </w:r>
      <w:r w:rsidR="0D52EF58" w:rsidRPr="79B2C90B">
        <w:rPr>
          <w:rFonts w:ascii="Times New Roman" w:hAnsi="Times New Roman" w:cs="Times New Roman"/>
          <w:sz w:val="28"/>
          <w:szCs w:val="28"/>
          <w:lang w:val="en-US"/>
        </w:rPr>
        <w:t>, i</w:t>
      </w:r>
      <w:r w:rsidR="0D52EF58" w:rsidRPr="79B2C90B">
        <w:rPr>
          <w:rFonts w:ascii="Times New Roman" w:eastAsia="Times New Roman" w:hAnsi="Times New Roman" w:cs="Times New Roman"/>
          <w:sz w:val="28"/>
          <w:szCs w:val="28"/>
          <w:lang w:val="en-US"/>
        </w:rPr>
        <w:t>nternal and external dynamics of regional cooperation in Central Asia [8</w:t>
      </w:r>
      <w:r w:rsidR="788FB639" w:rsidRPr="79B2C90B">
        <w:rPr>
          <w:rFonts w:ascii="Times New Roman" w:eastAsia="Times New Roman" w:hAnsi="Times New Roman" w:cs="Times New Roman"/>
          <w:sz w:val="28"/>
          <w:szCs w:val="28"/>
          <w:lang w:val="en-US"/>
        </w:rPr>
        <w:t>2</w:t>
      </w:r>
      <w:r w:rsidR="0D52EF58" w:rsidRPr="79B2C90B">
        <w:rPr>
          <w:rFonts w:ascii="Times New Roman" w:eastAsia="Times New Roman" w:hAnsi="Times New Roman" w:cs="Times New Roman"/>
          <w:sz w:val="28"/>
          <w:szCs w:val="28"/>
          <w:lang w:val="en-US"/>
        </w:rPr>
        <w:t>-8</w:t>
      </w:r>
      <w:r w:rsidR="71A5B5E4" w:rsidRPr="79B2C90B">
        <w:rPr>
          <w:rFonts w:ascii="Times New Roman" w:eastAsia="Times New Roman" w:hAnsi="Times New Roman" w:cs="Times New Roman"/>
          <w:sz w:val="28"/>
          <w:szCs w:val="28"/>
          <w:lang w:val="en-US"/>
        </w:rPr>
        <w:t>4</w:t>
      </w:r>
      <w:r w:rsidR="0F34E633" w:rsidRPr="79B2C90B">
        <w:rPr>
          <w:rFonts w:ascii="Times New Roman" w:eastAsia="Times New Roman" w:hAnsi="Times New Roman" w:cs="Times New Roman"/>
          <w:sz w:val="28"/>
          <w:szCs w:val="28"/>
          <w:lang w:val="en-US"/>
        </w:rPr>
        <w:t>].</w:t>
      </w:r>
    </w:p>
    <w:p w14:paraId="11F0F90D" w14:textId="77777777" w:rsidR="00DD07CF" w:rsidRDefault="0BE2D7A4" w:rsidP="0BE2D7A4">
      <w:pPr>
        <w:tabs>
          <w:tab w:val="left" w:pos="5966"/>
        </w:tabs>
        <w:spacing w:after="0" w:line="240" w:lineRule="auto"/>
        <w:jc w:val="both"/>
        <w:rPr>
          <w:rFonts w:ascii="Times New Roman" w:hAnsi="Times New Roman" w:cs="Times New Roman"/>
          <w:sz w:val="28"/>
          <w:szCs w:val="28"/>
          <w:lang w:val="en-US"/>
        </w:rPr>
      </w:pPr>
      <w:r w:rsidRPr="79B2C90B">
        <w:rPr>
          <w:rFonts w:ascii="Times New Roman" w:hAnsi="Times New Roman" w:cs="Times New Roman"/>
          <w:sz w:val="28"/>
          <w:szCs w:val="28"/>
          <w:lang w:val="en-US"/>
        </w:rPr>
        <w:t xml:space="preserve">       A broader understanding of the research topic was facilitated by the study of the work of Kyrgyz authors E. Juraev and N. Muratalieva, which examines the factors that prevented the successful implementation of EU policy in the region in the 2000s. Timely was an attempt to analyze the new EU strategy in Central Asia from 2019 and the conjugation of the strategies of other international actors in the region </w:t>
      </w:r>
      <w:r w:rsidR="00E95D44">
        <w:rPr>
          <w:rFonts w:ascii="Times New Roman" w:hAnsi="Times New Roman" w:cs="Times New Roman"/>
          <w:sz w:val="28"/>
          <w:szCs w:val="28"/>
          <w:lang w:val="en-US"/>
        </w:rPr>
        <w:t>–</w:t>
      </w:r>
      <w:r w:rsidRPr="79B2C90B">
        <w:rPr>
          <w:rFonts w:ascii="Times New Roman" w:hAnsi="Times New Roman" w:cs="Times New Roman"/>
          <w:sz w:val="28"/>
          <w:szCs w:val="28"/>
          <w:lang w:val="en-US"/>
        </w:rPr>
        <w:t xml:space="preserve"> China, the USA and Russia [8</w:t>
      </w:r>
      <w:r w:rsidR="24B5D224" w:rsidRPr="79B2C90B">
        <w:rPr>
          <w:rFonts w:ascii="Times New Roman" w:hAnsi="Times New Roman" w:cs="Times New Roman"/>
          <w:sz w:val="28"/>
          <w:szCs w:val="28"/>
          <w:lang w:val="en-US"/>
        </w:rPr>
        <w:t>5</w:t>
      </w:r>
      <w:r w:rsidRPr="79B2C90B">
        <w:rPr>
          <w:rFonts w:ascii="Times New Roman" w:hAnsi="Times New Roman" w:cs="Times New Roman"/>
          <w:sz w:val="28"/>
          <w:szCs w:val="28"/>
          <w:lang w:val="en-US"/>
        </w:rPr>
        <w:t>].</w:t>
      </w:r>
    </w:p>
    <w:p w14:paraId="7475A851" w14:textId="77777777" w:rsidR="00DD07CF" w:rsidRDefault="0BE2D7A4" w:rsidP="0BE2D7A4">
      <w:pPr>
        <w:tabs>
          <w:tab w:val="left" w:pos="5966"/>
        </w:tabs>
        <w:spacing w:after="0" w:line="240" w:lineRule="auto"/>
        <w:ind w:firstLine="708"/>
        <w:jc w:val="both"/>
        <w:rPr>
          <w:rFonts w:ascii="Times New Roman" w:hAnsi="Times New Roman" w:cs="Times New Roman"/>
          <w:sz w:val="28"/>
          <w:szCs w:val="28"/>
          <w:lang w:val="en-US"/>
        </w:rPr>
      </w:pPr>
      <w:r w:rsidRPr="79B2C90B">
        <w:rPr>
          <w:rFonts w:ascii="Times New Roman" w:hAnsi="Times New Roman" w:cs="Times New Roman"/>
          <w:sz w:val="28"/>
          <w:szCs w:val="28"/>
          <w:lang w:val="en-US"/>
        </w:rPr>
        <w:t>The opinion of the researcher F. Tolipov [8</w:t>
      </w:r>
      <w:r w:rsidR="6A3E2E66" w:rsidRPr="79B2C90B">
        <w:rPr>
          <w:rFonts w:ascii="Times New Roman" w:hAnsi="Times New Roman" w:cs="Times New Roman"/>
          <w:sz w:val="28"/>
          <w:szCs w:val="28"/>
          <w:lang w:val="en-US"/>
        </w:rPr>
        <w:t>6</w:t>
      </w:r>
      <w:r w:rsidRPr="79B2C90B">
        <w:rPr>
          <w:rFonts w:ascii="Times New Roman" w:hAnsi="Times New Roman" w:cs="Times New Roman"/>
          <w:sz w:val="28"/>
          <w:szCs w:val="28"/>
          <w:lang w:val="en-US"/>
        </w:rPr>
        <w:t>], according to which the EU Strategy should be more focused on the regional approach, seems rational from the point of view of Uzbekistan. Obviously, this will contribute to a more effective solution of joint problems by the Central Asian countries, however, on the other hand, it will not allow taking into account the individual needs and capabilities of each of them.</w:t>
      </w:r>
    </w:p>
    <w:p w14:paraId="26A787CF" w14:textId="77777777" w:rsidR="00DD07CF" w:rsidRDefault="0BE2D7A4" w:rsidP="0BE2D7A4">
      <w:pPr>
        <w:tabs>
          <w:tab w:val="left" w:pos="5966"/>
        </w:tabs>
        <w:spacing w:after="0" w:line="240" w:lineRule="auto"/>
        <w:ind w:firstLine="708"/>
        <w:jc w:val="both"/>
        <w:rPr>
          <w:rFonts w:ascii="Times New Roman" w:hAnsi="Times New Roman" w:cs="Times New Roman"/>
          <w:sz w:val="28"/>
          <w:szCs w:val="28"/>
          <w:lang w:val="en-US"/>
        </w:rPr>
      </w:pPr>
      <w:r w:rsidRPr="79B2C90B">
        <w:rPr>
          <w:rFonts w:ascii="Times New Roman" w:hAnsi="Times New Roman" w:cs="Times New Roman"/>
          <w:sz w:val="28"/>
          <w:szCs w:val="28"/>
          <w:lang w:val="en-US"/>
        </w:rPr>
        <w:t>Among foreign studies on the issues under study, especially those published in recent years, it is important to note the works of Antonio Alonso Marcos, who specifically focuses on EU-CA cooperation [8</w:t>
      </w:r>
      <w:r w:rsidR="7549AA0C" w:rsidRPr="79B2C90B">
        <w:rPr>
          <w:rFonts w:ascii="Times New Roman" w:hAnsi="Times New Roman" w:cs="Times New Roman"/>
          <w:sz w:val="28"/>
          <w:szCs w:val="28"/>
          <w:lang w:val="en-US"/>
        </w:rPr>
        <w:t>7</w:t>
      </w:r>
      <w:r w:rsidR="10B0E4C3" w:rsidRPr="79B2C90B">
        <w:rPr>
          <w:rFonts w:ascii="Times New Roman" w:hAnsi="Times New Roman" w:cs="Times New Roman"/>
          <w:sz w:val="28"/>
          <w:szCs w:val="28"/>
          <w:lang w:val="en-US"/>
        </w:rPr>
        <w:t>-</w:t>
      </w:r>
      <w:r w:rsidR="049BBEAD" w:rsidRPr="79B2C90B">
        <w:rPr>
          <w:rFonts w:ascii="Times New Roman" w:hAnsi="Times New Roman" w:cs="Times New Roman"/>
          <w:sz w:val="28"/>
          <w:szCs w:val="28"/>
          <w:lang w:val="en-US"/>
        </w:rPr>
        <w:t>90</w:t>
      </w:r>
      <w:r w:rsidRPr="79B2C90B">
        <w:rPr>
          <w:rFonts w:ascii="Times New Roman" w:hAnsi="Times New Roman" w:cs="Times New Roman"/>
          <w:sz w:val="28"/>
          <w:szCs w:val="28"/>
          <w:lang w:val="en-US"/>
        </w:rPr>
        <w:t>].</w:t>
      </w:r>
    </w:p>
    <w:p w14:paraId="3C282B67" w14:textId="77777777" w:rsidR="00DD07CF" w:rsidRDefault="0BE2D7A4" w:rsidP="79B2C90B">
      <w:pPr>
        <w:tabs>
          <w:tab w:val="left" w:pos="5966"/>
        </w:tabs>
        <w:spacing w:after="0" w:line="240" w:lineRule="auto"/>
        <w:ind w:firstLine="708"/>
        <w:jc w:val="both"/>
        <w:rPr>
          <w:rFonts w:ascii="Times New Roman" w:hAnsi="Times New Roman" w:cs="Times New Roman"/>
          <w:sz w:val="28"/>
          <w:szCs w:val="28"/>
          <w:lang w:val="en-US"/>
        </w:rPr>
      </w:pPr>
      <w:r w:rsidRPr="79B2C90B">
        <w:rPr>
          <w:rFonts w:ascii="Times New Roman" w:hAnsi="Times New Roman" w:cs="Times New Roman"/>
          <w:sz w:val="28"/>
          <w:szCs w:val="28"/>
          <w:lang w:val="en-US"/>
        </w:rPr>
        <w:t>It is also worth highlighting the work of Spanish scientists M. Esteban and N. de Pedro, written with the participation of Kazakhstani experts. It presents quite well the policies of the world's leading actors in the region, including the European Union. The conclusion that the European Union has no geopolitical ambitions in Central Asia seems to be partially justified in the context of the expediency of strengthening the economic and educational component [</w:t>
      </w:r>
      <w:r w:rsidR="2494A077" w:rsidRPr="79B2C90B">
        <w:rPr>
          <w:rFonts w:ascii="Times New Roman" w:hAnsi="Times New Roman" w:cs="Times New Roman"/>
          <w:sz w:val="28"/>
          <w:szCs w:val="28"/>
          <w:lang w:val="en-US"/>
        </w:rPr>
        <w:t>9</w:t>
      </w:r>
      <w:r w:rsidR="41FEC7EA" w:rsidRPr="79B2C90B">
        <w:rPr>
          <w:rFonts w:ascii="Times New Roman" w:hAnsi="Times New Roman" w:cs="Times New Roman"/>
          <w:sz w:val="28"/>
          <w:szCs w:val="28"/>
          <w:lang w:val="en-US"/>
        </w:rPr>
        <w:t>1</w:t>
      </w:r>
      <w:r w:rsidRPr="79B2C90B">
        <w:rPr>
          <w:rFonts w:ascii="Times New Roman" w:hAnsi="Times New Roman" w:cs="Times New Roman"/>
          <w:sz w:val="28"/>
          <w:szCs w:val="28"/>
          <w:lang w:val="en-US"/>
        </w:rPr>
        <w:t>].</w:t>
      </w:r>
    </w:p>
    <w:p w14:paraId="4E9EBF54" w14:textId="77777777" w:rsidR="00DD07CF" w:rsidRDefault="0BE2D7A4" w:rsidP="79B2C90B">
      <w:pPr>
        <w:tabs>
          <w:tab w:val="left" w:pos="5966"/>
        </w:tabs>
        <w:spacing w:after="0" w:line="240" w:lineRule="auto"/>
        <w:ind w:firstLine="708"/>
        <w:jc w:val="both"/>
        <w:rPr>
          <w:rFonts w:ascii="Times New Roman" w:hAnsi="Times New Roman" w:cs="Times New Roman"/>
          <w:sz w:val="28"/>
          <w:szCs w:val="28"/>
          <w:lang w:val="en-US"/>
        </w:rPr>
      </w:pPr>
      <w:r w:rsidRPr="79B2C90B">
        <w:rPr>
          <w:rFonts w:ascii="Times New Roman" w:hAnsi="Times New Roman" w:cs="Times New Roman"/>
          <w:sz w:val="28"/>
          <w:szCs w:val="28"/>
          <w:lang w:val="en-US"/>
        </w:rPr>
        <w:t>O. Speiser's monograph was very interesting for analytical understanding of the results of European-Central Asian cooperation. This is one of the few works that rightly questions the EU's traditional claim of universal applicability and effectiveness of European norms/regulatory power as a tool of soft power [</w:t>
      </w:r>
      <w:r w:rsidR="2CD98C40" w:rsidRPr="79B2C90B">
        <w:rPr>
          <w:rFonts w:ascii="Times New Roman" w:hAnsi="Times New Roman" w:cs="Times New Roman"/>
          <w:sz w:val="28"/>
          <w:szCs w:val="28"/>
          <w:lang w:val="en-US"/>
        </w:rPr>
        <w:t>9</w:t>
      </w:r>
      <w:r w:rsidR="5FE3C50D" w:rsidRPr="79B2C90B">
        <w:rPr>
          <w:rFonts w:ascii="Times New Roman" w:hAnsi="Times New Roman" w:cs="Times New Roman"/>
          <w:sz w:val="28"/>
          <w:szCs w:val="28"/>
          <w:lang w:val="en-US"/>
        </w:rPr>
        <w:t>2</w:t>
      </w:r>
      <w:r w:rsidRPr="79B2C90B">
        <w:rPr>
          <w:rFonts w:ascii="Times New Roman" w:hAnsi="Times New Roman" w:cs="Times New Roman"/>
          <w:sz w:val="28"/>
          <w:szCs w:val="28"/>
          <w:lang w:val="en-US"/>
        </w:rPr>
        <w:t>]. One cannot but agree with some of the reasoned arguments leading to the idea that the European Union needs to develop a realistic discourse that can meaningfully change its foreign policy, in which the emphasis should be placed on ensuring international order and security.</w:t>
      </w:r>
    </w:p>
    <w:p w14:paraId="1123D21F" w14:textId="77777777" w:rsidR="0BE2D7A4" w:rsidRDefault="0BE2D7A4" w:rsidP="79B2C90B">
      <w:pPr>
        <w:tabs>
          <w:tab w:val="left" w:pos="5966"/>
        </w:tabs>
        <w:spacing w:after="0" w:line="240" w:lineRule="auto"/>
        <w:jc w:val="both"/>
        <w:rPr>
          <w:rFonts w:ascii="Times New Roman" w:hAnsi="Times New Roman" w:cs="Times New Roman"/>
          <w:sz w:val="28"/>
          <w:szCs w:val="28"/>
          <w:lang w:val="en-US"/>
        </w:rPr>
      </w:pPr>
      <w:r w:rsidRPr="79B2C90B">
        <w:rPr>
          <w:rFonts w:ascii="Times New Roman" w:hAnsi="Times New Roman" w:cs="Times New Roman"/>
          <w:sz w:val="28"/>
          <w:szCs w:val="28"/>
          <w:lang w:val="en-US"/>
        </w:rPr>
        <w:t xml:space="preserve">        An undoubted contribution to this study was made by the work of F. Starr and S. Cornell</w:t>
      </w:r>
      <w:r w:rsidR="1C7F4FBE" w:rsidRPr="79B2C90B">
        <w:rPr>
          <w:rFonts w:ascii="Times New Roman" w:hAnsi="Times New Roman" w:cs="Times New Roman"/>
          <w:sz w:val="28"/>
          <w:szCs w:val="28"/>
          <w:lang w:val="en-US"/>
        </w:rPr>
        <w:t xml:space="preserve"> [93-94]</w:t>
      </w:r>
      <w:r w:rsidRPr="79B2C90B">
        <w:rPr>
          <w:rFonts w:ascii="Times New Roman" w:hAnsi="Times New Roman" w:cs="Times New Roman"/>
          <w:sz w:val="28"/>
          <w:szCs w:val="28"/>
          <w:lang w:val="en-US"/>
        </w:rPr>
        <w:t xml:space="preserve">. Thus, one can partly agree with the authors that the policy of the West, represented by the US and the EU, was uncoordinated in Central Asia, where issues of promoting democracy and human rights were </w:t>
      </w:r>
      <w:r w:rsidR="00E95D44" w:rsidRPr="79B2C90B">
        <w:rPr>
          <w:rFonts w:ascii="Times New Roman" w:hAnsi="Times New Roman" w:cs="Times New Roman"/>
          <w:sz w:val="28"/>
          <w:szCs w:val="28"/>
          <w:lang w:val="en-US"/>
        </w:rPr>
        <w:t>shortsightedly</w:t>
      </w:r>
      <w:r w:rsidRPr="79B2C90B">
        <w:rPr>
          <w:rFonts w:ascii="Times New Roman" w:hAnsi="Times New Roman" w:cs="Times New Roman"/>
          <w:sz w:val="28"/>
          <w:szCs w:val="28"/>
          <w:lang w:val="en-US"/>
        </w:rPr>
        <w:t xml:space="preserve"> put at the forefront, rather than pragmatic goals. At the same time, Western scholars suggest that the countries of Central Asia could become an example for the entire Muslim world as a model of developed and properly governed Muslim states.</w:t>
      </w:r>
    </w:p>
    <w:p w14:paraId="3857577C" w14:textId="77777777" w:rsidR="0BE2D7A4" w:rsidRDefault="0BE2D7A4" w:rsidP="0BE2D7A4">
      <w:pPr>
        <w:tabs>
          <w:tab w:val="left" w:pos="5966"/>
        </w:tabs>
        <w:spacing w:after="0" w:line="240" w:lineRule="auto"/>
        <w:ind w:firstLine="708"/>
        <w:jc w:val="both"/>
        <w:rPr>
          <w:rFonts w:ascii="Times New Roman" w:hAnsi="Times New Roman" w:cs="Times New Roman"/>
          <w:sz w:val="28"/>
          <w:szCs w:val="28"/>
          <w:lang w:val="en-US"/>
        </w:rPr>
      </w:pPr>
      <w:r w:rsidRPr="79B2C90B">
        <w:rPr>
          <w:rFonts w:ascii="Times New Roman" w:hAnsi="Times New Roman" w:cs="Times New Roman"/>
          <w:sz w:val="28"/>
          <w:szCs w:val="28"/>
          <w:lang w:val="en-US"/>
        </w:rPr>
        <w:t>In addition, a significant amount of information for understanding the subject of research will be drawn from the periodical press and materials from analytical centers, among which are the Euractiv and New Europe publishing houses, the Belgian Royal Institute of International Relations Egmont, the European Institute of Asian Studies, the European information portal of the Europe - Central Asia monitoring project ( EUCAM), coordinator of which is the authoritative analyst J. Boonstra, as well as the Institute of Europe of the Russian Academy of Sciences [</w:t>
      </w:r>
      <w:r w:rsidR="6A887063" w:rsidRPr="79B2C90B">
        <w:rPr>
          <w:rFonts w:ascii="Times New Roman" w:hAnsi="Times New Roman" w:cs="Times New Roman"/>
          <w:sz w:val="28"/>
          <w:szCs w:val="28"/>
          <w:lang w:val="en-US"/>
        </w:rPr>
        <w:t>9</w:t>
      </w:r>
      <w:r w:rsidR="6EF66842" w:rsidRPr="79B2C90B">
        <w:rPr>
          <w:rFonts w:ascii="Times New Roman" w:hAnsi="Times New Roman" w:cs="Times New Roman"/>
          <w:sz w:val="28"/>
          <w:szCs w:val="28"/>
          <w:lang w:val="en-US"/>
        </w:rPr>
        <w:t>5</w:t>
      </w:r>
      <w:r w:rsidRPr="79B2C90B">
        <w:rPr>
          <w:rFonts w:ascii="Times New Roman" w:hAnsi="Times New Roman" w:cs="Times New Roman"/>
          <w:sz w:val="28"/>
          <w:szCs w:val="28"/>
          <w:lang w:val="en-US"/>
        </w:rPr>
        <w:t xml:space="preserve">]. </w:t>
      </w:r>
    </w:p>
    <w:p w14:paraId="31BBEC16" w14:textId="77777777" w:rsidR="003C7EEF" w:rsidRDefault="2BD80D8D" w:rsidP="003C7EEF">
      <w:pPr>
        <w:tabs>
          <w:tab w:val="left" w:pos="1134"/>
        </w:tabs>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b/>
          <w:bCs/>
          <w:color w:val="000000" w:themeColor="text1"/>
          <w:sz w:val="28"/>
          <w:szCs w:val="28"/>
          <w:lang w:val="en-US"/>
        </w:rPr>
        <w:t>The scientific novelty of the study</w:t>
      </w:r>
      <w:r w:rsidRPr="0BE2D7A4">
        <w:rPr>
          <w:rFonts w:ascii="Times New Roman" w:eastAsia="Times New Roman" w:hAnsi="Times New Roman" w:cs="Times New Roman"/>
          <w:color w:val="000000" w:themeColor="text1"/>
          <w:sz w:val="28"/>
          <w:szCs w:val="28"/>
          <w:lang w:val="en-US"/>
        </w:rPr>
        <w:t xml:space="preserve"> lies in the fact that for the first time in it:</w:t>
      </w:r>
    </w:p>
    <w:p w14:paraId="37B5847B" w14:textId="77777777" w:rsidR="003C7EEF" w:rsidRDefault="003C7EEF" w:rsidP="003C7EEF">
      <w:pPr>
        <w:tabs>
          <w:tab w:val="left" w:pos="1134"/>
        </w:tabs>
        <w:spacing w:after="0" w:line="240" w:lineRule="auto"/>
        <w:ind w:firstLine="709"/>
        <w:jc w:val="both"/>
        <w:rPr>
          <w:rFonts w:ascii="Times New Roman" w:eastAsia="Times New Roman" w:hAnsi="Times New Roman" w:cs="Times New Roman"/>
          <w:sz w:val="28"/>
          <w:szCs w:val="28"/>
          <w:lang w:val="en-US"/>
        </w:rPr>
      </w:pPr>
      <w:r w:rsidRPr="003C7EEF">
        <w:rPr>
          <w:rFonts w:ascii="Times New Roman" w:eastAsia="Times New Roman" w:hAnsi="Times New Roman" w:cs="Times New Roman"/>
          <w:color w:val="000000" w:themeColor="text1"/>
          <w:sz w:val="28"/>
          <w:szCs w:val="28"/>
          <w:lang w:val="en-US"/>
        </w:rPr>
        <w:t>1.</w:t>
      </w:r>
      <w:r>
        <w:rPr>
          <w:rFonts w:ascii="Times New Roman" w:eastAsia="Times New Roman" w:hAnsi="Times New Roman" w:cs="Times New Roman"/>
          <w:b/>
          <w:bCs/>
          <w:color w:val="000000" w:themeColor="text1"/>
          <w:sz w:val="28"/>
          <w:szCs w:val="28"/>
          <w:lang w:val="en-US"/>
        </w:rPr>
        <w:t xml:space="preserve"> </w:t>
      </w:r>
      <w:r w:rsidR="2BD80D8D" w:rsidRPr="003C7EEF">
        <w:rPr>
          <w:rFonts w:ascii="Times New Roman" w:eastAsia="Times New Roman" w:hAnsi="Times New Roman" w:cs="Times New Roman"/>
          <w:i/>
          <w:iCs/>
          <w:color w:val="000000" w:themeColor="text1"/>
          <w:sz w:val="28"/>
          <w:szCs w:val="28"/>
          <w:lang w:val="en-US"/>
        </w:rPr>
        <w:t>Exploration of the New EU Strategy of 2019 for Central Asia.</w:t>
      </w:r>
      <w:r w:rsidR="2BD80D8D" w:rsidRPr="003C7EEF">
        <w:rPr>
          <w:lang w:val="en-US"/>
        </w:rPr>
        <w:br/>
      </w:r>
      <w:r w:rsidR="2BD80D8D" w:rsidRPr="003C7EEF">
        <w:rPr>
          <w:rFonts w:ascii="Times New Roman" w:eastAsia="Times New Roman" w:hAnsi="Times New Roman" w:cs="Times New Roman"/>
          <w:color w:val="000000" w:themeColor="text1"/>
          <w:sz w:val="28"/>
          <w:szCs w:val="28"/>
          <w:lang w:val="en-US"/>
        </w:rPr>
        <w:t>While previous studies have focused on individual aspects of EU-CA relations, such as trade, security, or governance, this research provides a holistic examination of the new EU Strategy for Central Asia and its impact on fostering cohesion between the EU and the five Central Asian countries. By analyzing the specific goals, instruments, and initiatives introduced in the 2019 strategy, the study fills a gap in understanding how the EU’s updated framework influences the alignment of EU and CA priorities, and the degree to which it contributes to regional stability, economic development, and political cooperation.</w:t>
      </w:r>
    </w:p>
    <w:p w14:paraId="4B2EE54D" w14:textId="77777777" w:rsidR="003C7EEF" w:rsidRDefault="003C7EEF" w:rsidP="003C7EEF">
      <w:pPr>
        <w:tabs>
          <w:tab w:val="left" w:pos="1134"/>
        </w:tabs>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2. </w:t>
      </w:r>
      <w:r w:rsidR="2BD80D8D" w:rsidRPr="003C7EEF">
        <w:rPr>
          <w:rFonts w:ascii="Times New Roman" w:eastAsia="Times New Roman" w:hAnsi="Times New Roman" w:cs="Times New Roman"/>
          <w:i/>
          <w:iCs/>
          <w:color w:val="000000" w:themeColor="text1"/>
          <w:sz w:val="28"/>
          <w:szCs w:val="28"/>
          <w:lang w:val="en-US"/>
        </w:rPr>
        <w:t>In-Depth Comparison of Two Different Policy Frameworks (2007, 2019).</w:t>
      </w:r>
      <w:r w:rsidR="2BD80D8D" w:rsidRPr="003C7EEF">
        <w:rPr>
          <w:rFonts w:ascii="Times New Roman" w:eastAsia="Times New Roman" w:hAnsi="Times New Roman" w:cs="Times New Roman"/>
          <w:b/>
          <w:bCs/>
          <w:color w:val="000000" w:themeColor="text1"/>
          <w:sz w:val="28"/>
          <w:szCs w:val="28"/>
          <w:lang w:val="en-US"/>
        </w:rPr>
        <w:t xml:space="preserve"> </w:t>
      </w:r>
      <w:r w:rsidR="2BD80D8D" w:rsidRPr="003C7EEF">
        <w:rPr>
          <w:rFonts w:ascii="Times New Roman" w:eastAsia="Times New Roman" w:hAnsi="Times New Roman" w:cs="Times New Roman"/>
          <w:color w:val="000000" w:themeColor="text1"/>
          <w:sz w:val="28"/>
          <w:szCs w:val="28"/>
          <w:lang w:val="en-US"/>
        </w:rPr>
        <w:t>The research provides a comprehensive, side-by-side comparison of the 2007 EU Strategy for Central Asia and the 2019 EU Strategy, demonstrating how the EU's strategic objectives and priorities have evolved over the course of more than a decade. The novelty lies in identifying the key shifts in the EU’s approach to the region, such as the transition from a primarily bilateral approach to a more regional and multilateral focus, as well as the heightened emphasis on economic cooperation, sustainability, and geopolitical context. This comparative perspective offers a deeper understanding of how the EU's approach has adapted to changing global dynamics and the growing influence of external actors like Russia and China.</w:t>
      </w:r>
    </w:p>
    <w:p w14:paraId="3A05A62A" w14:textId="77777777" w:rsidR="003C7EEF" w:rsidRDefault="003C7EEF" w:rsidP="003C7EEF">
      <w:pPr>
        <w:tabs>
          <w:tab w:val="left" w:pos="1134"/>
        </w:tabs>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r>
        <w:rPr>
          <w:rFonts w:ascii="Times New Roman" w:eastAsia="Times New Roman" w:hAnsi="Times New Roman" w:cs="Times New Roman"/>
          <w:i/>
          <w:iCs/>
          <w:color w:val="000000" w:themeColor="text1"/>
          <w:sz w:val="28"/>
          <w:szCs w:val="28"/>
          <w:lang w:val="en-US"/>
        </w:rPr>
        <w:t xml:space="preserve"> </w:t>
      </w:r>
      <w:r w:rsidR="2BD80D8D" w:rsidRPr="003C7EEF">
        <w:rPr>
          <w:rFonts w:ascii="Times New Roman" w:eastAsia="Times New Roman" w:hAnsi="Times New Roman" w:cs="Times New Roman"/>
          <w:i/>
          <w:iCs/>
          <w:color w:val="000000" w:themeColor="text1"/>
          <w:sz w:val="28"/>
          <w:szCs w:val="28"/>
          <w:lang w:val="en-US"/>
        </w:rPr>
        <w:t>Identification and analysis of cohesion factors.</w:t>
      </w:r>
      <w:r w:rsidR="00817A6D">
        <w:rPr>
          <w:lang w:val="en-US"/>
        </w:rPr>
        <w:t xml:space="preserve"> </w:t>
      </w:r>
      <w:r w:rsidR="2BD80D8D" w:rsidRPr="003C7EEF">
        <w:rPr>
          <w:rFonts w:ascii="Times New Roman" w:eastAsia="Times New Roman" w:hAnsi="Times New Roman" w:cs="Times New Roman"/>
          <w:color w:val="000000" w:themeColor="text1"/>
          <w:sz w:val="28"/>
          <w:szCs w:val="28"/>
          <w:lang w:val="en-US"/>
        </w:rPr>
        <w:t>The research offers a fresh perspective by systematically identifying and analyzing the factors of cohesion that underpin EU-CA cooperation. These factors, including political alignment, economic interdependence, security cooperation, and cultural influence, are examined in relation to how they contribute to or hinder the development of a stronger, more integrated EU-CA partnership. This focus on cohesion, which is often underexplored in EU-CA scholarship, provides a deeper understanding of the conditions necessary for the EU to strengthen its influence in Central Asia and achieve sustainable cooperation.</w:t>
      </w:r>
    </w:p>
    <w:p w14:paraId="684BE99D" w14:textId="77777777" w:rsidR="003C7EEF" w:rsidRDefault="003C7EEF" w:rsidP="003C7EEF">
      <w:pPr>
        <w:tabs>
          <w:tab w:val="left" w:pos="1134"/>
        </w:tabs>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r>
        <w:rPr>
          <w:rFonts w:ascii="Times New Roman" w:eastAsia="Times New Roman" w:hAnsi="Times New Roman" w:cs="Times New Roman"/>
          <w:i/>
          <w:iCs/>
          <w:color w:val="000000" w:themeColor="text1"/>
          <w:sz w:val="28"/>
          <w:szCs w:val="28"/>
          <w:lang w:val="en-US"/>
        </w:rPr>
        <w:t xml:space="preserve"> </w:t>
      </w:r>
      <w:r w:rsidR="2BD80D8D" w:rsidRPr="003C7EEF">
        <w:rPr>
          <w:rFonts w:ascii="Times New Roman" w:eastAsia="Times New Roman" w:hAnsi="Times New Roman" w:cs="Times New Roman"/>
          <w:i/>
          <w:iCs/>
          <w:color w:val="000000" w:themeColor="text1"/>
          <w:sz w:val="28"/>
          <w:szCs w:val="28"/>
          <w:lang w:val="en-US"/>
        </w:rPr>
        <w:t>Integration of geopolitical and normative dimensions.</w:t>
      </w:r>
      <w:r w:rsidR="00817A6D">
        <w:rPr>
          <w:lang w:val="en-US"/>
        </w:rPr>
        <w:t xml:space="preserve"> </w:t>
      </w:r>
      <w:r w:rsidR="2BD80D8D" w:rsidRPr="003C7EEF">
        <w:rPr>
          <w:rFonts w:ascii="Times New Roman" w:eastAsia="Times New Roman" w:hAnsi="Times New Roman" w:cs="Times New Roman"/>
          <w:color w:val="000000" w:themeColor="text1"/>
          <w:sz w:val="28"/>
          <w:szCs w:val="28"/>
          <w:lang w:val="en-US"/>
        </w:rPr>
        <w:t>The study integrates both geopolitical and normative dimensions of EU-CA relations, examining how the EU's external relations framework intersects with global power dynamics (e.g., Russia, China) and the EU's promotion of values such as democracy, human rights, and the rule of law. The research innovatively connects these two dimensions by analyzing how geopolitical competition influences the EU's normative agenda and the potential for Central Asian countries to align with or resist the EU’s values-based approach. This dual perspective adds a new layer of analysis to the literature on EU foreign policy and Central Asian geopolitics.</w:t>
      </w:r>
    </w:p>
    <w:p w14:paraId="314F3BCC" w14:textId="77777777" w:rsidR="003C7EEF" w:rsidRDefault="003C7EEF" w:rsidP="003C7EEF">
      <w:pPr>
        <w:tabs>
          <w:tab w:val="left" w:pos="1134"/>
        </w:tabs>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r>
        <w:rPr>
          <w:rFonts w:ascii="Times New Roman" w:eastAsia="Times New Roman" w:hAnsi="Times New Roman" w:cs="Times New Roman"/>
          <w:i/>
          <w:iCs/>
          <w:color w:val="000000" w:themeColor="text1"/>
          <w:sz w:val="28"/>
          <w:szCs w:val="28"/>
          <w:lang w:val="en-US"/>
        </w:rPr>
        <w:t xml:space="preserve"> </w:t>
      </w:r>
      <w:r w:rsidR="2BD80D8D" w:rsidRPr="003C7EEF">
        <w:rPr>
          <w:rFonts w:ascii="Times New Roman" w:eastAsia="Times New Roman" w:hAnsi="Times New Roman" w:cs="Times New Roman"/>
          <w:i/>
          <w:iCs/>
          <w:color w:val="000000" w:themeColor="text1"/>
          <w:sz w:val="28"/>
          <w:szCs w:val="28"/>
          <w:lang w:val="en-US"/>
        </w:rPr>
        <w:t xml:space="preserve">Use of </w:t>
      </w:r>
      <w:r>
        <w:rPr>
          <w:rFonts w:ascii="Times New Roman" w:eastAsia="Times New Roman" w:hAnsi="Times New Roman" w:cs="Times New Roman"/>
          <w:i/>
          <w:iCs/>
          <w:color w:val="000000" w:themeColor="text1"/>
          <w:sz w:val="28"/>
          <w:szCs w:val="28"/>
          <w:lang w:val="en-US"/>
        </w:rPr>
        <w:t>m</w:t>
      </w:r>
      <w:r w:rsidR="2BD80D8D" w:rsidRPr="003C7EEF">
        <w:rPr>
          <w:rFonts w:ascii="Times New Roman" w:eastAsia="Times New Roman" w:hAnsi="Times New Roman" w:cs="Times New Roman"/>
          <w:i/>
          <w:iCs/>
          <w:color w:val="000000" w:themeColor="text1"/>
          <w:sz w:val="28"/>
          <w:szCs w:val="28"/>
          <w:lang w:val="en-US"/>
        </w:rPr>
        <w:t>ulti-</w:t>
      </w:r>
      <w:r>
        <w:rPr>
          <w:rFonts w:ascii="Times New Roman" w:eastAsia="Times New Roman" w:hAnsi="Times New Roman" w:cs="Times New Roman"/>
          <w:i/>
          <w:iCs/>
          <w:color w:val="000000" w:themeColor="text1"/>
          <w:sz w:val="28"/>
          <w:szCs w:val="28"/>
          <w:lang w:val="en-US"/>
        </w:rPr>
        <w:t>m</w:t>
      </w:r>
      <w:r w:rsidR="2BD80D8D" w:rsidRPr="003C7EEF">
        <w:rPr>
          <w:rFonts w:ascii="Times New Roman" w:eastAsia="Times New Roman" w:hAnsi="Times New Roman" w:cs="Times New Roman"/>
          <w:i/>
          <w:iCs/>
          <w:color w:val="000000" w:themeColor="text1"/>
          <w:sz w:val="28"/>
          <w:szCs w:val="28"/>
          <w:lang w:val="en-US"/>
        </w:rPr>
        <w:t xml:space="preserve">ethod </w:t>
      </w:r>
      <w:r>
        <w:rPr>
          <w:rFonts w:ascii="Times New Roman" w:eastAsia="Times New Roman" w:hAnsi="Times New Roman" w:cs="Times New Roman"/>
          <w:i/>
          <w:iCs/>
          <w:color w:val="000000" w:themeColor="text1"/>
          <w:sz w:val="28"/>
          <w:szCs w:val="28"/>
          <w:lang w:val="en-US"/>
        </w:rPr>
        <w:t>a</w:t>
      </w:r>
      <w:r w:rsidR="2BD80D8D" w:rsidRPr="003C7EEF">
        <w:rPr>
          <w:rFonts w:ascii="Times New Roman" w:eastAsia="Times New Roman" w:hAnsi="Times New Roman" w:cs="Times New Roman"/>
          <w:i/>
          <w:iCs/>
          <w:color w:val="000000" w:themeColor="text1"/>
          <w:sz w:val="28"/>
          <w:szCs w:val="28"/>
          <w:lang w:val="en-US"/>
        </w:rPr>
        <w:t>pproach</w:t>
      </w:r>
      <w:r>
        <w:rPr>
          <w:rFonts w:ascii="Times New Roman" w:eastAsia="Times New Roman" w:hAnsi="Times New Roman" w:cs="Times New Roman"/>
          <w:i/>
          <w:iCs/>
          <w:color w:val="000000" w:themeColor="text1"/>
          <w:sz w:val="28"/>
          <w:szCs w:val="28"/>
          <w:lang w:val="en-US"/>
        </w:rPr>
        <w:t>.</w:t>
      </w:r>
      <w:r w:rsidR="00817A6D">
        <w:rPr>
          <w:lang w:val="en-US"/>
        </w:rPr>
        <w:t xml:space="preserve"> </w:t>
      </w:r>
      <w:r w:rsidR="2BD80D8D" w:rsidRPr="003C7EEF">
        <w:rPr>
          <w:rFonts w:ascii="Times New Roman" w:eastAsia="Times New Roman" w:hAnsi="Times New Roman" w:cs="Times New Roman"/>
          <w:color w:val="000000" w:themeColor="text1"/>
          <w:sz w:val="28"/>
          <w:szCs w:val="28"/>
          <w:lang w:val="en-US"/>
        </w:rPr>
        <w:t>The study employs a multi-method approach, combining document analysis, comparative policy analysis, and case studies of EU-CA cooperation projects. This methodological innovation allows for a nuanced and comprehensive analysis of the dynamics at play in EU-CA relations. By triangulating different data sources, the research provides a richer, more nuanced understanding of the factors contributing to cohesion in EU-CA cooperation and offers new insights into how EU policies are operationalized in practice.</w:t>
      </w:r>
    </w:p>
    <w:p w14:paraId="38C89DDB" w14:textId="77777777" w:rsidR="003C7EEF" w:rsidRDefault="003C7EEF" w:rsidP="003C7EEF">
      <w:pPr>
        <w:tabs>
          <w:tab w:val="left" w:pos="1134"/>
        </w:tabs>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r>
        <w:rPr>
          <w:rFonts w:ascii="Times New Roman" w:eastAsia="Times New Roman" w:hAnsi="Times New Roman" w:cs="Times New Roman"/>
          <w:i/>
          <w:iCs/>
          <w:color w:val="000000" w:themeColor="text1"/>
          <w:sz w:val="28"/>
          <w:szCs w:val="28"/>
          <w:lang w:val="en-US"/>
        </w:rPr>
        <w:t xml:space="preserve"> </w:t>
      </w:r>
      <w:r w:rsidR="2BD80D8D" w:rsidRPr="003C7EEF">
        <w:rPr>
          <w:rFonts w:ascii="Times New Roman" w:eastAsia="Times New Roman" w:hAnsi="Times New Roman" w:cs="Times New Roman"/>
          <w:i/>
          <w:iCs/>
          <w:color w:val="000000" w:themeColor="text1"/>
          <w:sz w:val="28"/>
          <w:szCs w:val="28"/>
          <w:lang w:val="en-US"/>
        </w:rPr>
        <w:t xml:space="preserve">Identification and </w:t>
      </w:r>
      <w:r>
        <w:rPr>
          <w:rFonts w:ascii="Times New Roman" w:eastAsia="Times New Roman" w:hAnsi="Times New Roman" w:cs="Times New Roman"/>
          <w:i/>
          <w:iCs/>
          <w:color w:val="000000" w:themeColor="text1"/>
          <w:sz w:val="28"/>
          <w:szCs w:val="28"/>
          <w:lang w:val="en-US"/>
        </w:rPr>
        <w:t>a</w:t>
      </w:r>
      <w:r w:rsidR="2BD80D8D" w:rsidRPr="003C7EEF">
        <w:rPr>
          <w:rFonts w:ascii="Times New Roman" w:eastAsia="Times New Roman" w:hAnsi="Times New Roman" w:cs="Times New Roman"/>
          <w:i/>
          <w:iCs/>
          <w:color w:val="000000" w:themeColor="text1"/>
          <w:sz w:val="28"/>
          <w:szCs w:val="28"/>
          <w:lang w:val="en-US"/>
        </w:rPr>
        <w:t xml:space="preserve">nalysis of </w:t>
      </w:r>
      <w:r>
        <w:rPr>
          <w:rFonts w:ascii="Times New Roman" w:eastAsia="Times New Roman" w:hAnsi="Times New Roman" w:cs="Times New Roman"/>
          <w:i/>
          <w:iCs/>
          <w:color w:val="000000" w:themeColor="text1"/>
          <w:sz w:val="28"/>
          <w:szCs w:val="28"/>
          <w:lang w:val="en-US"/>
        </w:rPr>
        <w:t>k</w:t>
      </w:r>
      <w:r w:rsidR="2BD80D8D" w:rsidRPr="003C7EEF">
        <w:rPr>
          <w:rFonts w:ascii="Times New Roman" w:eastAsia="Times New Roman" w:hAnsi="Times New Roman" w:cs="Times New Roman"/>
          <w:i/>
          <w:iCs/>
          <w:color w:val="000000" w:themeColor="text1"/>
          <w:sz w:val="28"/>
          <w:szCs w:val="28"/>
          <w:lang w:val="en-US"/>
        </w:rPr>
        <w:t xml:space="preserve">ey </w:t>
      </w:r>
      <w:r>
        <w:rPr>
          <w:rFonts w:ascii="Times New Roman" w:eastAsia="Times New Roman" w:hAnsi="Times New Roman" w:cs="Times New Roman"/>
          <w:i/>
          <w:iCs/>
          <w:color w:val="000000" w:themeColor="text1"/>
          <w:sz w:val="28"/>
          <w:szCs w:val="28"/>
          <w:lang w:val="en-US"/>
        </w:rPr>
        <w:t>b</w:t>
      </w:r>
      <w:r w:rsidR="2BD80D8D" w:rsidRPr="003C7EEF">
        <w:rPr>
          <w:rFonts w:ascii="Times New Roman" w:eastAsia="Times New Roman" w:hAnsi="Times New Roman" w:cs="Times New Roman"/>
          <w:i/>
          <w:iCs/>
          <w:color w:val="000000" w:themeColor="text1"/>
          <w:sz w:val="28"/>
          <w:szCs w:val="28"/>
          <w:lang w:val="en-US"/>
        </w:rPr>
        <w:t>arriers.</w:t>
      </w:r>
      <w:r w:rsidR="00817A6D">
        <w:rPr>
          <w:lang w:val="en-US"/>
        </w:rPr>
        <w:t xml:space="preserve"> </w:t>
      </w:r>
      <w:r w:rsidR="2BD80D8D" w:rsidRPr="003C7EEF">
        <w:rPr>
          <w:rFonts w:ascii="Times New Roman" w:eastAsia="Times New Roman" w:hAnsi="Times New Roman" w:cs="Times New Roman"/>
          <w:color w:val="000000" w:themeColor="text1"/>
          <w:sz w:val="28"/>
          <w:szCs w:val="28"/>
          <w:lang w:val="en-US"/>
        </w:rPr>
        <w:t>The study offers an innovative approach to categorizing and analyzing the barriers that impede the implementation of the EU’s strategy in Central Asia. These barriers are explored across multiple dimensions, including geopolitical, economic, political, and cultural factors. The research highlights specific challenges</w:t>
      </w:r>
      <w:r w:rsidR="49C51F59" w:rsidRPr="003C7EEF">
        <w:rPr>
          <w:rFonts w:ascii="Times New Roman" w:eastAsia="Times New Roman" w:hAnsi="Times New Roman" w:cs="Times New Roman"/>
          <w:color w:val="000000" w:themeColor="text1"/>
          <w:sz w:val="28"/>
          <w:szCs w:val="28"/>
          <w:lang w:val="en-US"/>
        </w:rPr>
        <w:t>.</w:t>
      </w:r>
    </w:p>
    <w:p w14:paraId="4A963CFE" w14:textId="77777777" w:rsidR="003C7EEF" w:rsidRDefault="2BD80D8D" w:rsidP="003C7EEF">
      <w:pPr>
        <w:tabs>
          <w:tab w:val="left" w:pos="1134"/>
        </w:tabs>
        <w:spacing w:after="0" w:line="240" w:lineRule="auto"/>
        <w:ind w:firstLine="709"/>
        <w:jc w:val="both"/>
        <w:rPr>
          <w:rFonts w:ascii="Times New Roman" w:eastAsia="Times New Roman" w:hAnsi="Times New Roman" w:cs="Times New Roman"/>
          <w:sz w:val="28"/>
          <w:szCs w:val="28"/>
          <w:lang w:val="en-US"/>
        </w:rPr>
      </w:pPr>
      <w:r w:rsidRPr="00BE02A5">
        <w:rPr>
          <w:rFonts w:ascii="Times New Roman" w:eastAsia="Times New Roman" w:hAnsi="Times New Roman" w:cs="Times New Roman"/>
          <w:color w:val="000000" w:themeColor="text1"/>
          <w:sz w:val="28"/>
          <w:szCs w:val="28"/>
          <w:lang w:val="en-US"/>
        </w:rPr>
        <w:t xml:space="preserve">The scientific novelty of this study lies in its comprehensive, multidimensional analysis of the factors driving cohesion in EU-CA cooperation, its novel integration of geopolitical and normative considerations, and its empirical approach to understanding the impact of the new EU Strategy for Central Asia. </w:t>
      </w:r>
    </w:p>
    <w:p w14:paraId="4F6F15CA" w14:textId="77777777" w:rsidR="003C7EEF" w:rsidRDefault="0BE2D7A4" w:rsidP="003C7EEF">
      <w:pPr>
        <w:tabs>
          <w:tab w:val="left" w:pos="1134"/>
        </w:tabs>
        <w:spacing w:after="0" w:line="240" w:lineRule="auto"/>
        <w:ind w:firstLine="709"/>
        <w:jc w:val="both"/>
        <w:rPr>
          <w:rFonts w:ascii="Times New Roman" w:eastAsia="Times New Roman" w:hAnsi="Times New Roman" w:cs="Times New Roman"/>
          <w:sz w:val="28"/>
          <w:szCs w:val="28"/>
          <w:lang w:val="en-US"/>
        </w:rPr>
      </w:pPr>
      <w:r w:rsidRPr="0BE2D7A4">
        <w:rPr>
          <w:rFonts w:ascii="Times New Roman" w:hAnsi="Times New Roman" w:cs="Times New Roman"/>
          <w:b/>
          <w:bCs/>
          <w:sz w:val="28"/>
          <w:szCs w:val="28"/>
          <w:lang w:val="en-US"/>
        </w:rPr>
        <w:t>Theoretical and practical significance of the research.</w:t>
      </w:r>
      <w:r>
        <w:rPr>
          <w:rFonts w:ascii="Times New Roman" w:hAnsi="Times New Roman" w:cs="Times New Roman"/>
          <w:sz w:val="28"/>
          <w:szCs w:val="28"/>
          <w:lang w:val="en-US"/>
        </w:rPr>
        <w:t xml:space="preserve"> This study is intended to qualitatively supplement the existing body of work on cooperation between the European Union and Central Asia. The main provisions and conclusions can be used by specialists in international relations and foreign policy in the implementation of scientific developments, the preparation of textbooks and the teaching of special courses in higher educational institutions.</w:t>
      </w:r>
    </w:p>
    <w:p w14:paraId="13A0C528" w14:textId="77777777" w:rsidR="003C7EEF" w:rsidRDefault="0BE2D7A4" w:rsidP="003C7EEF">
      <w:pPr>
        <w:tabs>
          <w:tab w:val="left" w:pos="1134"/>
        </w:tabs>
        <w:spacing w:after="0" w:line="240" w:lineRule="auto"/>
        <w:ind w:firstLine="709"/>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In practical terms, the proposals and recommendations contained in the study can be applied in the state structures of Kazakhstan and the Central Asian countries, as well as public and research institutions that cooperate and deal with the issues of interaction between the European Union and Central Asia.</w:t>
      </w:r>
    </w:p>
    <w:p w14:paraId="7E5153C9" w14:textId="77777777" w:rsidR="00DD07CF" w:rsidRPr="003C7EEF" w:rsidRDefault="3C04E511" w:rsidP="003C7EEF">
      <w:pPr>
        <w:tabs>
          <w:tab w:val="left" w:pos="1134"/>
        </w:tabs>
        <w:spacing w:after="0" w:line="240" w:lineRule="auto"/>
        <w:ind w:firstLine="709"/>
        <w:jc w:val="both"/>
        <w:rPr>
          <w:rFonts w:ascii="Times New Roman" w:eastAsia="Times New Roman" w:hAnsi="Times New Roman" w:cs="Times New Roman"/>
          <w:sz w:val="28"/>
          <w:szCs w:val="28"/>
          <w:lang w:val="en-US"/>
        </w:rPr>
      </w:pPr>
      <w:r w:rsidRPr="08F4E6D4">
        <w:rPr>
          <w:rFonts w:ascii="Times New Roman" w:hAnsi="Times New Roman" w:cs="Times New Roman"/>
          <w:b/>
          <w:bCs/>
          <w:sz w:val="28"/>
          <w:szCs w:val="28"/>
          <w:lang w:val="en-US"/>
        </w:rPr>
        <w:t>Basic provisions for defense.</w:t>
      </w:r>
      <w:r w:rsidR="31014707" w:rsidRPr="08F4E6D4">
        <w:rPr>
          <w:rFonts w:ascii="Times New Roman" w:hAnsi="Times New Roman" w:cs="Times New Roman"/>
          <w:b/>
          <w:bCs/>
          <w:sz w:val="28"/>
          <w:szCs w:val="28"/>
          <w:lang w:val="en-US"/>
        </w:rPr>
        <w:t xml:space="preserve"> </w:t>
      </w:r>
      <w:r w:rsidR="31014707" w:rsidRPr="3C552ADE">
        <w:rPr>
          <w:rFonts w:ascii="Times New Roman" w:hAnsi="Times New Roman" w:cs="Times New Roman"/>
          <w:sz w:val="28"/>
          <w:szCs w:val="28"/>
          <w:lang w:val="en-US"/>
        </w:rPr>
        <w:t xml:space="preserve">The work puts forward the following hypotheses: </w:t>
      </w:r>
    </w:p>
    <w:p w14:paraId="0689EE4A" w14:textId="77777777" w:rsidR="04895DF7" w:rsidRDefault="04895DF7" w:rsidP="0BE2D7A4">
      <w:pPr>
        <w:spacing w:after="0" w:line="240" w:lineRule="auto"/>
        <w:ind w:firstLine="709"/>
        <w:jc w:val="both"/>
        <w:rPr>
          <w:rFonts w:ascii="Times New Roman" w:eastAsia="Times New Roman" w:hAnsi="Times New Roman" w:cs="Times New Roman"/>
          <w:i/>
          <w:iCs/>
          <w:color w:val="000000" w:themeColor="text1"/>
          <w:sz w:val="28"/>
          <w:szCs w:val="28"/>
          <w:lang w:val="en-US"/>
        </w:rPr>
      </w:pPr>
      <w:r w:rsidRPr="00BE02A5">
        <w:rPr>
          <w:rFonts w:ascii="Times New Roman" w:eastAsia="Times New Roman" w:hAnsi="Times New Roman" w:cs="Times New Roman"/>
          <w:i/>
          <w:iCs/>
          <w:color w:val="000000" w:themeColor="text1"/>
          <w:sz w:val="28"/>
          <w:szCs w:val="28"/>
          <w:lang w:val="en-US"/>
        </w:rPr>
        <w:t xml:space="preserve">1. The </w:t>
      </w:r>
      <w:r w:rsidRPr="0BE2D7A4">
        <w:rPr>
          <w:rFonts w:ascii="Times New Roman" w:eastAsia="Times New Roman" w:hAnsi="Times New Roman" w:cs="Times New Roman"/>
          <w:i/>
          <w:iCs/>
          <w:color w:val="000000" w:themeColor="text1"/>
          <w:sz w:val="28"/>
          <w:szCs w:val="28"/>
          <w:lang w:val="en-US"/>
        </w:rPr>
        <w:t>n</w:t>
      </w:r>
      <w:r w:rsidRPr="00BE02A5">
        <w:rPr>
          <w:rFonts w:ascii="Times New Roman" w:eastAsia="Times New Roman" w:hAnsi="Times New Roman" w:cs="Times New Roman"/>
          <w:i/>
          <w:iCs/>
          <w:color w:val="000000" w:themeColor="text1"/>
          <w:sz w:val="28"/>
          <w:szCs w:val="28"/>
          <w:lang w:val="en-US"/>
        </w:rPr>
        <w:t>ew EU Strategy for Central Asia (2019) significantly shapes the nature of EU-CA cooperation.</w:t>
      </w:r>
    </w:p>
    <w:p w14:paraId="5499DAB1" w14:textId="77777777" w:rsidR="04895DF7" w:rsidRDefault="04895DF7" w:rsidP="0BE2D7A4">
      <w:pPr>
        <w:spacing w:after="0" w:line="240" w:lineRule="auto"/>
        <w:ind w:firstLine="709"/>
        <w:jc w:val="both"/>
        <w:rPr>
          <w:rFonts w:ascii="Times New Roman" w:eastAsia="Times New Roman" w:hAnsi="Times New Roman" w:cs="Times New Roman"/>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The study demonstrates that the EU’s revised Strategy for Central Asia (2019) has led to notable changes in the dynamics and goals of EU-CA relations. It introduces a more comprehensive approach, emphasizing not only economic cooperation but also human rights, good governance, security, and sustainable development. This new strategic framework provides a clear vision for deeper collaboration and alignment of interests, addressing both the EU’s priorities and the evolving needs of Central Asian countries.</w:t>
      </w:r>
    </w:p>
    <w:p w14:paraId="7672DC7C" w14:textId="77777777" w:rsidR="04895DF7" w:rsidRDefault="04895DF7" w:rsidP="0BE2D7A4">
      <w:pPr>
        <w:spacing w:after="0" w:line="240" w:lineRule="auto"/>
        <w:ind w:firstLine="709"/>
        <w:jc w:val="both"/>
        <w:rPr>
          <w:rFonts w:ascii="Times New Roman" w:eastAsia="Times New Roman" w:hAnsi="Times New Roman" w:cs="Times New Roman"/>
          <w:i/>
          <w:iCs/>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 xml:space="preserve">2. </w:t>
      </w:r>
      <w:r w:rsidRPr="00BE02A5">
        <w:rPr>
          <w:rFonts w:ascii="Times New Roman" w:eastAsia="Times New Roman" w:hAnsi="Times New Roman" w:cs="Times New Roman"/>
          <w:i/>
          <w:iCs/>
          <w:color w:val="000000" w:themeColor="text1"/>
          <w:sz w:val="28"/>
          <w:szCs w:val="28"/>
          <w:lang w:val="en-US"/>
        </w:rPr>
        <w:t>Cohesion in EU-CA cooperation is driven by multiple interrelated factors.</w:t>
      </w:r>
    </w:p>
    <w:p w14:paraId="0AB3A04B" w14:textId="77777777" w:rsidR="04895DF7" w:rsidRDefault="04895DF7" w:rsidP="0BE2D7A4">
      <w:pPr>
        <w:tabs>
          <w:tab w:val="num" w:pos="720"/>
        </w:tabs>
        <w:spacing w:after="0" w:line="240" w:lineRule="auto"/>
        <w:ind w:firstLine="709"/>
        <w:jc w:val="both"/>
        <w:rPr>
          <w:rFonts w:ascii="Times New Roman" w:eastAsia="Times New Roman" w:hAnsi="Times New Roman" w:cs="Times New Roman"/>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The research argues that the cohesion of EU-CA cooperation is determined by a combination of political, economic, security, and normative factors. The study identifies key areas where cooperation fosters mutual benefits, such as economic interdependence; political alignment; security cooperation: cultural and normative cooperation.</w:t>
      </w:r>
    </w:p>
    <w:p w14:paraId="1260C578" w14:textId="77777777" w:rsidR="04895DF7" w:rsidRDefault="04895DF7" w:rsidP="0BE2D7A4">
      <w:pPr>
        <w:spacing w:after="0" w:line="240" w:lineRule="auto"/>
        <w:ind w:firstLine="709"/>
        <w:jc w:val="both"/>
        <w:rPr>
          <w:rFonts w:ascii="Times New Roman" w:eastAsia="Times New Roman" w:hAnsi="Times New Roman" w:cs="Times New Roman"/>
          <w:i/>
          <w:iCs/>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3.</w:t>
      </w:r>
      <w:r w:rsidRPr="00BE02A5">
        <w:rPr>
          <w:rFonts w:ascii="Times New Roman" w:eastAsia="Times New Roman" w:hAnsi="Times New Roman" w:cs="Times New Roman"/>
          <w:i/>
          <w:iCs/>
          <w:color w:val="000000" w:themeColor="text1"/>
          <w:sz w:val="28"/>
          <w:szCs w:val="28"/>
          <w:lang w:val="en-US"/>
        </w:rPr>
        <w:t xml:space="preserve"> Central Asia’s agency in EU-CA cooperation is a key determinant of success.</w:t>
      </w:r>
    </w:p>
    <w:p w14:paraId="7DCA5635" w14:textId="77777777" w:rsidR="04895DF7" w:rsidRDefault="04895DF7" w:rsidP="0BE2D7A4">
      <w:pPr>
        <w:spacing w:after="0" w:line="240" w:lineRule="auto"/>
        <w:ind w:firstLine="709"/>
        <w:jc w:val="both"/>
        <w:rPr>
          <w:rFonts w:ascii="Times New Roman" w:eastAsia="Times New Roman" w:hAnsi="Times New Roman" w:cs="Times New Roman"/>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A core finding of the research is the recognition of Central Asian countries as active agents in shaping the nature and direction of EU-CA relations. The study argues that the countries in Central Asia do not simply follow EU directives but make strategic decisions based on their own national interests and regional priorities. The dynamics of EU-CA cooperation, therefore, depend on the willingness and ability of Central Asian states to engage with the EU in a manner that aligns with their geopolitical, economic, and security objectives.</w:t>
      </w:r>
    </w:p>
    <w:p w14:paraId="29B717E5" w14:textId="77777777" w:rsidR="04895DF7" w:rsidRDefault="04895DF7" w:rsidP="0BE2D7A4">
      <w:pPr>
        <w:spacing w:after="0" w:line="240" w:lineRule="auto"/>
        <w:ind w:firstLine="709"/>
        <w:jc w:val="both"/>
        <w:rPr>
          <w:rFonts w:ascii="Times New Roman" w:eastAsia="Times New Roman" w:hAnsi="Times New Roman" w:cs="Times New Roman"/>
          <w:i/>
          <w:iCs/>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 xml:space="preserve">4. </w:t>
      </w:r>
      <w:r w:rsidRPr="00BE02A5">
        <w:rPr>
          <w:rFonts w:ascii="Times New Roman" w:eastAsia="Times New Roman" w:hAnsi="Times New Roman" w:cs="Times New Roman"/>
          <w:i/>
          <w:iCs/>
          <w:color w:val="000000" w:themeColor="text1"/>
          <w:sz w:val="28"/>
          <w:szCs w:val="28"/>
          <w:lang w:val="en-US"/>
        </w:rPr>
        <w:t>The EU’s normative power is central to fostering cohesion.</w:t>
      </w:r>
    </w:p>
    <w:p w14:paraId="363B78F4" w14:textId="77777777" w:rsidR="04895DF7" w:rsidRDefault="04895DF7" w:rsidP="0BE2D7A4">
      <w:pPr>
        <w:spacing w:after="0" w:line="240" w:lineRule="auto"/>
        <w:ind w:firstLine="709"/>
        <w:jc w:val="both"/>
        <w:rPr>
          <w:rFonts w:ascii="Times New Roman" w:eastAsia="Times New Roman" w:hAnsi="Times New Roman" w:cs="Times New Roman"/>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The study defends the concept of Normative Power Europe (NPE) as a critical factor in strengthening cohesion in EU-CA cooperation. By promoting European values such as human rights, democracy, and the rule of law, the EU influences the political and social development of Central Asia. The research shows that the EU’s normative power, when effectively applied, contributes to greater cohesion in the partnership, despite the differences in political systems and cultural contexts between the EU and Central Asia.</w:t>
      </w:r>
    </w:p>
    <w:p w14:paraId="3B81EC92" w14:textId="77777777" w:rsidR="04895DF7" w:rsidRDefault="04895DF7" w:rsidP="0BE2D7A4">
      <w:pPr>
        <w:spacing w:after="0" w:line="240" w:lineRule="auto"/>
        <w:ind w:firstLine="709"/>
        <w:jc w:val="both"/>
        <w:rPr>
          <w:rFonts w:ascii="Times New Roman" w:eastAsia="Times New Roman" w:hAnsi="Times New Roman" w:cs="Times New Roman"/>
          <w:i/>
          <w:iCs/>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 xml:space="preserve">5. </w:t>
      </w:r>
      <w:r w:rsidRPr="00BE02A5">
        <w:rPr>
          <w:rFonts w:ascii="Times New Roman" w:eastAsia="Times New Roman" w:hAnsi="Times New Roman" w:cs="Times New Roman"/>
          <w:i/>
          <w:iCs/>
          <w:color w:val="000000" w:themeColor="text1"/>
          <w:sz w:val="28"/>
          <w:szCs w:val="28"/>
          <w:lang w:val="en-US"/>
        </w:rPr>
        <w:t>The EU Strategy for Central Asia faces challenges but offers opportunities for long-term cooperation.</w:t>
      </w:r>
    </w:p>
    <w:p w14:paraId="2516CFBE" w14:textId="77777777" w:rsidR="34FA7479" w:rsidRDefault="34FA7479" w:rsidP="0BE2D7A4">
      <w:pPr>
        <w:spacing w:after="0" w:line="240" w:lineRule="auto"/>
        <w:ind w:firstLine="708"/>
        <w:jc w:val="both"/>
        <w:rPr>
          <w:rFonts w:ascii="Times New Roman" w:eastAsia="Times New Roman" w:hAnsi="Times New Roman" w:cs="Times New Roman"/>
          <w:color w:val="000000" w:themeColor="text1"/>
          <w:sz w:val="28"/>
          <w:szCs w:val="28"/>
          <w:lang w:val="en-US"/>
        </w:rPr>
      </w:pPr>
      <w:r w:rsidRPr="00BE02A5">
        <w:rPr>
          <w:rFonts w:ascii="Times New Roman" w:eastAsia="Times New Roman" w:hAnsi="Times New Roman" w:cs="Times New Roman"/>
          <w:color w:val="000000" w:themeColor="text1"/>
          <w:sz w:val="28"/>
          <w:szCs w:val="28"/>
          <w:lang w:val="en-US"/>
        </w:rPr>
        <w:t>W</w:t>
      </w:r>
      <w:r w:rsidR="04895DF7" w:rsidRPr="00BE02A5">
        <w:rPr>
          <w:rFonts w:ascii="Times New Roman" w:eastAsia="Times New Roman" w:hAnsi="Times New Roman" w:cs="Times New Roman"/>
          <w:color w:val="000000" w:themeColor="text1"/>
          <w:sz w:val="28"/>
          <w:szCs w:val="28"/>
          <w:lang w:val="en-US"/>
        </w:rPr>
        <w:t>hile the study acknowledges the challenges inherent in the EU’s engagement with Central Asia, it also highlights the long-term opportunities presented by the revised EU strategy. The challenges include the region’s political fragmentation, competing external influences, and differing priorities across Central Asian countries. However, the study argues that these challenges can be mitigated through consistent diplomatic efforts, adaptive policies, and strategic partnerships that align with the changing geopolitical and economic realities of the region.</w:t>
      </w:r>
    </w:p>
    <w:p w14:paraId="22FEDC76" w14:textId="77777777" w:rsidR="003C7EEF" w:rsidRDefault="155010CB" w:rsidP="003C7EEF">
      <w:pPr>
        <w:tabs>
          <w:tab w:val="left" w:pos="1134"/>
        </w:tabs>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b/>
          <w:bCs/>
          <w:sz w:val="28"/>
          <w:szCs w:val="28"/>
          <w:lang w:val="en-US"/>
        </w:rPr>
        <w:t>Approbation of the main provisions of the study</w:t>
      </w:r>
      <w:r w:rsidRPr="0BE2D7A4">
        <w:rPr>
          <w:rFonts w:ascii="Times New Roman" w:hAnsi="Times New Roman" w:cs="Times New Roman"/>
          <w:sz w:val="28"/>
          <w:szCs w:val="28"/>
          <w:lang w:val="en-US"/>
        </w:rPr>
        <w:t>. The main theoretical provisions and conclusions of the dissertation work are presented by the author in t</w:t>
      </w:r>
      <w:r w:rsidR="00954887">
        <w:rPr>
          <w:rFonts w:ascii="Times New Roman" w:hAnsi="Times New Roman" w:cs="Times New Roman"/>
          <w:sz w:val="28"/>
          <w:szCs w:val="28"/>
          <w:lang w:val="en-US"/>
        </w:rPr>
        <w:t>en</w:t>
      </w:r>
      <w:r w:rsidRPr="0BE2D7A4">
        <w:rPr>
          <w:rFonts w:ascii="Times New Roman" w:hAnsi="Times New Roman" w:cs="Times New Roman"/>
          <w:sz w:val="28"/>
          <w:szCs w:val="28"/>
          <w:lang w:val="en-US"/>
        </w:rPr>
        <w:t xml:space="preserve"> publications, including</w:t>
      </w:r>
      <w:r w:rsidR="00954887" w:rsidRPr="00954887">
        <w:rPr>
          <w:rFonts w:ascii="Times New Roman" w:hAnsi="Times New Roman" w:cs="Times New Roman"/>
          <w:sz w:val="28"/>
          <w:szCs w:val="28"/>
          <w:lang w:val="en-US"/>
        </w:rPr>
        <w:t xml:space="preserve"> journals in the Scopus database </w:t>
      </w:r>
      <w:r w:rsidR="00954887">
        <w:rPr>
          <w:rFonts w:ascii="Times New Roman" w:hAnsi="Times New Roman" w:cs="Times New Roman"/>
          <w:sz w:val="28"/>
          <w:szCs w:val="28"/>
          <w:lang w:val="en-US"/>
        </w:rPr>
        <w:t>–</w:t>
      </w:r>
      <w:r w:rsidR="00954887" w:rsidRPr="00954887">
        <w:rPr>
          <w:rFonts w:ascii="Times New Roman" w:hAnsi="Times New Roman" w:cs="Times New Roman"/>
          <w:sz w:val="28"/>
          <w:szCs w:val="28"/>
          <w:lang w:val="en-US"/>
        </w:rPr>
        <w:t xml:space="preserve"> </w:t>
      </w:r>
      <w:r w:rsidR="00954887">
        <w:rPr>
          <w:rFonts w:ascii="Times New Roman" w:hAnsi="Times New Roman" w:cs="Times New Roman"/>
          <w:sz w:val="28"/>
          <w:szCs w:val="28"/>
          <w:lang w:val="en-US"/>
        </w:rPr>
        <w:t>1</w:t>
      </w:r>
      <w:r w:rsidR="00954887" w:rsidRPr="00954887">
        <w:rPr>
          <w:rFonts w:ascii="Times New Roman" w:hAnsi="Times New Roman" w:cs="Times New Roman"/>
          <w:sz w:val="28"/>
          <w:szCs w:val="28"/>
          <w:lang w:val="en-US"/>
        </w:rPr>
        <w:t xml:space="preserve">, the Ministry of Science and Higher Education </w:t>
      </w:r>
      <w:r w:rsidR="00954887">
        <w:rPr>
          <w:rFonts w:ascii="Times New Roman" w:hAnsi="Times New Roman" w:cs="Times New Roman"/>
          <w:sz w:val="28"/>
          <w:szCs w:val="28"/>
          <w:lang w:val="en-US"/>
        </w:rPr>
        <w:t>–</w:t>
      </w:r>
      <w:r w:rsidR="00954887" w:rsidRPr="00954887">
        <w:rPr>
          <w:rFonts w:ascii="Times New Roman" w:hAnsi="Times New Roman" w:cs="Times New Roman"/>
          <w:sz w:val="28"/>
          <w:szCs w:val="28"/>
          <w:lang w:val="en-US"/>
        </w:rPr>
        <w:t xml:space="preserve"> </w:t>
      </w:r>
      <w:r w:rsidR="00954887">
        <w:rPr>
          <w:rFonts w:ascii="Times New Roman" w:hAnsi="Times New Roman" w:cs="Times New Roman"/>
          <w:sz w:val="28"/>
          <w:szCs w:val="28"/>
          <w:lang w:val="en-US"/>
        </w:rPr>
        <w:t>3</w:t>
      </w:r>
      <w:r w:rsidR="00954887" w:rsidRPr="00954887">
        <w:rPr>
          <w:rFonts w:ascii="Times New Roman" w:hAnsi="Times New Roman" w:cs="Times New Roman"/>
          <w:sz w:val="28"/>
          <w:szCs w:val="28"/>
          <w:lang w:val="en-US"/>
        </w:rPr>
        <w:t xml:space="preserve">, and materials of international conferences </w:t>
      </w:r>
      <w:r w:rsidR="00954887">
        <w:rPr>
          <w:rFonts w:ascii="Times New Roman" w:hAnsi="Times New Roman" w:cs="Times New Roman"/>
          <w:sz w:val="28"/>
          <w:szCs w:val="28"/>
          <w:lang w:val="en-US"/>
        </w:rPr>
        <w:t>–</w:t>
      </w:r>
      <w:r w:rsidR="00954887" w:rsidRPr="00954887">
        <w:rPr>
          <w:rFonts w:ascii="Times New Roman" w:hAnsi="Times New Roman" w:cs="Times New Roman"/>
          <w:sz w:val="28"/>
          <w:szCs w:val="28"/>
          <w:lang w:val="en-US"/>
        </w:rPr>
        <w:t xml:space="preserve"> </w:t>
      </w:r>
      <w:r w:rsidR="00954887">
        <w:rPr>
          <w:rFonts w:ascii="Times New Roman" w:hAnsi="Times New Roman" w:cs="Times New Roman"/>
          <w:sz w:val="28"/>
          <w:szCs w:val="28"/>
          <w:lang w:val="en-US"/>
        </w:rPr>
        <w:t>7</w:t>
      </w:r>
      <w:r w:rsidRPr="0BE2D7A4">
        <w:rPr>
          <w:rFonts w:ascii="Times New Roman" w:hAnsi="Times New Roman" w:cs="Times New Roman"/>
          <w:sz w:val="28"/>
          <w:szCs w:val="28"/>
          <w:lang w:val="en-US"/>
        </w:rPr>
        <w:t>:</w:t>
      </w:r>
    </w:p>
    <w:p w14:paraId="66294B07" w14:textId="77777777" w:rsidR="003C7EE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Analysis of activities of European oil and gas TNC in Central Asia // Security and Society Insights Journal. – 2020. - №4, volume 3 (co-authored with S. Nurdavletova) </w:t>
      </w:r>
    </w:p>
    <w:p w14:paraId="6A6877F9" w14:textId="77777777" w:rsidR="003C7EE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Analysis of the policy of Kazakhstan and Sweden on building effective </w:t>
      </w:r>
      <w:r w:rsidR="00817A6D">
        <w:rPr>
          <w:rFonts w:ascii="Times New Roman" w:hAnsi="Times New Roman" w:cs="Times New Roman"/>
          <w:sz w:val="28"/>
          <w:szCs w:val="28"/>
          <w:lang w:val="en-US"/>
        </w:rPr>
        <w:t>communications between</w:t>
      </w:r>
      <w:r>
        <w:rPr>
          <w:rFonts w:ascii="Times New Roman" w:hAnsi="Times New Roman" w:cs="Times New Roman"/>
          <w:sz w:val="28"/>
          <w:szCs w:val="28"/>
          <w:lang w:val="en-US"/>
        </w:rPr>
        <w:t xml:space="preserve"> the state and society // Central Asia’s Affairs (Astana: Kazakhstan Institute for Strategic Studies under the President of the Republic of Kazakhstan). – 2020. - №4, volume 80 (co-authored with S. Nurdavletova)</w:t>
      </w:r>
    </w:p>
    <w:p w14:paraId="02D8ED2C" w14:textId="77777777" w:rsidR="003C7EE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3. Analysis of the main trends and problems of distance learning in Germany and Kazakhstan at the pandemic time // materials of the scientific-practical conference: Distance education: new global challenges (Astana, 2020) (co-authored with S. Nurdavletova)</w:t>
      </w:r>
    </w:p>
    <w:p w14:paraId="528A0DED" w14:textId="77777777" w:rsidR="003C7EE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4. The fourth UN Sustainable Development Goal "Quality Education": an analysis of implementation in the countries of the European Union and Central Asia // materials of the scientific-practical conference: 75 years of the UN: contribution to peace, the rule of law and sustainable development (Astana, 2020) (co-authored with S. Nurdavletova)</w:t>
      </w:r>
    </w:p>
    <w:p w14:paraId="4393A46F" w14:textId="77777777" w:rsidR="003C7EE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Analysis of the implementation of the Central Asia Water and Energy Program in the framework of new EU Strategy for Central Asia // Bulletin of KazNU. International Relations and International Law Series. – 2021. - №1, volume 93 (co-authored with S. Nurdavletova) </w:t>
      </w:r>
    </w:p>
    <w:p w14:paraId="50F745E5" w14:textId="77777777" w:rsidR="003C7EE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6. Analysis of the activities of European transnational corporations in Central Asia: problems and prospects // Bulletin of ENU. International Relations Series. – 2021. - №4 (137) (co-authored with R.Elmurzaeva, S.Nurdavletova)</w:t>
      </w:r>
    </w:p>
    <w:p w14:paraId="532377C1" w14:textId="77777777" w:rsidR="003C7EE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The policy of the European Union in Central Asia in the context of security in the framework of the EU strategy for Central Asia // Central Asia and the Caucasus. – 2021. - №3, volume 24 (co-authored with S. Nurdavletova, L.Akhmetzhanova) </w:t>
      </w:r>
    </w:p>
    <w:p w14:paraId="116CD30E" w14:textId="77777777" w:rsidR="003C7EE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New EU Strategy for Central Asia: barriers for its successful implementation // Bulletin of KazNU. International Relations and International Law Series. – 2022. - №2, volume 98 (co-authored with Antonio Alonso Marcos) </w:t>
      </w:r>
    </w:p>
    <w:p w14:paraId="0CFAD3AD" w14:textId="77777777" w:rsidR="003C7EE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 xml:space="preserve">9. EU-CA cooperation on the field of environment, climate change and water resources // Central Asia and European Union: in Search of Sustainability. - 2024. </w:t>
      </w:r>
    </w:p>
    <w:p w14:paraId="5CDFCE63" w14:textId="77777777" w:rsidR="003C7EE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10. Energy policy of the EU in Central Asia // Energy Policy Journal</w:t>
      </w:r>
      <w:r w:rsidR="00954887" w:rsidRPr="00954887">
        <w:rPr>
          <w:rFonts w:ascii="Times New Roman" w:hAnsi="Times New Roman" w:cs="Times New Roman"/>
          <w:sz w:val="28"/>
          <w:szCs w:val="28"/>
          <w:lang w:val="en-US"/>
        </w:rPr>
        <w:t xml:space="preserve"> (</w:t>
      </w:r>
      <w:r w:rsidR="00954887">
        <w:rPr>
          <w:rFonts w:ascii="Times New Roman" w:hAnsi="Times New Roman" w:cs="Times New Roman"/>
          <w:sz w:val="28"/>
          <w:szCs w:val="28"/>
          <w:lang w:val="en-US"/>
        </w:rPr>
        <w:t xml:space="preserve">SCOPUS) </w:t>
      </w:r>
      <w:r w:rsidRPr="0BE2D7A4">
        <w:rPr>
          <w:rFonts w:ascii="Times New Roman" w:hAnsi="Times New Roman" w:cs="Times New Roman"/>
          <w:sz w:val="28"/>
          <w:szCs w:val="28"/>
          <w:lang w:val="en-US"/>
        </w:rPr>
        <w:t xml:space="preserve">- 2024. - №1, volume 27 (co-authored with S.Nurdavletova, A.Issayeva, G.Kenzhalina, A.Zhurasova) </w:t>
      </w:r>
    </w:p>
    <w:p w14:paraId="5BA48086" w14:textId="77777777" w:rsidR="003C7EE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b/>
          <w:bCs/>
          <w:sz w:val="28"/>
          <w:szCs w:val="28"/>
          <w:lang w:val="en-US"/>
        </w:rPr>
        <w:t>The volume and structure of the work</w:t>
      </w:r>
      <w:r>
        <w:rPr>
          <w:rFonts w:ascii="Times New Roman" w:hAnsi="Times New Roman" w:cs="Times New Roman"/>
          <w:sz w:val="28"/>
          <w:szCs w:val="28"/>
          <w:lang w:val="en-US"/>
        </w:rPr>
        <w:t xml:space="preserve"> correspond to the main goal and subject of the study. The dissertation consists of an introduction, three sections, a conclusion, including recommendations and a list of sources used. The structure is determined by the nature of the work, the level of development of the problem, the tasks and logic of the study.</w:t>
      </w:r>
    </w:p>
    <w:p w14:paraId="32E748C8" w14:textId="77777777" w:rsidR="00DD07CF" w:rsidRDefault="0BE2D7A4" w:rsidP="003C7EEF">
      <w:pPr>
        <w:tabs>
          <w:tab w:val="left" w:pos="1134"/>
        </w:tabs>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volume of the dissertation research is 10</w:t>
      </w:r>
      <w:r w:rsidR="00FC6AE4" w:rsidRPr="00FC6AE4">
        <w:rPr>
          <w:rFonts w:ascii="Times New Roman" w:hAnsi="Times New Roman" w:cs="Times New Roman"/>
          <w:sz w:val="28"/>
          <w:szCs w:val="28"/>
          <w:lang w:val="en-US"/>
        </w:rPr>
        <w:t>0</w:t>
      </w:r>
      <w:r>
        <w:rPr>
          <w:rFonts w:ascii="Times New Roman" w:hAnsi="Times New Roman" w:cs="Times New Roman"/>
          <w:sz w:val="28"/>
          <w:szCs w:val="28"/>
          <w:lang w:val="en-US"/>
        </w:rPr>
        <w:t xml:space="preserve"> pages, prepared in accordance with the requirements for the design of dissertations. </w:t>
      </w:r>
    </w:p>
    <w:p w14:paraId="44FB30F8" w14:textId="77777777" w:rsidR="00DD07CF" w:rsidRDefault="00DD07CF" w:rsidP="0BE2D7A4">
      <w:pPr>
        <w:tabs>
          <w:tab w:val="left" w:pos="1134"/>
        </w:tabs>
        <w:spacing w:after="0" w:line="240" w:lineRule="auto"/>
        <w:ind w:left="360"/>
        <w:jc w:val="both"/>
        <w:rPr>
          <w:rFonts w:ascii="Times New Roman" w:hAnsi="Times New Roman" w:cs="Times New Roman"/>
          <w:sz w:val="28"/>
          <w:szCs w:val="28"/>
          <w:lang w:val="en-US"/>
        </w:rPr>
      </w:pPr>
    </w:p>
    <w:p w14:paraId="1DA6542E" w14:textId="77777777" w:rsidR="00DD07CF" w:rsidRDefault="00DD07CF" w:rsidP="0BE2D7A4">
      <w:pPr>
        <w:tabs>
          <w:tab w:val="left" w:pos="1134"/>
        </w:tabs>
        <w:spacing w:after="0" w:line="240" w:lineRule="auto"/>
        <w:ind w:left="360"/>
        <w:jc w:val="both"/>
        <w:rPr>
          <w:rFonts w:ascii="Times New Roman" w:hAnsi="Times New Roman" w:cs="Times New Roman"/>
          <w:sz w:val="28"/>
          <w:szCs w:val="28"/>
          <w:lang w:val="en-US"/>
        </w:rPr>
      </w:pPr>
    </w:p>
    <w:p w14:paraId="3041E394" w14:textId="77777777" w:rsidR="00DD07CF" w:rsidRDefault="00DD07CF" w:rsidP="0BE2D7A4">
      <w:pPr>
        <w:tabs>
          <w:tab w:val="left" w:pos="1134"/>
        </w:tabs>
        <w:spacing w:after="0" w:line="240" w:lineRule="auto"/>
        <w:ind w:left="360"/>
        <w:jc w:val="both"/>
        <w:rPr>
          <w:rFonts w:ascii="Times New Roman" w:hAnsi="Times New Roman" w:cs="Times New Roman"/>
          <w:sz w:val="28"/>
          <w:szCs w:val="28"/>
          <w:lang w:val="en-US"/>
        </w:rPr>
      </w:pPr>
    </w:p>
    <w:p w14:paraId="722B00AE" w14:textId="77777777" w:rsidR="00DD07CF" w:rsidRDefault="00DD07CF" w:rsidP="0BE2D7A4">
      <w:pPr>
        <w:tabs>
          <w:tab w:val="left" w:pos="1134"/>
        </w:tabs>
        <w:spacing w:after="0" w:line="240" w:lineRule="auto"/>
        <w:ind w:left="360"/>
        <w:jc w:val="both"/>
        <w:rPr>
          <w:rFonts w:ascii="Times New Roman" w:hAnsi="Times New Roman" w:cs="Times New Roman"/>
          <w:sz w:val="28"/>
          <w:szCs w:val="28"/>
          <w:lang w:val="en-US"/>
        </w:rPr>
      </w:pPr>
    </w:p>
    <w:p w14:paraId="42C6D796" w14:textId="77777777" w:rsidR="00DD07CF" w:rsidRDefault="00DD07CF" w:rsidP="0BE2D7A4">
      <w:pPr>
        <w:tabs>
          <w:tab w:val="left" w:pos="1134"/>
        </w:tabs>
        <w:spacing w:after="0" w:line="240" w:lineRule="auto"/>
        <w:ind w:left="360"/>
        <w:jc w:val="both"/>
        <w:rPr>
          <w:rFonts w:ascii="Times New Roman" w:hAnsi="Times New Roman" w:cs="Times New Roman"/>
          <w:sz w:val="28"/>
          <w:szCs w:val="28"/>
          <w:lang w:val="en-US"/>
        </w:rPr>
      </w:pPr>
    </w:p>
    <w:p w14:paraId="6E1831B3"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54E11D2A"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31126E5D"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2DE403A5"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62431CDC"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49E398E2"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16287F21"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5BE93A62"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384BA73E"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34B3F2EB"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7D34F5C7"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0B4020A7"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1D7B270A" w14:textId="77777777" w:rsidR="0BE2D7A4" w:rsidRDefault="0BE2D7A4" w:rsidP="0BE2D7A4">
      <w:pPr>
        <w:tabs>
          <w:tab w:val="left" w:pos="1134"/>
        </w:tabs>
        <w:spacing w:after="0" w:line="240" w:lineRule="auto"/>
        <w:ind w:left="360"/>
        <w:jc w:val="both"/>
        <w:rPr>
          <w:rFonts w:ascii="Times New Roman" w:hAnsi="Times New Roman" w:cs="Times New Roman"/>
          <w:sz w:val="28"/>
          <w:szCs w:val="28"/>
          <w:lang w:val="en-US"/>
        </w:rPr>
      </w:pPr>
    </w:p>
    <w:p w14:paraId="4F904CB7" w14:textId="77777777" w:rsidR="00DD07CF" w:rsidRDefault="00DD07CF" w:rsidP="7315D5B6">
      <w:pPr>
        <w:tabs>
          <w:tab w:val="left" w:pos="1134"/>
        </w:tabs>
        <w:spacing w:after="0" w:line="240" w:lineRule="auto"/>
        <w:ind w:left="360"/>
        <w:jc w:val="both"/>
        <w:rPr>
          <w:rFonts w:ascii="Times New Roman" w:hAnsi="Times New Roman" w:cs="Times New Roman"/>
          <w:sz w:val="28"/>
          <w:szCs w:val="28"/>
          <w:lang w:val="en-US"/>
        </w:rPr>
      </w:pPr>
    </w:p>
    <w:p w14:paraId="06971CD3" w14:textId="77777777" w:rsidR="00DD07CF" w:rsidRDefault="00DD07CF" w:rsidP="7315D5B6">
      <w:pPr>
        <w:tabs>
          <w:tab w:val="left" w:pos="1134"/>
        </w:tabs>
        <w:spacing w:after="0" w:line="240" w:lineRule="auto"/>
        <w:ind w:left="360"/>
        <w:jc w:val="both"/>
        <w:rPr>
          <w:rFonts w:ascii="Times New Roman" w:hAnsi="Times New Roman" w:cs="Times New Roman"/>
          <w:sz w:val="28"/>
          <w:szCs w:val="28"/>
          <w:lang w:val="en-US"/>
        </w:rPr>
      </w:pPr>
    </w:p>
    <w:p w14:paraId="2A1F701D" w14:textId="77777777" w:rsidR="00DA28EA" w:rsidRPr="00FC6AE4" w:rsidRDefault="00DA28EA" w:rsidP="00D701F5">
      <w:pPr>
        <w:tabs>
          <w:tab w:val="left" w:pos="1134"/>
        </w:tabs>
        <w:spacing w:after="0" w:line="240" w:lineRule="auto"/>
        <w:jc w:val="both"/>
        <w:rPr>
          <w:rFonts w:ascii="Times New Roman" w:hAnsi="Times New Roman" w:cs="Times New Roman"/>
          <w:sz w:val="28"/>
          <w:szCs w:val="28"/>
          <w:lang w:val="en-US"/>
        </w:rPr>
      </w:pPr>
    </w:p>
    <w:p w14:paraId="03EFCA41" w14:textId="77777777" w:rsidR="00D701F5" w:rsidRPr="00FC6AE4" w:rsidRDefault="00D701F5" w:rsidP="00D701F5">
      <w:pPr>
        <w:tabs>
          <w:tab w:val="left" w:pos="1134"/>
        </w:tabs>
        <w:spacing w:after="0" w:line="240" w:lineRule="auto"/>
        <w:jc w:val="both"/>
        <w:rPr>
          <w:rFonts w:ascii="Times New Roman" w:hAnsi="Times New Roman" w:cs="Times New Roman"/>
          <w:sz w:val="28"/>
          <w:szCs w:val="28"/>
          <w:lang w:val="en-US"/>
        </w:rPr>
      </w:pPr>
    </w:p>
    <w:p w14:paraId="231337FE" w14:textId="77777777" w:rsidR="00DD07CF" w:rsidRDefault="0BE2D7A4" w:rsidP="7315D5B6">
      <w:pPr>
        <w:tabs>
          <w:tab w:val="left" w:pos="1134"/>
        </w:tabs>
        <w:spacing w:after="0" w:line="240" w:lineRule="auto"/>
        <w:jc w:val="both"/>
        <w:rPr>
          <w:rFonts w:ascii="Times New Roman" w:hAnsi="Times New Roman" w:cs="Times New Roman"/>
          <w:b/>
          <w:bCs/>
          <w:sz w:val="28"/>
          <w:szCs w:val="28"/>
          <w:lang w:val="en-US"/>
        </w:rPr>
      </w:pPr>
      <w:r w:rsidRPr="74BDD3B8">
        <w:rPr>
          <w:rFonts w:ascii="Times New Roman" w:hAnsi="Times New Roman" w:cs="Times New Roman"/>
          <w:b/>
          <w:bCs/>
          <w:sz w:val="28"/>
          <w:szCs w:val="28"/>
          <w:lang w:val="en-US"/>
        </w:rPr>
        <w:t>1</w:t>
      </w:r>
      <w:r w:rsidR="26FF6F9B" w:rsidRPr="74BDD3B8">
        <w:rPr>
          <w:rFonts w:ascii="Times New Roman" w:hAnsi="Times New Roman" w:cs="Times New Roman"/>
          <w:b/>
          <w:bCs/>
          <w:sz w:val="28"/>
          <w:szCs w:val="28"/>
          <w:lang w:val="en-US"/>
        </w:rPr>
        <w:t xml:space="preserve"> </w:t>
      </w:r>
      <w:r w:rsidRPr="74BDD3B8">
        <w:rPr>
          <w:rFonts w:ascii="Times New Roman" w:hAnsi="Times New Roman" w:cs="Times New Roman"/>
          <w:b/>
          <w:bCs/>
          <w:sz w:val="28"/>
          <w:szCs w:val="28"/>
          <w:lang w:val="en-US"/>
        </w:rPr>
        <w:t>FORMATION AND EVOLUTION OF THE MECHANISM OF EU’S EXTERNAL ACTIVITY IN REGARD TO CENTRAL ASIA</w:t>
      </w:r>
    </w:p>
    <w:p w14:paraId="5F96A722" w14:textId="77777777" w:rsidR="74BDD3B8" w:rsidRDefault="74BDD3B8" w:rsidP="74BDD3B8">
      <w:pPr>
        <w:tabs>
          <w:tab w:val="left" w:pos="1134"/>
        </w:tabs>
        <w:spacing w:after="0" w:line="240" w:lineRule="auto"/>
        <w:jc w:val="both"/>
        <w:rPr>
          <w:rFonts w:ascii="Times New Roman" w:hAnsi="Times New Roman" w:cs="Times New Roman"/>
          <w:b/>
          <w:bCs/>
          <w:sz w:val="28"/>
          <w:szCs w:val="28"/>
          <w:lang w:val="en-US"/>
        </w:rPr>
      </w:pPr>
    </w:p>
    <w:p w14:paraId="41E0FD68" w14:textId="77777777" w:rsidR="00DD07CF" w:rsidRDefault="0E820122" w:rsidP="0BE2D7A4">
      <w:pPr>
        <w:tabs>
          <w:tab w:val="left" w:pos="5966"/>
        </w:tabs>
        <w:spacing w:line="240" w:lineRule="auto"/>
        <w:jc w:val="both"/>
        <w:rPr>
          <w:rFonts w:ascii="Times New Roman" w:hAnsi="Times New Roman" w:cs="Times New Roman"/>
          <w:b/>
          <w:bCs/>
          <w:sz w:val="28"/>
          <w:szCs w:val="28"/>
          <w:lang w:val="en-US"/>
        </w:rPr>
      </w:pPr>
      <w:r w:rsidRPr="0BE2D7A4">
        <w:rPr>
          <w:rFonts w:ascii="Times New Roman" w:hAnsi="Times New Roman" w:cs="Times New Roman"/>
          <w:b/>
          <w:bCs/>
          <w:sz w:val="28"/>
          <w:szCs w:val="28"/>
          <w:lang w:val="en-US"/>
        </w:rPr>
        <w:t>1.1. Historical background: prerequisites for adopting a new strategy</w:t>
      </w:r>
    </w:p>
    <w:p w14:paraId="7EBE3B44" w14:textId="77777777" w:rsidR="00DD07CF" w:rsidRDefault="155010CB" w:rsidP="79B2C90B">
      <w:pPr>
        <w:spacing w:after="0" w:line="240" w:lineRule="auto"/>
        <w:ind w:firstLine="708"/>
        <w:jc w:val="both"/>
        <w:rPr>
          <w:rFonts w:ascii="Times New Roman" w:hAnsi="Times New Roman" w:cs="Times New Roman"/>
          <w:sz w:val="28"/>
          <w:szCs w:val="28"/>
          <w:lang w:val="en-US"/>
        </w:rPr>
      </w:pPr>
      <w:r w:rsidRPr="79B2C90B">
        <w:rPr>
          <w:rFonts w:ascii="Times New Roman" w:eastAsia="Times New Roman" w:hAnsi="Times New Roman" w:cs="Times New Roman"/>
          <w:sz w:val="28"/>
          <w:szCs w:val="28"/>
          <w:lang w:val="en-US"/>
        </w:rPr>
        <w:t xml:space="preserve">Since the emergence of the new independent states of Central Asia, the European Union has begun work on establishing partnerships with them bilaterally. How difficult this process was for the European Union is evidenced by the chronology of events. In 1995–1996 were concluded and only in 1999 did the standard EU Partnership and Cooperation Agreements with Kazakhstan, Kyrgyzstan and Uzbekistan come into force. </w:t>
      </w:r>
      <w:r w:rsidR="31C67661" w:rsidRPr="79B2C90B">
        <w:rPr>
          <w:rFonts w:ascii="Times New Roman" w:hAnsi="Times New Roman" w:cs="Times New Roman"/>
          <w:sz w:val="28"/>
          <w:szCs w:val="28"/>
          <w:lang w:val="en-US"/>
        </w:rPr>
        <w:t>It is also important to note that the European Parliament named the Enhanced Partnership and State Agreement (EPSA) as the basis for cooperation with the Central Asian states. The only Central Asian country to have ratified such an agreement with the European Union is Kazakhstan. It entered into force in March 2020. At the same time, the EPSA in Kyrgyzstan, the international agreement on which ended in 2019, remains unregistered, despite the fact that it "was considered the most democratic country in relations with an active civil society and free media." MEPs call on the EU Council and the European Commission to close important issues and sign EPSAs with Kyrgyzstan and Uzbekistan without delay, as well as to achieve success in the ongoing EPSA negotiations with Tajikistan, which increases the scope of bilateral cooperation and exchanges with this country. "Failure to sign such agreements after the conclusion of relevant provisions in relation to the authority of the EU as a global player" [</w:t>
      </w:r>
      <w:r w:rsidR="51255319" w:rsidRPr="79B2C90B">
        <w:rPr>
          <w:rFonts w:ascii="Times New Roman" w:hAnsi="Times New Roman" w:cs="Times New Roman"/>
          <w:sz w:val="28"/>
          <w:szCs w:val="28"/>
          <w:lang w:val="en-US"/>
        </w:rPr>
        <w:t>96</w:t>
      </w:r>
      <w:r w:rsidR="31C67661" w:rsidRPr="79B2C90B">
        <w:rPr>
          <w:rFonts w:ascii="Times New Roman" w:hAnsi="Times New Roman" w:cs="Times New Roman"/>
          <w:sz w:val="28"/>
          <w:szCs w:val="28"/>
          <w:lang w:val="en-US"/>
        </w:rPr>
        <w:t>].</w:t>
      </w:r>
    </w:p>
    <w:p w14:paraId="1BEF3D7E" w14:textId="77777777" w:rsidR="00DD07CF" w:rsidRDefault="31C67661" w:rsidP="0BE2D7A4">
      <w:pPr>
        <w:spacing w:after="0" w:line="240" w:lineRule="auto"/>
        <w:ind w:firstLine="708"/>
        <w:jc w:val="both"/>
        <w:rPr>
          <w:rFonts w:ascii="Times New Roman" w:hAnsi="Times New Roman" w:cs="Times New Roman"/>
          <w:sz w:val="28"/>
          <w:szCs w:val="28"/>
          <w:lang w:val="en-US"/>
        </w:rPr>
      </w:pPr>
      <w:r w:rsidRPr="0BE2D7A4">
        <w:rPr>
          <w:rFonts w:ascii="Times New Roman" w:hAnsi="Times New Roman" w:cs="Times New Roman"/>
          <w:sz w:val="28"/>
          <w:szCs w:val="28"/>
          <w:lang w:val="en-US"/>
        </w:rPr>
        <w:t>Turkmenistan is the only country in Central Asia that is not bound to the EU by a partnership and cooperation agreement. Although the PCA was signed in 1998, the European Parliament has not ratified the document due to the situation with human rights and fundamental freedoms in Turkmenistan.</w:t>
      </w:r>
    </w:p>
    <w:p w14:paraId="7BC1B469" w14:textId="77777777" w:rsidR="00DD07CF" w:rsidRDefault="43047068" w:rsidP="0BE2D7A4">
      <w:pPr>
        <w:spacing w:after="0" w:line="240" w:lineRule="auto"/>
        <w:ind w:firstLine="708"/>
        <w:jc w:val="both"/>
        <w:rPr>
          <w:rFonts w:ascii="Times New Roman" w:eastAsia="Times New Roman" w:hAnsi="Times New Roman" w:cs="Times New Roman"/>
          <w:sz w:val="28"/>
          <w:szCs w:val="28"/>
          <w:lang w:val="en-US"/>
        </w:rPr>
      </w:pPr>
      <w:r w:rsidRPr="79B2C90B">
        <w:rPr>
          <w:rFonts w:ascii="Times New Roman" w:eastAsia="Times New Roman" w:hAnsi="Times New Roman" w:cs="Times New Roman"/>
          <w:sz w:val="28"/>
          <w:szCs w:val="28"/>
          <w:lang w:val="en-US"/>
        </w:rPr>
        <w:t>I</w:t>
      </w:r>
      <w:r w:rsidR="155010CB" w:rsidRPr="79B2C90B">
        <w:rPr>
          <w:rFonts w:ascii="Times New Roman" w:eastAsia="Times New Roman" w:hAnsi="Times New Roman" w:cs="Times New Roman"/>
          <w:sz w:val="28"/>
          <w:szCs w:val="28"/>
          <w:lang w:val="en-US"/>
        </w:rPr>
        <w:t>n 1991, the European Commission launched a program of technical assistance to the countries of the Commonwealth of Independent States TACIS (Technical Assistance for the Commonwealth of Independent States) in terms of supporting state-building processes, conducting economic reforms, and attracting foreign direct investment. The beneficiaries of the program were, among other things, all five Central Asian republics, for which a special regional program was later developed for the period 2002-2006, which has not just a geographical, but a semantic focus [</w:t>
      </w:r>
      <w:r w:rsidR="150E23EE" w:rsidRPr="79B2C90B">
        <w:rPr>
          <w:rFonts w:ascii="Times New Roman" w:eastAsia="Times New Roman" w:hAnsi="Times New Roman" w:cs="Times New Roman"/>
          <w:sz w:val="28"/>
          <w:szCs w:val="28"/>
          <w:lang w:val="en-US"/>
        </w:rPr>
        <w:t>81</w:t>
      </w:r>
      <w:r w:rsidR="155010CB" w:rsidRPr="79B2C90B">
        <w:rPr>
          <w:rFonts w:ascii="Times New Roman" w:eastAsia="Times New Roman" w:hAnsi="Times New Roman" w:cs="Times New Roman"/>
          <w:sz w:val="28"/>
          <w:szCs w:val="28"/>
          <w:lang w:val="en-US"/>
        </w:rPr>
        <w:t xml:space="preserve">]. </w:t>
      </w:r>
    </w:p>
    <w:p w14:paraId="3AF5F0B7" w14:textId="77777777" w:rsidR="00DD07CF" w:rsidRDefault="0E820122"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turning point here should be considered the events of September 11, 2001 in the United States and the beginning of the US antiterrorist operation in Afghanistan with the support of European allies as part of the International Security Assistance Force. Central Asia has become of strategic interest to the European Union, not only in terms of energy security - the region has significant hydrocarbon reserves, but also in terms of the challenges of transnational terrorism, organized crime and drug trafficking, and the radicalization of Islam.</w:t>
      </w:r>
    </w:p>
    <w:p w14:paraId="68A262CB" w14:textId="77777777" w:rsidR="00DD07CF" w:rsidRDefault="155010CB" w:rsidP="0BE2D7A4">
      <w:pPr>
        <w:spacing w:after="0" w:line="240" w:lineRule="auto"/>
        <w:ind w:firstLine="708"/>
        <w:jc w:val="both"/>
        <w:rPr>
          <w:rFonts w:ascii="Times New Roman" w:eastAsia="Roboto" w:hAnsi="Times New Roman" w:cs="Times New Roman"/>
          <w:sz w:val="28"/>
          <w:szCs w:val="28"/>
          <w:lang w:val="en-US"/>
        </w:rPr>
      </w:pPr>
      <w:r w:rsidRPr="0BE2D7A4">
        <w:rPr>
          <w:rFonts w:ascii="Times New Roman" w:eastAsia="Times New Roman" w:hAnsi="Times New Roman" w:cs="Times New Roman"/>
          <w:sz w:val="28"/>
          <w:szCs w:val="28"/>
          <w:lang w:val="en-US"/>
        </w:rPr>
        <w:t>By 2004, the European Union had developed a "new neighborhood" policy that included the Eastern Partnership and the Mediterranean Initiative. The South Caucasus and the European part of the CIS were included in the Eastern Partnership program. At the same time, the Central Asian republics began to be regarded as “neighbors of the EU neighbors”.</w:t>
      </w:r>
      <w:r w:rsidRPr="00BE02A5">
        <w:rPr>
          <w:rFonts w:ascii="Times New Roman" w:eastAsia="Roboto" w:hAnsi="Times New Roman" w:cs="Times New Roman"/>
          <w:sz w:val="28"/>
          <w:szCs w:val="28"/>
          <w:lang w:val="en-US"/>
        </w:rPr>
        <w:t xml:space="preserve"> </w:t>
      </w:r>
    </w:p>
    <w:p w14:paraId="61BCDB43" w14:textId="77777777" w:rsidR="00DD07CF" w:rsidRDefault="0BE2D7A4" w:rsidP="79B2C90B">
      <w:pPr>
        <w:spacing w:after="0" w:line="240" w:lineRule="auto"/>
        <w:ind w:firstLine="708"/>
        <w:jc w:val="both"/>
        <w:rPr>
          <w:rFonts w:ascii="Times New Roman" w:eastAsia="Times New Roman" w:hAnsi="Times New Roman" w:cs="Times New Roman"/>
          <w:sz w:val="28"/>
          <w:szCs w:val="28"/>
          <w:lang w:val="en-US"/>
        </w:rPr>
      </w:pPr>
      <w:r w:rsidRPr="79B2C90B">
        <w:rPr>
          <w:rFonts w:ascii="Times New Roman" w:eastAsia="Roboto" w:hAnsi="Times New Roman" w:cs="Times New Roman"/>
          <w:sz w:val="28"/>
          <w:szCs w:val="28"/>
          <w:lang w:val="en-US"/>
        </w:rPr>
        <w:t>On the possibility of rapprochement and cooperation with Central Asia, State Secretary of the Ministry of Foreign Affairs of Finland Pertti Torstila cited his arguments during his visit to Kazakhstan in October 2006: " The Central Asian region is no longer a distant and unknown part of the world for the European Union" and the Europeans are ready to pay more attention to the countries of Central Asia [</w:t>
      </w:r>
      <w:r w:rsidR="79C35C38" w:rsidRPr="79B2C90B">
        <w:rPr>
          <w:rFonts w:ascii="Times New Roman" w:eastAsia="Roboto" w:hAnsi="Times New Roman" w:cs="Times New Roman"/>
          <w:sz w:val="28"/>
          <w:szCs w:val="28"/>
          <w:lang w:val="en-US"/>
        </w:rPr>
        <w:t>80</w:t>
      </w:r>
      <w:r w:rsidRPr="79B2C90B">
        <w:rPr>
          <w:rFonts w:ascii="Times New Roman" w:eastAsia="Roboto" w:hAnsi="Times New Roman" w:cs="Times New Roman"/>
          <w:sz w:val="28"/>
          <w:szCs w:val="28"/>
          <w:lang w:val="en-US"/>
        </w:rPr>
        <w:t>].</w:t>
      </w:r>
    </w:p>
    <w:p w14:paraId="58703AE1" w14:textId="77777777" w:rsidR="00DD07CF" w:rsidRDefault="0BE2D7A4" w:rsidP="0BE2D7A4">
      <w:pPr>
        <w:spacing w:after="0" w:line="240" w:lineRule="auto"/>
        <w:jc w:val="both"/>
        <w:rPr>
          <w:rFonts w:ascii="Times New Roman" w:eastAsia="Times New Roman" w:hAnsi="Times New Roman" w:cs="Times New Roman"/>
          <w:sz w:val="28"/>
          <w:szCs w:val="28"/>
          <w:lang w:val="en-US"/>
        </w:rPr>
      </w:pPr>
      <w:r w:rsidRPr="79B2C90B">
        <w:rPr>
          <w:rFonts w:ascii="Times New Roman" w:eastAsia="Times New Roman" w:hAnsi="Times New Roman" w:cs="Times New Roman"/>
          <w:sz w:val="28"/>
          <w:szCs w:val="28"/>
          <w:lang w:val="en-US"/>
        </w:rPr>
        <w:t xml:space="preserve"> </w:t>
      </w:r>
      <w:r w:rsidRPr="00664C74">
        <w:rPr>
          <w:lang w:val="en-US"/>
        </w:rPr>
        <w:tab/>
      </w:r>
      <w:r w:rsidRPr="79B2C90B">
        <w:rPr>
          <w:rFonts w:ascii="Times New Roman" w:eastAsia="Times New Roman" w:hAnsi="Times New Roman" w:cs="Times New Roman"/>
          <w:sz w:val="28"/>
          <w:szCs w:val="28"/>
          <w:lang w:val="en-US"/>
        </w:rPr>
        <w:t>Brussels sought to transfer its positive experience of European integration to the Central Asian region and use significant funds to implement this task, believing that this will help solve the problems of the countries of the region. In October 2002, the EU published the document "Strategy for 2002-2006”, in which the development of regional cooperation with Central Asian countries was considered a priority, which provided for specific forms of financing programs aimed at promoting regional ties. As it was noted in the "Strategy ...", "the regional cooperation program is aimed at creating good-neighborly relations and cooperation between the countries of Central Asia, using a pragmatic format of "variable geometry" where the EU has strategic interests. This includes the creation of transport and energy networks, the sustainable use of natural resources, the introduction of international environmental, legal and domestic political standards.” [</w:t>
      </w:r>
      <w:r w:rsidR="2A29182D" w:rsidRPr="79B2C90B">
        <w:rPr>
          <w:rFonts w:ascii="Times New Roman" w:eastAsia="Times New Roman" w:hAnsi="Times New Roman" w:cs="Times New Roman"/>
          <w:sz w:val="28"/>
          <w:szCs w:val="28"/>
          <w:lang w:val="en-US"/>
        </w:rPr>
        <w:t>80</w:t>
      </w:r>
      <w:r w:rsidRPr="79B2C90B">
        <w:rPr>
          <w:rFonts w:ascii="Times New Roman" w:eastAsia="Times New Roman" w:hAnsi="Times New Roman" w:cs="Times New Roman"/>
          <w:sz w:val="28"/>
          <w:szCs w:val="28"/>
          <w:lang w:val="en-US"/>
        </w:rPr>
        <w:t>].</w:t>
      </w:r>
    </w:p>
    <w:p w14:paraId="4276E99B"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74BDD3B8">
        <w:rPr>
          <w:rFonts w:ascii="Times New Roman" w:eastAsia="Times New Roman" w:hAnsi="Times New Roman" w:cs="Times New Roman"/>
          <w:sz w:val="28"/>
          <w:szCs w:val="28"/>
          <w:lang w:val="en-US"/>
        </w:rPr>
        <w:t>However, the EU's desire to put the creation of conditions for the development of integration processes in the region at the forefront of its policy in Central Asia is not progressing very successfully. It is well known that neither the experience of the CIS, nor the experience of other regional organizations, many created with the participation of the countries of Central Asia, has so far been able to provide an economic basis for integration that opens the way to political integration. There are many reasons for this. After many years of being in the USSR, the countries gained political independence, but not the experience of independent existence. Their statehood is developing, but has not yet reached the level when the advantages of centripetal rather than centrifugal processes become obvious.</w:t>
      </w:r>
    </w:p>
    <w:p w14:paraId="2927C903" w14:textId="77777777" w:rsidR="430F9511" w:rsidRDefault="430F9511" w:rsidP="74BDD3B8">
      <w:pPr>
        <w:spacing w:after="0" w:line="240" w:lineRule="auto"/>
        <w:ind w:firstLine="708"/>
        <w:jc w:val="both"/>
        <w:rPr>
          <w:rFonts w:ascii="Times New Roman" w:eastAsia="Times New Roman" w:hAnsi="Times New Roman" w:cs="Times New Roman"/>
          <w:sz w:val="28"/>
          <w:szCs w:val="28"/>
          <w:lang w:val="en-US"/>
        </w:rPr>
      </w:pPr>
      <w:r w:rsidRPr="74BDD3B8">
        <w:rPr>
          <w:rFonts w:ascii="Times New Roman" w:eastAsia="Times New Roman" w:hAnsi="Times New Roman" w:cs="Times New Roman"/>
          <w:sz w:val="28"/>
          <w:szCs w:val="28"/>
          <w:lang w:val="en-US"/>
        </w:rPr>
        <w:t>We should note that the strategic importance of Central Asia for the European Union has been measured from the very beginning by issues of security and competition with Russia. In security matters, the EU has moved, first of all, in the wake of the United States, taking into account the opinion of which Afghanistan, drug trafficking, and terrorist threats were at the center of the agenda. In particular, the European Union came up with the idea of transatlantic cooperation in Central Asia. But at the same time, the EU has also formed its own security agenda in the region, linking it with human rights issues. This allowed Brussels to immediately assign itself the status of a “democratic auditor” and, on this basis, demand that partner countries implement various legal recommendations.</w:t>
      </w:r>
    </w:p>
    <w:p w14:paraId="437BA5DC" w14:textId="77777777" w:rsidR="430F9511" w:rsidRDefault="430F9511" w:rsidP="74BDD3B8">
      <w:pPr>
        <w:spacing w:after="0" w:line="240" w:lineRule="auto"/>
        <w:ind w:firstLine="708"/>
        <w:jc w:val="both"/>
        <w:rPr>
          <w:rFonts w:ascii="Times New Roman" w:eastAsia="Times New Roman" w:hAnsi="Times New Roman" w:cs="Times New Roman"/>
          <w:sz w:val="28"/>
          <w:szCs w:val="28"/>
          <w:lang w:val="en-US"/>
        </w:rPr>
      </w:pPr>
      <w:r w:rsidRPr="74BDD3B8">
        <w:rPr>
          <w:rFonts w:ascii="Times New Roman" w:eastAsia="Times New Roman" w:hAnsi="Times New Roman" w:cs="Times New Roman"/>
          <w:sz w:val="28"/>
          <w:szCs w:val="28"/>
          <w:lang w:val="en-US"/>
        </w:rPr>
        <w:t>The first EU Central Asia Strategy was adopted back in 2007, and the second in 2019. Both clearly express the idea of bringing the EU and the countries of the region closer together through energy projects (including within the framework of the transition to “green energy” from 2019), transport projects, cooperation in the field of security and human rights.</w:t>
      </w:r>
    </w:p>
    <w:p w14:paraId="456C7039" w14:textId="77777777" w:rsidR="6A3FB55C" w:rsidRDefault="6A3FB55C" w:rsidP="74BDD3B8">
      <w:pPr>
        <w:spacing w:after="0" w:line="240" w:lineRule="auto"/>
        <w:ind w:firstLine="708"/>
        <w:jc w:val="both"/>
        <w:rPr>
          <w:rFonts w:ascii="Times New Roman" w:eastAsia="Times New Roman" w:hAnsi="Times New Roman" w:cs="Times New Roman"/>
          <w:sz w:val="28"/>
          <w:szCs w:val="28"/>
          <w:lang w:val="en-US"/>
        </w:rPr>
      </w:pPr>
      <w:r w:rsidRPr="74BDD3B8">
        <w:rPr>
          <w:rFonts w:ascii="Times New Roman" w:eastAsia="Times New Roman" w:hAnsi="Times New Roman" w:cs="Times New Roman"/>
          <w:sz w:val="28"/>
          <w:szCs w:val="28"/>
          <w:lang w:val="en-US"/>
        </w:rPr>
        <w:t xml:space="preserve">The landmark events in terms of developing the EU strategy in Central Asia in 2007 were the large-scale expansion of the number of participants in the regional integration association in 2004 and 2007 and the launch of the Eastern Partnership programme with respect to six former Soviet republics in the European part of the post-Soviet space – Azerbaijan, Armenia, Belarus, Georgia, Moldova and Ukraine. The issue now was the fragmentation and actual differentiation of the EU’s ideas about the post-Soviet space as homogeneous. Those who hoped to join the EU in the long term and/or expressed a desire to get closer to it in one format or another were offered political association and partial economic integration. The Central Asian states remained on the outskirts of the post-Soviet space and the periphery of the EU’s interests. They did not raise the question of a “European choice” for themselves, but they came closer to the Union’s borders in territorial and geographical terms. Now they have become the “neighbors of the neighbors” of the European Union and, for the most part, they have sought to become more actively involved in global economic and political processes and diversify their external relations. </w:t>
      </w:r>
    </w:p>
    <w:p w14:paraId="13343140" w14:textId="77777777" w:rsidR="6A3FB55C" w:rsidRPr="00664C74" w:rsidRDefault="6A3FB55C" w:rsidP="74BDD3B8">
      <w:pPr>
        <w:spacing w:after="0" w:line="240" w:lineRule="auto"/>
        <w:ind w:firstLine="708"/>
        <w:jc w:val="both"/>
        <w:rPr>
          <w:lang w:val="en-US"/>
        </w:rPr>
      </w:pPr>
      <w:r w:rsidRPr="74BDD3B8">
        <w:rPr>
          <w:rFonts w:ascii="Times New Roman" w:eastAsia="Times New Roman" w:hAnsi="Times New Roman" w:cs="Times New Roman"/>
          <w:sz w:val="28"/>
          <w:szCs w:val="28"/>
          <w:lang w:val="en-US"/>
        </w:rPr>
        <w:t>By building its own system of presence and influence in the region, the European Union has thereby contributed to the strengthening of the competitive struggle of external players in Central Asia, primarily limiting Russia’s non-military capabilities and resources without directly threatening the security of the Russian Federation. The EU’s model of strategy in the region, relying on the resources and instruments of “soft power” and a special strategic culture, seemed to be an alternative to the predominantly military-political cooperation of the United States with the Central Asian republics, their primary efforts to destroy Russia’s monopoly on energy exports from the region and actions to contain China.</w:t>
      </w:r>
    </w:p>
    <w:p w14:paraId="3B95A4BE" w14:textId="77777777" w:rsidR="00DD07CF" w:rsidRDefault="1041D9FF" w:rsidP="0BE2D7A4">
      <w:pPr>
        <w:spacing w:after="0" w:line="240" w:lineRule="auto"/>
        <w:ind w:firstLine="708"/>
        <w:jc w:val="both"/>
        <w:rPr>
          <w:rFonts w:ascii="Times New Roman" w:eastAsia="Times New Roman" w:hAnsi="Times New Roman" w:cs="Times New Roman"/>
          <w:sz w:val="28"/>
          <w:szCs w:val="28"/>
          <w:lang w:val="en-US"/>
        </w:rPr>
      </w:pPr>
      <w:r w:rsidRPr="74BDD3B8">
        <w:rPr>
          <w:rFonts w:ascii="Times New Roman" w:eastAsia="Times New Roman" w:hAnsi="Times New Roman" w:cs="Times New Roman"/>
          <w:sz w:val="28"/>
          <w:szCs w:val="28"/>
          <w:lang w:val="en-US"/>
        </w:rPr>
        <w:t xml:space="preserve">The Central Asian Strategy was adopted only in 2007, after the eastward expansion, when the post-Soviet space found itself on the EU border. The increased attention to the region can also be explained by the protracted anti-terrorist operation of the international coalition in Afghanistan. Military missions of France and Germany were located in Tajikistan and Uzbekistan, respectively, and the region was considered a transit zone for supplying troops in Afghanistan. Finally, the Russian-Ukrainian gas wars prompted the EU to think about the problem of diversifying energy imports, and Central Asia was a potential source. </w:t>
      </w:r>
      <w:r w:rsidR="7AF6DDC3" w:rsidRPr="74BDD3B8">
        <w:rPr>
          <w:rFonts w:ascii="Times New Roman" w:eastAsia="Times New Roman" w:hAnsi="Times New Roman" w:cs="Times New Roman"/>
          <w:sz w:val="28"/>
          <w:szCs w:val="28"/>
          <w:lang w:val="en-US"/>
        </w:rPr>
        <w:t>The</w:t>
      </w:r>
      <w:r w:rsidR="442C851C" w:rsidRPr="74BDD3B8">
        <w:rPr>
          <w:rFonts w:ascii="Times New Roman" w:eastAsia="Times New Roman" w:hAnsi="Times New Roman" w:cs="Times New Roman"/>
          <w:sz w:val="28"/>
          <w:szCs w:val="28"/>
          <w:lang w:val="en-US"/>
        </w:rPr>
        <w:t xml:space="preserve"> </w:t>
      </w:r>
      <w:r w:rsidR="74BDD3B8" w:rsidRPr="74BDD3B8">
        <w:rPr>
          <w:rFonts w:ascii="Times New Roman" w:eastAsia="Times New Roman" w:hAnsi="Times New Roman" w:cs="Times New Roman"/>
          <w:sz w:val="28"/>
          <w:szCs w:val="28"/>
          <w:lang w:val="en-US"/>
        </w:rPr>
        <w:t>im</w:t>
      </w:r>
      <w:r w:rsidR="7AF6DDC3" w:rsidRPr="74BDD3B8">
        <w:rPr>
          <w:rFonts w:ascii="Times New Roman" w:eastAsia="Times New Roman" w:hAnsi="Times New Roman" w:cs="Times New Roman"/>
          <w:sz w:val="28"/>
          <w:szCs w:val="28"/>
          <w:lang w:val="en-US"/>
        </w:rPr>
        <w:t xml:space="preserve">portance of regional cooperation is invariably emphasized at joint meetings at the level of foreign ministers and relevant ministries of the EU and Central Asia, at inter-parliamentary meetings. </w:t>
      </w:r>
    </w:p>
    <w:p w14:paraId="6CB433B1" w14:textId="77777777" w:rsidR="00DD07CF" w:rsidRDefault="5C63180C"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However, i</w:t>
      </w:r>
      <w:r w:rsidR="32E7F7F3" w:rsidRPr="0BE2D7A4">
        <w:rPr>
          <w:rFonts w:ascii="Times New Roman" w:eastAsia="Times New Roman" w:hAnsi="Times New Roman" w:cs="Times New Roman"/>
          <w:sz w:val="28"/>
          <w:szCs w:val="28"/>
          <w:lang w:val="en-US"/>
        </w:rPr>
        <w:t>n recent years, the Strategy has been implemented rather by inertia. Its update began only 12 years after its adoption, which is a very long period for modern international relations with their rapidly changing agenda. During this period, cooperation developed in areas that do not represent so-called sensitive issues. The EU managed to launch a number of interesting regional projects and programs that are still functioning and have become brands of European presence in the region. Regular bilateral and multilateral consultations, even if their effectiveness raises questions, ensure that the parties remain in a constant dialogue mode. However, a number of goals declared in 2007 were not achieved. For example, the energy corridor project linking the EU and Central Asia was not implemented, and the situation with human rights and democratization remains difficult.</w:t>
      </w:r>
    </w:p>
    <w:p w14:paraId="32C92995" w14:textId="77777777" w:rsidR="00DD07CF" w:rsidRDefault="1ABE0F5B"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 distinctive feature of the new Strategy</w:t>
      </w:r>
      <w:r w:rsidR="76090295" w:rsidRPr="0BE2D7A4">
        <w:rPr>
          <w:rFonts w:ascii="Times New Roman" w:eastAsia="Times New Roman" w:hAnsi="Times New Roman" w:cs="Times New Roman"/>
          <w:sz w:val="28"/>
          <w:szCs w:val="28"/>
          <w:lang w:val="en-US"/>
        </w:rPr>
        <w:t xml:space="preserve"> of 2019</w:t>
      </w:r>
      <w:r w:rsidRPr="0BE2D7A4">
        <w:rPr>
          <w:rFonts w:ascii="Times New Roman" w:eastAsia="Times New Roman" w:hAnsi="Times New Roman" w:cs="Times New Roman"/>
          <w:sz w:val="28"/>
          <w:szCs w:val="28"/>
          <w:lang w:val="en-US"/>
        </w:rPr>
        <w:t xml:space="preserve"> compared to the previous document was a more specific explanation of the process of regional expansion of CA ties. The project component of the Strategy is now considering its implementation in the region as a unity - Central Asia together with Afghanistan and Mongolia. The EU supports political dialogue in the region and economic cooperation in a broader format - between the countries of Central Asia and Central Asia with Afghanistan and Mongolia. In fact, there is a conceptual rethinking of the regional dimension of Central Asia, its territorial and geographical expansion, that is, going beyond the five post-Soviet countries.</w:t>
      </w:r>
    </w:p>
    <w:p w14:paraId="1613201C" w14:textId="77777777" w:rsidR="00DD07CF" w:rsidRDefault="1ABE0F5B" w:rsidP="0BE2D7A4">
      <w:pPr>
        <w:spacing w:after="0" w:line="240" w:lineRule="auto"/>
        <w:ind w:firstLine="708"/>
        <w:jc w:val="both"/>
        <w:rPr>
          <w:rFonts w:ascii="Times New Roman" w:eastAsia="Times New Roman" w:hAnsi="Times New Roman" w:cs="Times New Roman"/>
          <w:sz w:val="28"/>
          <w:szCs w:val="28"/>
          <w:lang w:val="en-US"/>
        </w:rPr>
      </w:pPr>
      <w:r w:rsidRPr="79B2C90B">
        <w:rPr>
          <w:rFonts w:ascii="Times New Roman" w:eastAsia="Times New Roman" w:hAnsi="Times New Roman" w:cs="Times New Roman"/>
          <w:sz w:val="28"/>
          <w:szCs w:val="28"/>
          <w:lang w:val="en-US"/>
        </w:rPr>
        <w:t>The European Commission pursues a policy in the region, the leitmotif of which is expressed in program actions entitled "The EU creates a strong and modern partnership with Central Asia." [</w:t>
      </w:r>
      <w:r w:rsidR="208C7F71" w:rsidRPr="79B2C90B">
        <w:rPr>
          <w:rFonts w:ascii="Times New Roman" w:eastAsia="Times New Roman" w:hAnsi="Times New Roman" w:cs="Times New Roman"/>
          <w:sz w:val="28"/>
          <w:szCs w:val="28"/>
          <w:lang w:val="en-US"/>
        </w:rPr>
        <w:t>80</w:t>
      </w:r>
      <w:r w:rsidRPr="79B2C90B">
        <w:rPr>
          <w:rFonts w:ascii="Times New Roman" w:eastAsia="Times New Roman" w:hAnsi="Times New Roman" w:cs="Times New Roman"/>
          <w:sz w:val="28"/>
          <w:szCs w:val="28"/>
          <w:lang w:val="en-US"/>
        </w:rPr>
        <w:t>].</w:t>
      </w:r>
    </w:p>
    <w:p w14:paraId="065C44F9" w14:textId="77777777" w:rsidR="003C7EEF" w:rsidRDefault="155010CB" w:rsidP="0BE2D7A4">
      <w:pPr>
        <w:spacing w:after="0" w:line="240" w:lineRule="auto"/>
        <w:jc w:val="both"/>
        <w:rPr>
          <w:rFonts w:ascii="Times New Roman" w:eastAsia="Times New Roman" w:hAnsi="Times New Roman" w:cs="Times New Roman"/>
          <w:sz w:val="28"/>
          <w:szCs w:val="28"/>
          <w:lang w:val="en-US"/>
        </w:rPr>
      </w:pPr>
      <w:r w:rsidRPr="74BDD3B8">
        <w:rPr>
          <w:rFonts w:ascii="Times New Roman" w:eastAsia="Times New Roman" w:hAnsi="Times New Roman" w:cs="Times New Roman"/>
          <w:sz w:val="28"/>
          <w:szCs w:val="28"/>
          <w:lang w:val="en-US"/>
        </w:rPr>
        <w:t xml:space="preserve"> </w:t>
      </w:r>
      <w:r w:rsidRPr="00664C74">
        <w:rPr>
          <w:lang w:val="en-US"/>
        </w:rPr>
        <w:tab/>
      </w:r>
      <w:r w:rsidRPr="74BDD3B8">
        <w:rPr>
          <w:rFonts w:ascii="Times New Roman" w:eastAsia="Times New Roman" w:hAnsi="Times New Roman" w:cs="Times New Roman"/>
          <w:sz w:val="28"/>
          <w:szCs w:val="28"/>
          <w:lang w:val="en-US"/>
        </w:rPr>
        <w:t>The joint communication between the Commission and the High Representative of the EU "EU and Central Asia: New Opportunities for a Closer Partnership" provides a brief overview of the areas of this partnership, where the focus of current actions in the field of sustainable development is in one way or another related to the sphere of trade, economic, financial and social questions</w:t>
      </w:r>
      <w:r w:rsidR="64408472" w:rsidRPr="74BDD3B8">
        <w:rPr>
          <w:rFonts w:ascii="Times New Roman" w:eastAsia="Times New Roman" w:hAnsi="Times New Roman" w:cs="Times New Roman"/>
          <w:sz w:val="28"/>
          <w:szCs w:val="28"/>
          <w:lang w:val="en-US"/>
        </w:rPr>
        <w:t>.</w:t>
      </w:r>
    </w:p>
    <w:p w14:paraId="05AA4087"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79B2C90B">
        <w:rPr>
          <w:rFonts w:ascii="Times New Roman" w:eastAsia="Times New Roman" w:hAnsi="Times New Roman" w:cs="Times New Roman"/>
          <w:sz w:val="28"/>
          <w:szCs w:val="28"/>
          <w:lang w:val="en-US"/>
        </w:rPr>
        <w:t xml:space="preserve">The energy and transport sectors of the previous and new strategies remain in the priorities of cooperation between the EU and Central Asia, since the Europeans consider these areas to be priority and basic in the process of possible integration of the Central Asian countries among themselves, as well as integration into international markets and corridors. It remains in the interests of the EU to seek to expand the Southern Energy Corridor to Central Asia and promote the EU's multilateral energy initiative. The EU is also ready to support the development of renewable energy sources and energy efficiency in Central Asia. </w:t>
      </w:r>
    </w:p>
    <w:p w14:paraId="4A16F453" w14:textId="77777777" w:rsidR="00DD07CF" w:rsidRDefault="098445FF" w:rsidP="0BE2D7A4">
      <w:pPr>
        <w:spacing w:after="0" w:line="240" w:lineRule="auto"/>
        <w:ind w:firstLine="708"/>
        <w:jc w:val="both"/>
        <w:rPr>
          <w:rFonts w:ascii="Times New Roman" w:eastAsia="Times New Roman" w:hAnsi="Times New Roman" w:cs="Times New Roman"/>
          <w:sz w:val="28"/>
          <w:szCs w:val="28"/>
          <w:lang w:val="en-US"/>
        </w:rPr>
      </w:pPr>
      <w:r w:rsidRPr="74BDD3B8">
        <w:rPr>
          <w:rFonts w:ascii="Times New Roman" w:eastAsia="Times New Roman" w:hAnsi="Times New Roman" w:cs="Times New Roman"/>
          <w:sz w:val="28"/>
          <w:szCs w:val="28"/>
          <w:lang w:val="en-US"/>
        </w:rPr>
        <w:t>The strategy remains a document in which the principles that should guide relations between the two regions, in addition to the areas of common interest, the areas in which they intend to cooperate are set out in an orderly and systematic way and which EU programmes can be implemented. There remains a general framework for interaction between the two protagonists, open to specific proposals that can be launched later, such as the Erasmus+ programme, which students from Central Asia have been benefiting from for many years and which allows for people-to-people contacts between the two regions</w:t>
      </w:r>
      <w:r w:rsidR="7C27F0FA" w:rsidRPr="74BDD3B8">
        <w:rPr>
          <w:rFonts w:ascii="Times New Roman" w:eastAsia="Times New Roman" w:hAnsi="Times New Roman" w:cs="Times New Roman"/>
          <w:sz w:val="28"/>
          <w:szCs w:val="28"/>
          <w:lang w:val="en-US"/>
        </w:rPr>
        <w:t xml:space="preserve"> [88]. </w:t>
      </w:r>
    </w:p>
    <w:p w14:paraId="01F2617B" w14:textId="77777777" w:rsidR="0C9C04D7" w:rsidRDefault="0C9C04D7" w:rsidP="74BDD3B8">
      <w:pPr>
        <w:spacing w:after="0" w:line="240" w:lineRule="auto"/>
        <w:ind w:firstLine="708"/>
        <w:jc w:val="both"/>
        <w:rPr>
          <w:rFonts w:ascii="Times New Roman" w:eastAsia="Times New Roman" w:hAnsi="Times New Roman" w:cs="Times New Roman"/>
          <w:sz w:val="28"/>
          <w:szCs w:val="28"/>
          <w:lang w:val="en-US"/>
        </w:rPr>
      </w:pPr>
      <w:r w:rsidRPr="74BDD3B8">
        <w:rPr>
          <w:rFonts w:ascii="Times New Roman" w:eastAsia="Times New Roman" w:hAnsi="Times New Roman" w:cs="Times New Roman"/>
          <w:sz w:val="28"/>
          <w:szCs w:val="28"/>
          <w:lang w:val="en-US"/>
        </w:rPr>
        <w:t>However, i</w:t>
      </w:r>
      <w:r w:rsidR="4D810D7F" w:rsidRPr="74BDD3B8">
        <w:rPr>
          <w:rFonts w:ascii="Times New Roman" w:eastAsia="Times New Roman" w:hAnsi="Times New Roman" w:cs="Times New Roman"/>
          <w:sz w:val="28"/>
          <w:szCs w:val="28"/>
          <w:lang w:val="en-US"/>
        </w:rPr>
        <w:t>n January 2024, a discussion on the effectiveness of the Central Asian Strategy was held in the European Parliament. The EU's cooperation with Kazakhstan was recognized as the most significant for its implementation. It was with Kazakhstan that the Memorandum of Understanding and Strategic Partnership in the Field of Raw Materials, Batteries and Renewable Hydrogen was signed on 7 November 2022.</w:t>
      </w:r>
      <w:r w:rsidR="5B984B9E" w:rsidRPr="74BDD3B8">
        <w:rPr>
          <w:rFonts w:ascii="Times New Roman" w:eastAsia="Times New Roman" w:hAnsi="Times New Roman" w:cs="Times New Roman"/>
          <w:sz w:val="28"/>
          <w:szCs w:val="28"/>
          <w:lang w:val="en-US"/>
        </w:rPr>
        <w:t xml:space="preserve"> As a result, the discussion focused on the integration of the Central Asian Strategy into the large-scale EU project “Global Gateway”.</w:t>
      </w:r>
    </w:p>
    <w:p w14:paraId="0B1AF3C0" w14:textId="77777777" w:rsidR="43C026EA" w:rsidRDefault="43C026EA" w:rsidP="74BDD3B8">
      <w:pPr>
        <w:spacing w:after="0" w:line="240" w:lineRule="auto"/>
        <w:ind w:firstLine="708"/>
        <w:jc w:val="both"/>
        <w:rPr>
          <w:rFonts w:ascii="Times New Roman" w:eastAsia="Times New Roman" w:hAnsi="Times New Roman" w:cs="Times New Roman"/>
          <w:sz w:val="28"/>
          <w:szCs w:val="28"/>
          <w:lang w:val="en-US"/>
        </w:rPr>
      </w:pPr>
      <w:r w:rsidRPr="74BDD3B8">
        <w:rPr>
          <w:rFonts w:ascii="Times New Roman" w:eastAsia="Times New Roman" w:hAnsi="Times New Roman" w:cs="Times New Roman"/>
          <w:sz w:val="28"/>
          <w:szCs w:val="28"/>
          <w:lang w:val="en-US"/>
        </w:rPr>
        <w:t>In addition, in 2023, at the initiative of the EBRD, a study was conducted on “Sustainable Transport Links between Europe and Central Asia”. The document influenced the development of the Joint Roadmap for Deepening Transport and Logistics Links between the EU and Central Asia, approved during the 19th EU-Central Asia Ministerial Meeting on 23 October 2023.</w:t>
      </w:r>
    </w:p>
    <w:p w14:paraId="1859EBE4" w14:textId="77777777" w:rsidR="43C026EA" w:rsidRPr="00664C74" w:rsidRDefault="43C026EA" w:rsidP="74BDD3B8">
      <w:pPr>
        <w:spacing w:after="0" w:line="240" w:lineRule="auto"/>
        <w:ind w:firstLine="708"/>
        <w:jc w:val="both"/>
        <w:rPr>
          <w:lang w:val="en-US"/>
        </w:rPr>
      </w:pPr>
      <w:r w:rsidRPr="74BDD3B8">
        <w:rPr>
          <w:rFonts w:ascii="Times New Roman" w:eastAsia="Times New Roman" w:hAnsi="Times New Roman" w:cs="Times New Roman"/>
          <w:sz w:val="28"/>
          <w:szCs w:val="28"/>
          <w:lang w:val="en-US"/>
        </w:rPr>
        <w:t xml:space="preserve"> As a result of the discussion, the Trans-Caspian International Transport Route, or the so-called “Middle Corridor”, came into the spotlight of European officials. The EU has repeatedly expressed great interest in developing the route, which, as noted in the above-mentioned study, is “not only a regional economic zone, but also an alternative and sustainable route between Asia and Europe that does not cross Russian territory.”</w:t>
      </w:r>
    </w:p>
    <w:p w14:paraId="7B481E0F" w14:textId="77777777" w:rsidR="2BAB5D15" w:rsidRDefault="2BAB5D15" w:rsidP="74BDD3B8">
      <w:pPr>
        <w:spacing w:after="0" w:line="240" w:lineRule="auto"/>
        <w:ind w:firstLine="708"/>
        <w:jc w:val="both"/>
        <w:rPr>
          <w:rFonts w:ascii="Times New Roman" w:eastAsia="Times New Roman" w:hAnsi="Times New Roman" w:cs="Times New Roman"/>
          <w:sz w:val="28"/>
          <w:szCs w:val="28"/>
          <w:lang w:val="en-US"/>
        </w:rPr>
      </w:pPr>
      <w:r w:rsidRPr="74BDD3B8">
        <w:rPr>
          <w:rFonts w:ascii="Times New Roman" w:eastAsia="Times New Roman" w:hAnsi="Times New Roman" w:cs="Times New Roman"/>
          <w:sz w:val="28"/>
          <w:szCs w:val="28"/>
          <w:lang w:val="en-US"/>
        </w:rPr>
        <w:t>Taking into account the development of transport and energy connectivity, it is obvious that the EU perceives Central Asia as a supplier of resources. And by separating it from Russia, Brussels is trying to win the competition in the post-Soviet space not only from Moscow, but also from Beijing. However, it is the Russian factor that has become fundamental for the development of the EU's Central Asian strategy.</w:t>
      </w:r>
    </w:p>
    <w:p w14:paraId="5B95CD12" w14:textId="77777777" w:rsidR="74BDD3B8" w:rsidRPr="00D701F5" w:rsidRDefault="74BDD3B8" w:rsidP="74BDD3B8">
      <w:pPr>
        <w:spacing w:after="0" w:line="240" w:lineRule="auto"/>
        <w:ind w:firstLine="708"/>
        <w:jc w:val="both"/>
        <w:rPr>
          <w:rFonts w:ascii="Times New Roman" w:eastAsia="Times New Roman" w:hAnsi="Times New Roman" w:cs="Times New Roman"/>
          <w:sz w:val="28"/>
          <w:szCs w:val="28"/>
        </w:rPr>
      </w:pPr>
    </w:p>
    <w:p w14:paraId="0C61FA77" w14:textId="77777777" w:rsidR="00DD07CF" w:rsidRDefault="155010CB" w:rsidP="003C7EEF">
      <w:pPr>
        <w:pStyle w:val="af"/>
        <w:shd w:val="clear" w:color="auto" w:fill="FFFFFF" w:themeFill="background1"/>
        <w:spacing w:after="0" w:line="240" w:lineRule="auto"/>
        <w:ind w:firstLine="709"/>
        <w:jc w:val="both"/>
        <w:rPr>
          <w:rFonts w:eastAsia="Times New Roman"/>
          <w:sz w:val="28"/>
          <w:szCs w:val="28"/>
          <w:lang w:val="en-US" w:eastAsia="ru-RU"/>
        </w:rPr>
      </w:pPr>
      <w:r w:rsidRPr="120AEEC1">
        <w:rPr>
          <w:rFonts w:eastAsia="Times New Roman"/>
          <w:b/>
          <w:bCs/>
          <w:sz w:val="28"/>
          <w:szCs w:val="28"/>
          <w:lang w:val="en-US" w:eastAsia="ru-RU"/>
        </w:rPr>
        <w:t>1.2. Main trends in modern foreign policy of the European Union in Central Asia</w:t>
      </w:r>
    </w:p>
    <w:p w14:paraId="21C0C280" w14:textId="77777777" w:rsidR="00DD07CF" w:rsidRDefault="0BE2D7A4" w:rsidP="003C7EEF">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The Central Asian region is of particular interest to the world community, primarily due to the presence of rich energy resources. Despite the fact that expectations of the discovery of hydrocarbon deposits comparable to the Persian Gulf in Central Asia and the Caspian Sea did not materialize, Western companies back in the 1990s occupied the energy niche in a number of countries in the region. In the 21st century the energy resources of Central Asia are also attracted by China, which “sees” in this region its own hydrocarbon storehouse, which is so necessary for Beijing to maintain economic well-being.</w:t>
      </w:r>
    </w:p>
    <w:p w14:paraId="4F87B16C" w14:textId="77777777" w:rsidR="00DD07CF" w:rsidRDefault="0BE2D7A4" w:rsidP="74BDD3B8">
      <w:pPr>
        <w:pStyle w:val="af"/>
        <w:shd w:val="clear" w:color="auto" w:fill="FFFFFF" w:themeFill="background1"/>
        <w:spacing w:after="0" w:line="240" w:lineRule="auto"/>
        <w:ind w:firstLine="708"/>
        <w:jc w:val="both"/>
        <w:rPr>
          <w:rFonts w:eastAsia="Times New Roman"/>
          <w:sz w:val="28"/>
          <w:szCs w:val="28"/>
          <w:lang w:val="en-US" w:eastAsia="ru-RU"/>
        </w:rPr>
      </w:pPr>
      <w:r w:rsidRPr="74BDD3B8">
        <w:rPr>
          <w:rFonts w:eastAsia="Times New Roman"/>
          <w:sz w:val="28"/>
          <w:szCs w:val="28"/>
          <w:lang w:val="en-US" w:eastAsia="ru-RU"/>
        </w:rPr>
        <w:t>European diplomats are lobbying for the construction of a trans-Caspian pipeline to provide access to cheap Turkmen gas to the European market. The US is making efforts to create alternative pipeline systems to Russia in Central Asia. At the same time, Washington does not intend to cede the palm in this struggle to Beijing. However, the failures with the trans-Caspian gas pipeline and the TAPI project (laying a pipeline from Turkmenistan to India through Afghanistan and Pakistan) testify to the futility of a number of Washington's energy projects in Central Asia.</w:t>
      </w:r>
    </w:p>
    <w:p w14:paraId="563F58FB" w14:textId="77777777" w:rsidR="00DD07CF" w:rsidRDefault="0BE2D7A4" w:rsidP="0BE2D7A4">
      <w:pPr>
        <w:pStyle w:val="af"/>
        <w:shd w:val="clear" w:color="auto" w:fill="FFFFFF" w:themeFill="background1"/>
        <w:spacing w:after="0" w:line="240" w:lineRule="auto"/>
        <w:ind w:firstLine="360"/>
        <w:jc w:val="both"/>
        <w:rPr>
          <w:rFonts w:eastAsia="Times New Roman"/>
          <w:sz w:val="28"/>
          <w:szCs w:val="28"/>
          <w:lang w:val="en-US" w:eastAsia="ru-RU"/>
        </w:rPr>
      </w:pPr>
      <w:r w:rsidRPr="0BE2D7A4">
        <w:rPr>
          <w:rFonts w:eastAsia="Times New Roman"/>
          <w:sz w:val="28"/>
          <w:szCs w:val="28"/>
          <w:lang w:val="en-US" w:eastAsia="ru-RU"/>
        </w:rPr>
        <w:t>In the 21st century there is a tendency to use the transit potential of Central Asia both along the East-West line and in the North-South direction. The first route is lobbied by China. It is aimed at creating a transport infrastructure capable of delivering goods from China to European markets by land route (through the countries of Central Asia and, above all, Kazakhstan). The second route connects Russia and Iran through Kazakhstan and Turkmenistan, which enables the countries of the region and Russia to use the opening market of Iran and enter the Persian Gulf region.</w:t>
      </w:r>
    </w:p>
    <w:p w14:paraId="57496FBA" w14:textId="77777777" w:rsidR="00DD07CF" w:rsidRDefault="155010CB" w:rsidP="74BDD3B8">
      <w:pPr>
        <w:pStyle w:val="af"/>
        <w:shd w:val="clear" w:color="auto" w:fill="FFFFFF" w:themeFill="background1"/>
        <w:spacing w:after="0" w:line="240" w:lineRule="auto"/>
        <w:ind w:firstLine="708"/>
        <w:jc w:val="both"/>
        <w:rPr>
          <w:rFonts w:eastAsia="Times New Roman"/>
          <w:sz w:val="28"/>
          <w:szCs w:val="28"/>
          <w:lang w:val="en-US" w:eastAsia="ru-RU"/>
        </w:rPr>
      </w:pPr>
      <w:r w:rsidRPr="74BDD3B8">
        <w:rPr>
          <w:rFonts w:eastAsia="Times New Roman"/>
          <w:sz w:val="28"/>
          <w:szCs w:val="28"/>
          <w:lang w:val="en-US" w:eastAsia="ru-RU"/>
        </w:rPr>
        <w:t>For Russia, Central Asia is an important transit region and a market for cheap labor. Moreover, the presence of an open and one of the world's longest land borders between Russia and Kazakhstan forces Russia to bear the costs of ensuring security in this region.</w:t>
      </w:r>
      <w:r w:rsidR="6C249223" w:rsidRPr="74BDD3B8">
        <w:rPr>
          <w:rFonts w:eastAsia="Times New Roman"/>
          <w:sz w:val="28"/>
          <w:szCs w:val="28"/>
          <w:lang w:val="en-US" w:eastAsia="ru-RU"/>
        </w:rPr>
        <w:t xml:space="preserve"> </w:t>
      </w:r>
      <w:r w:rsidRPr="74BDD3B8">
        <w:rPr>
          <w:rFonts w:eastAsia="Times New Roman"/>
          <w:sz w:val="28"/>
          <w:szCs w:val="28"/>
          <w:lang w:val="en-US" w:eastAsia="ru-RU"/>
        </w:rPr>
        <w:t>Thus, Russia has a number of unique advantages in Central Asia in comparison with other international actors. First, Russia and the countries of the region have a common historical past, which is perceived ambiguously by the political elites of Central Asia. Secondly, in many cities of Central Asia, the Russian language is still widely spoken and its popularity is growing among schoolchildren and their parents. Thirdly, the population of the CSTO countries of Central Asia perceives Russia as a guarantor of security and stability. Fourthly, Russia is positioned as a region of emigration for a significant part of the active population of Central Asia (not only for the purpose of earning, but also for education).</w:t>
      </w:r>
    </w:p>
    <w:p w14:paraId="5CC9C545" w14:textId="77777777" w:rsidR="00DD07CF" w:rsidRDefault="155010CB" w:rsidP="003C7EEF">
      <w:pPr>
        <w:pStyle w:val="af"/>
        <w:shd w:val="clear" w:color="auto" w:fill="FFFFFF" w:themeFill="background1"/>
        <w:spacing w:after="0" w:line="240" w:lineRule="auto"/>
        <w:ind w:firstLine="709"/>
        <w:jc w:val="both"/>
        <w:rPr>
          <w:rFonts w:eastAsia="Times New Roman"/>
          <w:color w:val="000000" w:themeColor="text1"/>
          <w:sz w:val="28"/>
          <w:szCs w:val="28"/>
          <w:lang w:val="en-US"/>
        </w:rPr>
      </w:pPr>
      <w:r w:rsidRPr="120AEEC1">
        <w:rPr>
          <w:rFonts w:eastAsia="Times New Roman"/>
          <w:color w:val="000000" w:themeColor="text1"/>
          <w:sz w:val="28"/>
          <w:szCs w:val="28"/>
          <w:lang w:val="en-US"/>
        </w:rPr>
        <w:t>“Analysts have long considered Russia the main security player in Central Asia. It still has military installations in three of the five countries in the region: Kazakhstan, Tajikistan and Kyrgyzstan,” says Edward Lemon, Research Assistant Professor at the Bush School of Government and Public Service at Texas A&amp;M University.</w:t>
      </w:r>
      <w:r w:rsidR="4A13F2DA" w:rsidRPr="120AEEC1">
        <w:rPr>
          <w:rFonts w:eastAsia="Times New Roman"/>
          <w:color w:val="000000" w:themeColor="text1"/>
          <w:sz w:val="28"/>
          <w:szCs w:val="28"/>
          <w:lang w:val="en-US"/>
        </w:rPr>
        <w:t xml:space="preserve"> </w:t>
      </w:r>
      <w:r w:rsidRPr="120AEEC1">
        <w:rPr>
          <w:rFonts w:eastAsia="Times New Roman"/>
          <w:color w:val="000000" w:themeColor="text1"/>
          <w:sz w:val="28"/>
          <w:szCs w:val="28"/>
          <w:lang w:val="en-US"/>
        </w:rPr>
        <w:t>The expert emphasizes that the nature of the remaining Russian influence is not only military: it is mainly associated with the intelligence services: “Over the past three decades, Russian weapons have accounted for approximately two-thirds of arms imports in the region, including 90% of arms imports by Kyrgyzstan and Tajikistan, which, of course, made armed the forces of these countries are dependent on the Russian military-industrial complex, Russian military doctrine, and Russian training methods. All of the region's security services emerged from the Soviet KGB, and these ties have remained very strong, contributing to such events as transnational repression of migrant dissidents from Central Asia hiding in Russia, or vice versa. This diverse set of security and intelligence ties remains relatively strong”</w:t>
      </w:r>
      <w:r w:rsidR="3FA66682" w:rsidRPr="120AEEC1">
        <w:rPr>
          <w:rFonts w:eastAsia="Times New Roman"/>
          <w:color w:val="000000" w:themeColor="text1"/>
          <w:sz w:val="28"/>
          <w:szCs w:val="28"/>
          <w:lang w:val="en-US"/>
        </w:rPr>
        <w:t xml:space="preserve"> [104]. </w:t>
      </w:r>
    </w:p>
    <w:p w14:paraId="3F0A862F" w14:textId="77777777" w:rsidR="00DD07CF" w:rsidRDefault="155010CB" w:rsidP="003C7EEF">
      <w:pPr>
        <w:pStyle w:val="af"/>
        <w:shd w:val="clear" w:color="auto" w:fill="FFFFFF" w:themeFill="background1"/>
        <w:spacing w:after="0" w:line="240" w:lineRule="auto"/>
        <w:ind w:firstLine="709"/>
        <w:jc w:val="both"/>
        <w:rPr>
          <w:rFonts w:eastAsia="Times New Roman"/>
          <w:color w:val="000000" w:themeColor="text1"/>
          <w:sz w:val="28"/>
          <w:szCs w:val="28"/>
          <w:lang w:val="en-US"/>
        </w:rPr>
      </w:pPr>
      <w:r w:rsidRPr="120AEEC1">
        <w:rPr>
          <w:rFonts w:eastAsia="Times New Roman"/>
          <w:color w:val="000000" w:themeColor="text1"/>
          <w:sz w:val="28"/>
          <w:szCs w:val="28"/>
          <w:lang w:val="en-US"/>
        </w:rPr>
        <w:t>However, Russia’s invasion of Ukraine has affected the Kremlin’s ties in Central Asia. It undermined them financially. Russia still remains the main external security partner of the Central Asian countries, but now this is already being called into question.</w:t>
      </w:r>
      <w:r w:rsidR="62264CE9" w:rsidRPr="120AEEC1">
        <w:rPr>
          <w:rFonts w:eastAsia="Times New Roman"/>
          <w:color w:val="000000" w:themeColor="text1"/>
          <w:sz w:val="28"/>
          <w:szCs w:val="28"/>
          <w:lang w:val="en-US"/>
        </w:rPr>
        <w:t xml:space="preserve"> </w:t>
      </w:r>
      <w:r w:rsidRPr="120AEEC1">
        <w:rPr>
          <w:rFonts w:eastAsia="Times New Roman"/>
          <w:color w:val="000000" w:themeColor="text1"/>
          <w:sz w:val="28"/>
          <w:szCs w:val="28"/>
          <w:lang w:val="en-US"/>
        </w:rPr>
        <w:t>The decline in influence is also evidenced by the practical incapacity of the Collective Security Treaty Organization (CSTO), created back in 1992.  The world has repeatedly witnessed violence and quite serious border conflicts between Kyrgyzstan and Tajikistan, especially in April 2021 and September 2022. And</w:t>
      </w:r>
      <w:r w:rsidR="548E5467" w:rsidRPr="120AEEC1">
        <w:rPr>
          <w:rFonts w:eastAsia="Times New Roman"/>
          <w:color w:val="000000" w:themeColor="text1"/>
          <w:sz w:val="28"/>
          <w:szCs w:val="28"/>
          <w:lang w:val="en-US"/>
        </w:rPr>
        <w:t xml:space="preserve"> </w:t>
      </w:r>
      <w:r w:rsidRPr="120AEEC1">
        <w:rPr>
          <w:rFonts w:eastAsia="Times New Roman"/>
          <w:color w:val="000000" w:themeColor="text1"/>
          <w:sz w:val="28"/>
          <w:szCs w:val="28"/>
          <w:lang w:val="en-US"/>
        </w:rPr>
        <w:t>the CSTO did not intervene. The only significant intervention it has undertaken occurred during the January 2022 events in Kazakhstan</w:t>
      </w:r>
      <w:r w:rsidR="770FA12E" w:rsidRPr="120AEEC1">
        <w:rPr>
          <w:rFonts w:eastAsia="Times New Roman"/>
          <w:color w:val="000000" w:themeColor="text1"/>
          <w:sz w:val="28"/>
          <w:szCs w:val="28"/>
          <w:lang w:val="en-US"/>
        </w:rPr>
        <w:t xml:space="preserve"> [105]. </w:t>
      </w:r>
    </w:p>
    <w:p w14:paraId="4EC85A67" w14:textId="316B0B3B" w:rsidR="003C7EEF" w:rsidRDefault="155010CB" w:rsidP="003C7EEF">
      <w:pPr>
        <w:pStyle w:val="af"/>
        <w:shd w:val="clear" w:color="auto" w:fill="FFFFFF" w:themeFill="background1"/>
        <w:spacing w:after="0" w:line="240" w:lineRule="auto"/>
        <w:ind w:firstLine="709"/>
        <w:jc w:val="both"/>
        <w:rPr>
          <w:rFonts w:eastAsia="Times New Roman"/>
          <w:color w:val="000000" w:themeColor="text1"/>
          <w:sz w:val="28"/>
          <w:szCs w:val="28"/>
          <w:lang w:val="en-US"/>
        </w:rPr>
      </w:pPr>
      <w:r w:rsidRPr="02F3055D">
        <w:rPr>
          <w:rFonts w:eastAsia="Times New Roman"/>
          <w:color w:val="000000" w:themeColor="text1"/>
          <w:sz w:val="28"/>
          <w:szCs w:val="28"/>
          <w:lang w:val="en-US"/>
        </w:rPr>
        <w:t>T</w:t>
      </w:r>
      <w:r w:rsidR="4C88D00F" w:rsidRPr="02F3055D">
        <w:rPr>
          <w:rFonts w:eastAsia="Times New Roman"/>
          <w:color w:val="000000" w:themeColor="text1"/>
          <w:sz w:val="28"/>
          <w:szCs w:val="28"/>
          <w:lang w:val="en-US"/>
        </w:rPr>
        <w:t xml:space="preserve">hree </w:t>
      </w:r>
      <w:r w:rsidRPr="02F3055D">
        <w:rPr>
          <w:rFonts w:eastAsia="Times New Roman"/>
          <w:color w:val="000000" w:themeColor="text1"/>
          <w:sz w:val="28"/>
          <w:szCs w:val="28"/>
          <w:lang w:val="en-US"/>
        </w:rPr>
        <w:t xml:space="preserve">years of war in Ukraine, sanctions and isolation have shaken Russia's position. </w:t>
      </w:r>
      <w:r w:rsidR="1F2E1610" w:rsidRPr="02F3055D">
        <w:rPr>
          <w:rFonts w:eastAsia="Times New Roman"/>
          <w:color w:val="000000" w:themeColor="text1"/>
          <w:sz w:val="28"/>
          <w:szCs w:val="28"/>
          <w:lang w:val="en-US"/>
        </w:rPr>
        <w:t>The Central Asian countries are distanced from the conflict between Ukraine and Russia and do not participate in it directly. However, the region is exposed to its influence due to close political, financial and trade ties with the parties to the conflict. Some of the influence was direct, for example, the volume and structure of foreign trade with the Russian Federation changed. Other factors, such as the rise in energy prices, had an impact through the mechanisms of global markets.</w:t>
      </w:r>
    </w:p>
    <w:p w14:paraId="5BC569F6" w14:textId="77777777" w:rsidR="00DD07CF" w:rsidRDefault="1F2E1610" w:rsidP="003C7EEF">
      <w:pPr>
        <w:pStyle w:val="af"/>
        <w:shd w:val="clear" w:color="auto" w:fill="FFFFFF" w:themeFill="background1"/>
        <w:spacing w:after="0" w:line="240" w:lineRule="auto"/>
        <w:ind w:firstLine="709"/>
        <w:jc w:val="both"/>
        <w:rPr>
          <w:rFonts w:eastAsia="Times New Roman"/>
          <w:color w:val="000000" w:themeColor="text1"/>
          <w:sz w:val="28"/>
          <w:szCs w:val="28"/>
          <w:lang w:val="en-US"/>
        </w:rPr>
      </w:pPr>
      <w:r w:rsidRPr="0BE2D7A4">
        <w:rPr>
          <w:rFonts w:eastAsia="Times New Roman"/>
          <w:color w:val="000000" w:themeColor="text1"/>
          <w:sz w:val="28"/>
          <w:szCs w:val="28"/>
          <w:lang w:val="en-US"/>
        </w:rPr>
        <w:t>The key economic events caused by the war include the introduction of sanctions against the Russian Federation, the departure of foreign companies from Russia, the migration of Russian citizens and enterprises, changes in supply and demand in the energy, mineral and food markets, changes in trade routes, etc.</w:t>
      </w:r>
    </w:p>
    <w:p w14:paraId="1D1D260F" w14:textId="77777777" w:rsidR="003C7EEF" w:rsidRPr="00664C74" w:rsidRDefault="1F2E1610" w:rsidP="003C7EEF">
      <w:pPr>
        <w:pStyle w:val="af"/>
        <w:shd w:val="clear" w:color="auto" w:fill="FFFFFF" w:themeFill="background1"/>
        <w:spacing w:after="0" w:line="240" w:lineRule="auto"/>
        <w:ind w:firstLine="709"/>
        <w:jc w:val="both"/>
        <w:rPr>
          <w:rFonts w:eastAsia="Times New Roman"/>
          <w:color w:val="000000" w:themeColor="text1"/>
          <w:sz w:val="28"/>
          <w:szCs w:val="28"/>
          <w:lang w:val="en-US"/>
        </w:rPr>
      </w:pPr>
      <w:r w:rsidRPr="0BE2D7A4">
        <w:rPr>
          <w:rFonts w:eastAsia="Times New Roman"/>
          <w:color w:val="000000" w:themeColor="text1"/>
          <w:sz w:val="28"/>
          <w:szCs w:val="28"/>
          <w:lang w:val="en-US"/>
        </w:rPr>
        <w:t>Large-scale sanctions against the Russian Federation, aimed at the state, enterprises and individuals, have manifested themselves in a record number of diplomatic, trade and financial restrictions. In addition to the tangible effects on Russia itself, the sanctions have a significant impact on the Central Asian countries. First of all, the Central Asian countries are forced to comply with restrictions on trade with the Russian Federation, where sanctions mostly affect military and dual-use goods, for example, various technologies or components for military vehicles and equipment. Failure to comply with international restrictions threatens the Central Asian countries with secondary sanctions. Several companies from Kazakhstan, Kyrgyzstan, Uzbekistan and Tajikistan have already fallen under secondary sanctions or have been put on various "black lists" on suspicion of "supporting the Russian military-industrial complex."</w:t>
      </w:r>
      <w:r w:rsidR="0A9E74FB" w:rsidRPr="0BE2D7A4">
        <w:rPr>
          <w:rFonts w:eastAsia="Times New Roman"/>
          <w:color w:val="000000" w:themeColor="text1"/>
          <w:sz w:val="28"/>
          <w:szCs w:val="28"/>
          <w:lang w:val="en-US"/>
        </w:rPr>
        <w:t xml:space="preserve"> </w:t>
      </w:r>
    </w:p>
    <w:p w14:paraId="0158C20E" w14:textId="77777777" w:rsidR="003C7EEF" w:rsidRDefault="155010CB" w:rsidP="003C7EEF">
      <w:pPr>
        <w:pStyle w:val="af"/>
        <w:shd w:val="clear" w:color="auto" w:fill="FFFFFF" w:themeFill="background1"/>
        <w:spacing w:after="0" w:line="240" w:lineRule="auto"/>
        <w:ind w:firstLine="709"/>
        <w:jc w:val="both"/>
        <w:rPr>
          <w:rFonts w:eastAsia="Times New Roman"/>
          <w:color w:val="000000" w:themeColor="text1"/>
          <w:sz w:val="28"/>
          <w:szCs w:val="28"/>
          <w:lang w:val="en-US"/>
        </w:rPr>
      </w:pPr>
      <w:r w:rsidRPr="0BE2D7A4">
        <w:rPr>
          <w:rFonts w:eastAsia="Times New Roman"/>
          <w:color w:val="000000" w:themeColor="text1"/>
          <w:sz w:val="28"/>
          <w:szCs w:val="28"/>
          <w:lang w:val="en-US"/>
        </w:rPr>
        <w:t xml:space="preserve">It may seem that Moscow has completely lost its position in Central Asia, and Beijing has become the dominant external force there. Adding credibility to such views are statements by Chinese leaders about support for the territorial integrity of the countries of Central Asia, numerous high-level visits, record levels of Chinese trade and investment in the region, as well as the pompous first China-Central Asia summit held in May 2023, followed by </w:t>
      </w:r>
      <w:r w:rsidR="32C6E805" w:rsidRPr="0BE2D7A4">
        <w:rPr>
          <w:rFonts w:eastAsia="Times New Roman"/>
          <w:color w:val="000000" w:themeColor="text1"/>
          <w:sz w:val="28"/>
          <w:szCs w:val="28"/>
          <w:lang w:val="en-US"/>
        </w:rPr>
        <w:t>i</w:t>
      </w:r>
      <w:r w:rsidRPr="0BE2D7A4">
        <w:rPr>
          <w:rFonts w:eastAsia="Times New Roman"/>
          <w:color w:val="000000" w:themeColor="text1"/>
          <w:sz w:val="28"/>
          <w:szCs w:val="28"/>
          <w:lang w:val="en-US"/>
        </w:rPr>
        <w:t>n March 2024, the formation of the secretariat of this mechanism followed.</w:t>
      </w:r>
    </w:p>
    <w:p w14:paraId="4CC65377" w14:textId="77777777" w:rsidR="003C7EEF" w:rsidRDefault="155010CB" w:rsidP="003C7EEF">
      <w:pPr>
        <w:pStyle w:val="af"/>
        <w:shd w:val="clear" w:color="auto" w:fill="FFFFFF" w:themeFill="background1"/>
        <w:spacing w:after="0" w:line="240" w:lineRule="auto"/>
        <w:ind w:firstLine="709"/>
        <w:jc w:val="both"/>
        <w:rPr>
          <w:rFonts w:eastAsia="Times New Roman"/>
          <w:color w:val="000000" w:themeColor="text1"/>
          <w:sz w:val="28"/>
          <w:szCs w:val="28"/>
          <w:lang w:val="en-US"/>
        </w:rPr>
      </w:pPr>
      <w:r w:rsidRPr="120AEEC1">
        <w:rPr>
          <w:rFonts w:eastAsia="Times New Roman"/>
          <w:color w:val="000000" w:themeColor="text1"/>
          <w:sz w:val="28"/>
          <w:szCs w:val="28"/>
          <w:lang w:val="en-US"/>
        </w:rPr>
        <w:t>However, in reality the situation is different. First of all, because for five countries squeezed in the depths of the Eurasian continent without access to the sea - Kazakhstan, Kyrgyzstan, Tajikistan, Turkmenistan and Uzbekistan - it is not profitable for one influential neighbor to simply push out another. Therefore, they all strive to diversify ties with the outside world. Both Russia and China are important to them, often as a tandem of major powers that have built pragmatic interaction with each other. And the situation has not been changed even by the fact that one of these countries is now in direct confrontation with the West, and the other is actively preparing for a similar conflict [</w:t>
      </w:r>
      <w:r w:rsidR="1C2F6122" w:rsidRPr="120AEEC1">
        <w:rPr>
          <w:rFonts w:eastAsia="Times New Roman"/>
          <w:color w:val="000000" w:themeColor="text1"/>
          <w:sz w:val="28"/>
          <w:szCs w:val="28"/>
          <w:lang w:val="en-US"/>
        </w:rPr>
        <w:t>106</w:t>
      </w:r>
      <w:r w:rsidRPr="120AEEC1">
        <w:rPr>
          <w:rFonts w:eastAsia="Times New Roman"/>
          <w:color w:val="000000" w:themeColor="text1"/>
          <w:sz w:val="28"/>
          <w:szCs w:val="28"/>
          <w:lang w:val="en-US"/>
        </w:rPr>
        <w:t>].</w:t>
      </w:r>
    </w:p>
    <w:p w14:paraId="4D931F3D" w14:textId="77777777" w:rsidR="003C7EEF" w:rsidRDefault="0BE2D7A4" w:rsidP="120AEEC1">
      <w:pPr>
        <w:pStyle w:val="af"/>
        <w:shd w:val="clear" w:color="auto" w:fill="FFFFFF" w:themeFill="background1"/>
        <w:spacing w:after="0" w:line="240" w:lineRule="auto"/>
        <w:ind w:firstLine="709"/>
        <w:jc w:val="both"/>
        <w:rPr>
          <w:rFonts w:eastAsia="Times New Roman"/>
          <w:sz w:val="28"/>
          <w:szCs w:val="28"/>
          <w:lang w:val="en-US" w:eastAsia="ru-RU"/>
        </w:rPr>
      </w:pPr>
      <w:r w:rsidRPr="120AEEC1">
        <w:rPr>
          <w:rFonts w:eastAsia="Times New Roman"/>
          <w:sz w:val="28"/>
          <w:szCs w:val="28"/>
          <w:lang w:val="en-US" w:eastAsia="ru-RU"/>
        </w:rPr>
        <w:t>In Central Asia, the EU's ability to exercise external governance is limited by geographic and political distance. With shared borders, historical ties, and language, Russian and Chinese geopolitics have an advantageous starting point. Russia is a key regional power in Central Asia and its influence is based on the Eurasian Economic Union and historically close political ties. China's influence is mainly exercised through its aid, trade and development regimes with Central Asian states [</w:t>
      </w:r>
      <w:r w:rsidR="2FD2EF6E" w:rsidRPr="120AEEC1">
        <w:rPr>
          <w:rFonts w:eastAsia="Times New Roman"/>
          <w:sz w:val="28"/>
          <w:szCs w:val="28"/>
          <w:lang w:val="en-US" w:eastAsia="ru-RU"/>
        </w:rPr>
        <w:t>107</w:t>
      </w:r>
      <w:r w:rsidRPr="120AEEC1">
        <w:rPr>
          <w:rFonts w:eastAsia="Times New Roman"/>
          <w:sz w:val="28"/>
          <w:szCs w:val="28"/>
          <w:lang w:val="en-US" w:eastAsia="ru-RU"/>
        </w:rPr>
        <w:t>]. In Central Asia, the states of the region are diverse and often take a cue from Russia in defining their political and security regimes [</w:t>
      </w:r>
      <w:r w:rsidR="524EF0E7" w:rsidRPr="120AEEC1">
        <w:rPr>
          <w:rFonts w:eastAsia="Times New Roman"/>
          <w:sz w:val="28"/>
          <w:szCs w:val="28"/>
          <w:lang w:val="en-US" w:eastAsia="ru-RU"/>
        </w:rPr>
        <w:t>108</w:t>
      </w:r>
      <w:r w:rsidRPr="120AEEC1">
        <w:rPr>
          <w:rFonts w:eastAsia="Times New Roman"/>
          <w:sz w:val="28"/>
          <w:szCs w:val="28"/>
          <w:lang w:val="en-US" w:eastAsia="ru-RU"/>
        </w:rPr>
        <w:t>]. The rise of hydrocarbons in the geopolitics of Russia's foreign policy has affected the region. More recently, new geopolitical alliances around renewable energy have been formed between Kazakhstan and Russia [</w:t>
      </w:r>
      <w:r w:rsidR="5084FB48" w:rsidRPr="120AEEC1">
        <w:rPr>
          <w:rFonts w:eastAsia="Times New Roman"/>
          <w:sz w:val="28"/>
          <w:szCs w:val="28"/>
          <w:lang w:val="en-US" w:eastAsia="ru-RU"/>
        </w:rPr>
        <w:t>109</w:t>
      </w:r>
      <w:r w:rsidRPr="120AEEC1">
        <w:rPr>
          <w:rFonts w:eastAsia="Times New Roman"/>
          <w:sz w:val="28"/>
          <w:szCs w:val="28"/>
          <w:lang w:val="en-US" w:eastAsia="ru-RU"/>
        </w:rPr>
        <w:t>], which have been strengthened by Russian intervention in Kazakhstan in January 2022 [</w:t>
      </w:r>
      <w:r w:rsidR="29060CE0" w:rsidRPr="120AEEC1">
        <w:rPr>
          <w:rFonts w:eastAsia="Times New Roman"/>
          <w:sz w:val="28"/>
          <w:szCs w:val="28"/>
          <w:lang w:val="en-US" w:eastAsia="ru-RU"/>
        </w:rPr>
        <w:t>110</w:t>
      </w:r>
      <w:r w:rsidRPr="120AEEC1">
        <w:rPr>
          <w:rFonts w:eastAsia="Times New Roman"/>
          <w:sz w:val="28"/>
          <w:szCs w:val="28"/>
          <w:lang w:val="en-US" w:eastAsia="ru-RU"/>
        </w:rPr>
        <w:t>]. Kyrgyzstan is a member state of the Shanghai Cooperation Organization and the Collective Security Treaty Organization and maintains ties with both China and Russia. The recent political turmoil in the country has placed EU initiatives on education, sustainable development and youth in context and underscored that the EU is doing valuable work in the social and economic arena [</w:t>
      </w:r>
      <w:r w:rsidR="7DA2E99F" w:rsidRPr="120AEEC1">
        <w:rPr>
          <w:rFonts w:eastAsia="Times New Roman"/>
          <w:sz w:val="28"/>
          <w:szCs w:val="28"/>
          <w:lang w:val="en-US" w:eastAsia="ru-RU"/>
        </w:rPr>
        <w:t>111</w:t>
      </w:r>
      <w:r w:rsidRPr="120AEEC1">
        <w:rPr>
          <w:rFonts w:eastAsia="Times New Roman"/>
          <w:sz w:val="28"/>
          <w:szCs w:val="28"/>
          <w:lang w:val="en-US" w:eastAsia="ru-RU"/>
        </w:rPr>
        <w:t>]. Despite recent reforms, authoritarian politics prevail in Kazakhstan, it has found markets for its energy in China and Russia, which remains its key interlocutor, but the EU has less influence in the country [</w:t>
      </w:r>
      <w:r w:rsidR="53E7DEEE" w:rsidRPr="120AEEC1">
        <w:rPr>
          <w:rFonts w:eastAsia="Times New Roman"/>
          <w:sz w:val="28"/>
          <w:szCs w:val="28"/>
          <w:lang w:val="en-US" w:eastAsia="ru-RU"/>
        </w:rPr>
        <w:t>112</w:t>
      </w:r>
      <w:r w:rsidRPr="120AEEC1">
        <w:rPr>
          <w:rFonts w:eastAsia="Times New Roman"/>
          <w:sz w:val="28"/>
          <w:szCs w:val="28"/>
          <w:lang w:val="en-US" w:eastAsia="ru-RU"/>
        </w:rPr>
        <w:t>]. Tajikistan is also an authoritarian state, oriented mainly towards Russia. Aside from a few infrastructure programs, EU policy towards the country has been at arm's length [</w:t>
      </w:r>
      <w:r w:rsidR="20B28CA4" w:rsidRPr="120AEEC1">
        <w:rPr>
          <w:rFonts w:eastAsia="Times New Roman"/>
          <w:sz w:val="28"/>
          <w:szCs w:val="28"/>
          <w:lang w:val="en-US" w:eastAsia="ru-RU"/>
        </w:rPr>
        <w:t>113</w:t>
      </w:r>
      <w:r w:rsidRPr="120AEEC1">
        <w:rPr>
          <w:rFonts w:eastAsia="Times New Roman"/>
          <w:sz w:val="28"/>
          <w:szCs w:val="28"/>
          <w:lang w:val="en-US" w:eastAsia="ru-RU"/>
        </w:rPr>
        <w:t>].</w:t>
      </w:r>
    </w:p>
    <w:p w14:paraId="66DBB3F0" w14:textId="77777777" w:rsidR="003C7EEF" w:rsidRDefault="0BE2D7A4" w:rsidP="003C7EEF">
      <w:pPr>
        <w:pStyle w:val="af"/>
        <w:shd w:val="clear" w:color="auto" w:fill="FFFFFF" w:themeFill="background1"/>
        <w:spacing w:after="0" w:line="240" w:lineRule="auto"/>
        <w:ind w:firstLine="709"/>
        <w:jc w:val="both"/>
        <w:rPr>
          <w:rFonts w:eastAsia="Times New Roman"/>
          <w:sz w:val="28"/>
          <w:szCs w:val="28"/>
          <w:lang w:val="en-US" w:eastAsia="ru-RU"/>
        </w:rPr>
      </w:pPr>
      <w:r w:rsidRPr="120AEEC1">
        <w:rPr>
          <w:rFonts w:eastAsia="Times New Roman"/>
          <w:sz w:val="28"/>
          <w:szCs w:val="28"/>
          <w:lang w:val="en-US" w:eastAsia="ru-RU"/>
        </w:rPr>
        <w:t>However, the EU considers itself the exporter of its own definitions of the rule of law, human rights and labor standards, which are inherent in its own founding laws and practices [</w:t>
      </w:r>
      <w:r w:rsidR="210B32D6" w:rsidRPr="120AEEC1">
        <w:rPr>
          <w:rFonts w:eastAsia="Times New Roman"/>
          <w:sz w:val="28"/>
          <w:szCs w:val="28"/>
          <w:lang w:val="en-US" w:eastAsia="ru-RU"/>
        </w:rPr>
        <w:t>114</w:t>
      </w:r>
      <w:r w:rsidRPr="120AEEC1">
        <w:rPr>
          <w:rFonts w:eastAsia="Times New Roman"/>
          <w:sz w:val="28"/>
          <w:szCs w:val="28"/>
          <w:lang w:val="en-US" w:eastAsia="ru-RU"/>
        </w:rPr>
        <w:t>]. While the idea of ​​EU normative power has been successful in and around the Union, the geographic remoteness of Central Asia has meant that the EU has not pursued its normative policies vigorously but instead adopted a pragmatic policy based on economic and geopolitical interests [</w:t>
      </w:r>
      <w:r w:rsidR="5AD8CD60" w:rsidRPr="120AEEC1">
        <w:rPr>
          <w:rFonts w:eastAsia="Times New Roman"/>
          <w:sz w:val="28"/>
          <w:szCs w:val="28"/>
          <w:lang w:val="en-US" w:eastAsia="ru-RU"/>
        </w:rPr>
        <w:t>115</w:t>
      </w:r>
      <w:r w:rsidRPr="120AEEC1">
        <w:rPr>
          <w:rFonts w:eastAsia="Times New Roman"/>
          <w:sz w:val="28"/>
          <w:szCs w:val="28"/>
          <w:lang w:val="en-US" w:eastAsia="ru-RU"/>
        </w:rPr>
        <w:t>]. As a result, EU policy towards the region is not sufficiently focused and remains largely reactive [</w:t>
      </w:r>
      <w:r w:rsidR="5BFA657E" w:rsidRPr="120AEEC1">
        <w:rPr>
          <w:rFonts w:eastAsia="Times New Roman"/>
          <w:sz w:val="28"/>
          <w:szCs w:val="28"/>
          <w:lang w:val="en-US" w:eastAsia="ru-RU"/>
        </w:rPr>
        <w:t>1</w:t>
      </w:r>
      <w:r w:rsidRPr="120AEEC1">
        <w:rPr>
          <w:rFonts w:eastAsia="Times New Roman"/>
          <w:sz w:val="28"/>
          <w:szCs w:val="28"/>
          <w:lang w:val="en-US" w:eastAsia="ru-RU"/>
        </w:rPr>
        <w:t>1</w:t>
      </w:r>
      <w:r w:rsidR="5BFA657E" w:rsidRPr="120AEEC1">
        <w:rPr>
          <w:rFonts w:eastAsia="Times New Roman"/>
          <w:sz w:val="28"/>
          <w:szCs w:val="28"/>
          <w:lang w:val="en-US" w:eastAsia="ru-RU"/>
        </w:rPr>
        <w:t>6</w:t>
      </w:r>
      <w:r w:rsidRPr="120AEEC1">
        <w:rPr>
          <w:rFonts w:eastAsia="Times New Roman"/>
          <w:sz w:val="28"/>
          <w:szCs w:val="28"/>
          <w:lang w:val="en-US" w:eastAsia="ru-RU"/>
        </w:rPr>
        <w:t>]. Indeed, “the ambiguity underlying such strategic positions has led some to suggest that the EU’s preoccupation with its normative power is simply a distraction from the confrontation with” the resulting European provincialization in international politics [</w:t>
      </w:r>
      <w:r w:rsidR="22BF4CC7" w:rsidRPr="120AEEC1">
        <w:rPr>
          <w:rFonts w:eastAsia="Times New Roman"/>
          <w:sz w:val="28"/>
          <w:szCs w:val="28"/>
          <w:lang w:val="en-US" w:eastAsia="ru-RU"/>
        </w:rPr>
        <w:t>117</w:t>
      </w:r>
      <w:r w:rsidRPr="120AEEC1">
        <w:rPr>
          <w:rFonts w:eastAsia="Times New Roman"/>
          <w:sz w:val="28"/>
          <w:szCs w:val="28"/>
          <w:lang w:val="en-US" w:eastAsia="ru-RU"/>
        </w:rPr>
        <w:t>]. The half-hearted engagement of the EU with Central Asia confirms that it is not a player in the region, leaving room for Chinese and Russian geopolitics. Perhaps their Hobbesian approaches are more suited to the authoritarian leaders of the Central Asian states than the EU's rules-based, tie-in terms [</w:t>
      </w:r>
      <w:r w:rsidR="0E13131E" w:rsidRPr="120AEEC1">
        <w:rPr>
          <w:rFonts w:eastAsia="Times New Roman"/>
          <w:sz w:val="28"/>
          <w:szCs w:val="28"/>
          <w:lang w:val="en-US" w:eastAsia="ru-RU"/>
        </w:rPr>
        <w:t>118</w:t>
      </w:r>
      <w:r w:rsidRPr="120AEEC1">
        <w:rPr>
          <w:rFonts w:eastAsia="Times New Roman"/>
          <w:sz w:val="28"/>
          <w:szCs w:val="28"/>
          <w:lang w:val="en-US" w:eastAsia="ru-RU"/>
        </w:rPr>
        <w:t>]. In this sense, the transaction costs of the Central Asian states for interaction with China are relatively lower, as well as the level of regulation and transparency in decision-making. Thus, it can be argued that the EU has neither the will nor the ability to challenge Chinese economic hegemony in Central Asia.</w:t>
      </w:r>
    </w:p>
    <w:p w14:paraId="56B5BB4A" w14:textId="77777777" w:rsidR="003C7EEF" w:rsidRDefault="0BE2D7A4" w:rsidP="120AEEC1">
      <w:pPr>
        <w:pStyle w:val="af"/>
        <w:shd w:val="clear" w:color="auto" w:fill="FFFFFF" w:themeFill="background1"/>
        <w:spacing w:after="0" w:line="240" w:lineRule="auto"/>
        <w:ind w:firstLine="709"/>
        <w:jc w:val="both"/>
        <w:rPr>
          <w:rFonts w:eastAsia="Times New Roman"/>
          <w:sz w:val="28"/>
          <w:szCs w:val="28"/>
          <w:lang w:val="en-US" w:eastAsia="ru-RU"/>
        </w:rPr>
      </w:pPr>
      <w:r w:rsidRPr="120AEEC1">
        <w:rPr>
          <w:rFonts w:eastAsia="Times New Roman"/>
          <w:sz w:val="28"/>
          <w:szCs w:val="28"/>
          <w:lang w:val="en-US" w:eastAsia="ru-RU"/>
        </w:rPr>
        <w:t>The truly conspicuous failure to link EU demands for reform in the Central Asian states with any meaningful Europeanization dynamics indicates that the EU is far from conceptualizing (let alone affirming) the role of its normative power both in the region and […] more generally “outside of Europe” [</w:t>
      </w:r>
      <w:r w:rsidR="608A6634" w:rsidRPr="120AEEC1">
        <w:rPr>
          <w:rFonts w:eastAsia="Times New Roman"/>
          <w:sz w:val="28"/>
          <w:szCs w:val="28"/>
          <w:lang w:val="en-US" w:eastAsia="ru-RU"/>
        </w:rPr>
        <w:t>116</w:t>
      </w:r>
      <w:r w:rsidRPr="120AEEC1">
        <w:rPr>
          <w:rFonts w:eastAsia="Times New Roman"/>
          <w:sz w:val="28"/>
          <w:szCs w:val="28"/>
          <w:lang w:val="en-US" w:eastAsia="ru-RU"/>
        </w:rPr>
        <w:t>]. This is partly due to the different interests of EU member states in Central Asia and how different EU member states interact with Chinese policy in the region. 17 Central Eastern and South Eastern European states have been participating in a multilateral framework of cooperation with China since 2012, “which has shown significant potential for building a strong pro-China lobby in the EU” [</w:t>
      </w:r>
      <w:r w:rsidR="0B8D2312" w:rsidRPr="120AEEC1">
        <w:rPr>
          <w:rFonts w:eastAsia="Times New Roman"/>
          <w:sz w:val="28"/>
          <w:szCs w:val="28"/>
          <w:lang w:val="en-US" w:eastAsia="ru-RU"/>
        </w:rPr>
        <w:t>118</w:t>
      </w:r>
      <w:r w:rsidRPr="120AEEC1">
        <w:rPr>
          <w:rFonts w:eastAsia="Times New Roman"/>
          <w:sz w:val="28"/>
          <w:szCs w:val="28"/>
          <w:lang w:val="en-US" w:eastAsia="ru-RU"/>
        </w:rPr>
        <w:t>]. Moreover, Pacheco Pardo points out that the reliance of some EU member states on Beijing's 17+1 cooperation framework undermines the prospects for EU external governance in Central Asia [</w:t>
      </w:r>
      <w:r w:rsidR="08D9E76A" w:rsidRPr="120AEEC1">
        <w:rPr>
          <w:rFonts w:eastAsia="Times New Roman"/>
          <w:sz w:val="28"/>
          <w:szCs w:val="28"/>
          <w:lang w:val="en-US" w:eastAsia="ru-RU"/>
        </w:rPr>
        <w:t>119</w:t>
      </w:r>
      <w:r w:rsidRPr="120AEEC1">
        <w:rPr>
          <w:rFonts w:eastAsia="Times New Roman"/>
          <w:sz w:val="28"/>
          <w:szCs w:val="28"/>
          <w:lang w:val="en-US" w:eastAsia="ru-RU"/>
        </w:rPr>
        <w:t>]. Nevertheless, it is important to note that this structure was not very productive and was weakened by the withdrawal of Lithuania in 2021 [</w:t>
      </w:r>
      <w:r w:rsidR="32D55CFC" w:rsidRPr="120AEEC1">
        <w:rPr>
          <w:rFonts w:eastAsia="Times New Roman"/>
          <w:sz w:val="28"/>
          <w:szCs w:val="28"/>
          <w:lang w:val="en-US" w:eastAsia="ru-RU"/>
        </w:rPr>
        <w:t>120</w:t>
      </w:r>
      <w:r w:rsidRPr="120AEEC1">
        <w:rPr>
          <w:rFonts w:eastAsia="Times New Roman"/>
          <w:sz w:val="28"/>
          <w:szCs w:val="28"/>
          <w:lang w:val="en-US" w:eastAsia="ru-RU"/>
        </w:rPr>
        <w:t>].</w:t>
      </w:r>
    </w:p>
    <w:p w14:paraId="5830A908" w14:textId="77777777" w:rsidR="00DD07CF" w:rsidRDefault="0BE2D7A4" w:rsidP="003C7EEF">
      <w:pPr>
        <w:pStyle w:val="af"/>
        <w:shd w:val="clear" w:color="auto" w:fill="FFFFFF" w:themeFill="background1"/>
        <w:spacing w:after="0" w:line="240" w:lineRule="auto"/>
        <w:ind w:firstLine="709"/>
        <w:jc w:val="both"/>
        <w:rPr>
          <w:rFonts w:eastAsia="Times New Roman"/>
          <w:sz w:val="28"/>
          <w:szCs w:val="28"/>
          <w:lang w:val="en-US" w:eastAsia="ru-RU"/>
        </w:rPr>
      </w:pPr>
      <w:r w:rsidRPr="50F76268">
        <w:rPr>
          <w:rFonts w:eastAsia="Times New Roman"/>
          <w:sz w:val="28"/>
          <w:szCs w:val="28"/>
          <w:lang w:val="en-US" w:eastAsia="ru-RU"/>
        </w:rPr>
        <w:t xml:space="preserve">EU policy in Central Asia </w:t>
      </w:r>
      <w:r w:rsidR="2876732A" w:rsidRPr="50F76268">
        <w:rPr>
          <w:rFonts w:eastAsia="Times New Roman"/>
          <w:sz w:val="28"/>
          <w:szCs w:val="28"/>
          <w:lang w:val="en-US" w:eastAsia="ru-RU"/>
        </w:rPr>
        <w:t>was</w:t>
      </w:r>
      <w:r w:rsidRPr="50F76268">
        <w:rPr>
          <w:rFonts w:eastAsia="Times New Roman"/>
          <w:sz w:val="28"/>
          <w:szCs w:val="28"/>
          <w:lang w:val="en-US" w:eastAsia="ru-RU"/>
        </w:rPr>
        <w:t xml:space="preserve"> increasingly based on new realistic pragmatism/interests emerging from the EU Global Strategy 2016 and the EU Strategy for Central Asia 2019. Moreover, the EU seeks to balance its interests and the security interests of other great powers in Central Asia with its internal values ​​by projecting these values ​​outward [</w:t>
      </w:r>
      <w:r w:rsidR="14E4861E" w:rsidRPr="50F76268">
        <w:rPr>
          <w:rFonts w:eastAsia="Times New Roman"/>
          <w:sz w:val="28"/>
          <w:szCs w:val="28"/>
          <w:lang w:val="en-US" w:eastAsia="ru-RU"/>
        </w:rPr>
        <w:t>121</w:t>
      </w:r>
      <w:r w:rsidRPr="50F76268">
        <w:rPr>
          <w:rFonts w:eastAsia="Times New Roman"/>
          <w:sz w:val="28"/>
          <w:szCs w:val="28"/>
          <w:lang w:val="en-US" w:eastAsia="ru-RU"/>
        </w:rPr>
        <w:t>]. The EU has relative influence in the governance of security in the region, but is not fully involved in determining the geopolitical conditions of the Central Asian Regional Security Complex, which is largely defined by Russia, China, and the Central Asian states [</w:t>
      </w:r>
      <w:r w:rsidR="2222A466" w:rsidRPr="50F76268">
        <w:rPr>
          <w:rFonts w:eastAsia="Times New Roman"/>
          <w:sz w:val="28"/>
          <w:szCs w:val="28"/>
          <w:lang w:val="en-US" w:eastAsia="ru-RU"/>
        </w:rPr>
        <w:t>92]</w:t>
      </w:r>
      <w:r w:rsidRPr="50F76268">
        <w:rPr>
          <w:rFonts w:eastAsia="Times New Roman"/>
          <w:sz w:val="28"/>
          <w:szCs w:val="28"/>
          <w:lang w:val="en-US" w:eastAsia="ru-RU"/>
        </w:rPr>
        <w:t>. There are limits to EU external governance as a means of influencing developments in Central Asia, and the Union plays only a marginal role in the region [</w:t>
      </w:r>
      <w:r w:rsidR="2CB93BA6" w:rsidRPr="50F76268">
        <w:rPr>
          <w:rFonts w:eastAsia="Times New Roman"/>
          <w:sz w:val="28"/>
          <w:szCs w:val="28"/>
          <w:lang w:val="en-US" w:eastAsia="ru-RU"/>
        </w:rPr>
        <w:t>122</w:t>
      </w:r>
      <w:r w:rsidRPr="50F76268">
        <w:rPr>
          <w:rFonts w:eastAsia="Times New Roman"/>
          <w:sz w:val="28"/>
          <w:szCs w:val="28"/>
          <w:lang w:val="en-US" w:eastAsia="ru-RU"/>
        </w:rPr>
        <w:t>]. More generally, the EU is trying to gain economic advantage in Central Asia by expanding economic and political ties in the region. But EU efforts lag behind China's Belt and Road Initiative and the Russia-led Eurasian Economic Union, which are the new Great Games in Central Asia [</w:t>
      </w:r>
      <w:r w:rsidR="56C35245" w:rsidRPr="50F76268">
        <w:rPr>
          <w:rFonts w:eastAsia="Times New Roman"/>
          <w:sz w:val="28"/>
          <w:szCs w:val="28"/>
          <w:lang w:val="en-US" w:eastAsia="ru-RU"/>
        </w:rPr>
        <w:t>123</w:t>
      </w:r>
      <w:r w:rsidR="77FEE088" w:rsidRPr="50F76268">
        <w:rPr>
          <w:rFonts w:eastAsia="Times New Roman"/>
          <w:sz w:val="28"/>
          <w:szCs w:val="28"/>
          <w:lang w:val="en-US" w:eastAsia="ru-RU"/>
        </w:rPr>
        <w:t xml:space="preserve"> </w:t>
      </w:r>
      <w:r w:rsidRPr="50F76268">
        <w:rPr>
          <w:rFonts w:eastAsia="Times New Roman"/>
          <w:sz w:val="28"/>
          <w:szCs w:val="28"/>
          <w:lang w:val="en-US" w:eastAsia="ru-RU"/>
        </w:rPr>
        <w:t xml:space="preserve">]. </w:t>
      </w:r>
    </w:p>
    <w:p w14:paraId="46BE00E4" w14:textId="77777777" w:rsidR="00DD07CF" w:rsidRDefault="6CDEF667" w:rsidP="50F76268">
      <w:pPr>
        <w:pStyle w:val="af"/>
        <w:shd w:val="clear" w:color="auto" w:fill="FFFFFF" w:themeFill="background1"/>
        <w:spacing w:after="0" w:line="240" w:lineRule="auto"/>
        <w:ind w:firstLine="709"/>
        <w:jc w:val="both"/>
        <w:rPr>
          <w:rFonts w:eastAsia="Times New Roman"/>
          <w:sz w:val="28"/>
          <w:szCs w:val="28"/>
          <w:lang w:val="en-US" w:eastAsia="ru-RU"/>
        </w:rPr>
      </w:pPr>
      <w:r w:rsidRPr="50F76268">
        <w:rPr>
          <w:rFonts w:eastAsia="Times New Roman"/>
          <w:sz w:val="28"/>
          <w:szCs w:val="28"/>
          <w:lang w:val="en-US" w:eastAsia="ru-RU"/>
        </w:rPr>
        <w:t>In June 2019, the EU adopted a new EU Strategy for Central Asia, updating the original 2007 EU Strategy. It sets out its strategic interests in the region and proposes to build a stronger and more non-exclusive partnership with the Central Asian states to ensure that the region develops as a more resilient, prosperous and cooperative economic and political space. The EU strategy also provides guidance on the preparation of EU assistance programmes for the period 2021-2027.</w:t>
      </w:r>
    </w:p>
    <w:p w14:paraId="33B57F40" w14:textId="77777777" w:rsidR="00DD07CF" w:rsidRPr="00664C74" w:rsidRDefault="6CDEF667" w:rsidP="50F76268">
      <w:pPr>
        <w:pStyle w:val="af"/>
        <w:shd w:val="clear" w:color="auto" w:fill="FFFFFF" w:themeFill="background1"/>
        <w:spacing w:after="0" w:line="240" w:lineRule="auto"/>
        <w:ind w:firstLine="709"/>
        <w:jc w:val="both"/>
        <w:rPr>
          <w:lang w:val="en-US"/>
        </w:rPr>
      </w:pPr>
      <w:r w:rsidRPr="50F76268">
        <w:rPr>
          <w:rFonts w:eastAsia="Times New Roman"/>
          <w:sz w:val="28"/>
          <w:szCs w:val="28"/>
          <w:lang w:val="en-US" w:eastAsia="ru-RU"/>
        </w:rPr>
        <w:t xml:space="preserve"> The negotiations on the new Enhanced Partnership and Cooperation Agreements (EPCAs) with the Central Asian states have also served as a powerful tool for creating a more modern and diversified partnership, going beyond the “trade and aid” agenda, and for promoting cooperation and regulatory convergence in areas that are important for the reform processes taking place in the region.</w:t>
      </w:r>
    </w:p>
    <w:p w14:paraId="2BC38B4E" w14:textId="77777777" w:rsidR="00DD07CF" w:rsidRDefault="625ADB9F" w:rsidP="50F76268">
      <w:pPr>
        <w:pStyle w:val="af"/>
        <w:shd w:val="clear" w:color="auto" w:fill="FFFFFF" w:themeFill="background1"/>
        <w:spacing w:after="0" w:line="240" w:lineRule="auto"/>
        <w:ind w:firstLine="709"/>
        <w:jc w:val="both"/>
        <w:rPr>
          <w:rFonts w:eastAsia="Times New Roman"/>
          <w:sz w:val="28"/>
          <w:szCs w:val="28"/>
          <w:lang w:val="en-US" w:eastAsia="ru-RU"/>
        </w:rPr>
      </w:pPr>
      <w:r w:rsidRPr="50F76268">
        <w:rPr>
          <w:rFonts w:eastAsia="Times New Roman"/>
          <w:sz w:val="28"/>
          <w:szCs w:val="28"/>
          <w:lang w:val="en-US" w:eastAsia="ru-RU"/>
        </w:rPr>
        <w:t>However, i</w:t>
      </w:r>
      <w:r w:rsidR="0A95E38F" w:rsidRPr="50F76268">
        <w:rPr>
          <w:rFonts w:eastAsia="Times New Roman"/>
          <w:sz w:val="28"/>
          <w:szCs w:val="28"/>
          <w:lang w:val="en-US" w:eastAsia="ru-RU"/>
        </w:rPr>
        <w:t xml:space="preserve">n January 2024, members of the European Parliament have adopted a resolution on reviewing the EU strategy towards Central Asia. German MEP Karsten Lucke called this a very important signal for them. </w:t>
      </w:r>
      <w:r w:rsidR="0E978181" w:rsidRPr="50F76268">
        <w:rPr>
          <w:rFonts w:eastAsia="Times New Roman"/>
          <w:sz w:val="28"/>
          <w:szCs w:val="28"/>
          <w:lang w:val="en-US" w:eastAsia="ru-RU"/>
        </w:rPr>
        <w:t xml:space="preserve">According to him, </w:t>
      </w:r>
      <w:r w:rsidR="5902B01C" w:rsidRPr="50F76268">
        <w:rPr>
          <w:rFonts w:eastAsia="Times New Roman"/>
          <w:sz w:val="28"/>
          <w:szCs w:val="28"/>
          <w:lang w:val="en-US" w:eastAsia="ru-RU"/>
        </w:rPr>
        <w:t>“</w:t>
      </w:r>
      <w:r w:rsidR="11AA0067" w:rsidRPr="50F76268">
        <w:rPr>
          <w:rFonts w:eastAsia="Times New Roman"/>
          <w:sz w:val="28"/>
          <w:szCs w:val="28"/>
          <w:lang w:val="en-US" w:eastAsia="ru-RU"/>
        </w:rPr>
        <w:t>f</w:t>
      </w:r>
      <w:r w:rsidR="0A95E38F" w:rsidRPr="50F76268">
        <w:rPr>
          <w:rFonts w:eastAsia="Times New Roman"/>
          <w:sz w:val="28"/>
          <w:szCs w:val="28"/>
          <w:lang w:val="en-US" w:eastAsia="ru-RU"/>
        </w:rPr>
        <w:t>inding new paths to new partnerships is more than important in new geopolitical environment.</w:t>
      </w:r>
      <w:r w:rsidR="5C2D805F" w:rsidRPr="50F76268">
        <w:rPr>
          <w:rFonts w:eastAsia="Times New Roman"/>
          <w:sz w:val="28"/>
          <w:szCs w:val="28"/>
          <w:lang w:val="en-US" w:eastAsia="ru-RU"/>
        </w:rPr>
        <w:t>”</w:t>
      </w:r>
      <w:r w:rsidR="0A95E38F" w:rsidRPr="50F76268">
        <w:rPr>
          <w:rFonts w:eastAsia="Times New Roman"/>
          <w:sz w:val="28"/>
          <w:szCs w:val="28"/>
          <w:lang w:val="en-US" w:eastAsia="ru-RU"/>
        </w:rPr>
        <w:t xml:space="preserve"> Russia's isolation as a result of the war against Ukraine, the EU's future enlargement in Eastern Europe and China's growing influence in Central Asia require a complete rethinking of the EU's strategy and its active presence in the region as an alternative to the established autocratic players there, Lucke believes. </w:t>
      </w:r>
    </w:p>
    <w:p w14:paraId="3B45F2CD" w14:textId="77777777" w:rsidR="42762AFF" w:rsidRDefault="42762AFF" w:rsidP="50F76268">
      <w:pPr>
        <w:pStyle w:val="af"/>
        <w:shd w:val="clear" w:color="auto" w:fill="FFFFFF" w:themeFill="background1"/>
        <w:spacing w:after="0" w:line="240" w:lineRule="auto"/>
        <w:ind w:firstLine="709"/>
        <w:jc w:val="both"/>
        <w:rPr>
          <w:rFonts w:eastAsia="Times New Roman"/>
          <w:sz w:val="28"/>
          <w:szCs w:val="28"/>
          <w:lang w:val="en-US" w:eastAsia="ru-RU"/>
        </w:rPr>
      </w:pPr>
      <w:r w:rsidRPr="50F76268">
        <w:rPr>
          <w:rFonts w:eastAsia="Times New Roman"/>
          <w:sz w:val="28"/>
          <w:szCs w:val="28"/>
          <w:lang w:val="en-US" w:eastAsia="ru-RU"/>
        </w:rPr>
        <w:t>Despite the EU's geopolitical interests in Central Asia, the current strategy for Central Asia which was adopted in 2019, hopelessly outdated. Today, the region is affected by new factors, such as Russia's war against Ukraine, the Taliban's takeover of Afghanistan, and China's tough foreign policy, as well as internal tensions within the countries themselves. The region's young and dynamic populations must be given the opportunity to actively participate in shaping the future of their countries. Therefore, parliamentarians ask the EU to strengthen its support for civil society in the region, as well as to intensify consultations on the development of reform roadmaps in order to pave the way for visa facilitation agreements with Central Asian countries</w:t>
      </w:r>
      <w:r w:rsidR="673139BB" w:rsidRPr="50F76268">
        <w:rPr>
          <w:rFonts w:eastAsia="Times New Roman"/>
          <w:sz w:val="28"/>
          <w:szCs w:val="28"/>
          <w:lang w:val="en-US" w:eastAsia="ru-RU"/>
        </w:rPr>
        <w:t xml:space="preserve"> [96]. </w:t>
      </w:r>
    </w:p>
    <w:p w14:paraId="650795E1" w14:textId="50436731" w:rsidR="7188670F" w:rsidRDefault="7188670F" w:rsidP="50F76268">
      <w:pPr>
        <w:pStyle w:val="af"/>
        <w:shd w:val="clear" w:color="auto" w:fill="FFFFFF" w:themeFill="background1"/>
        <w:spacing w:after="0" w:line="240" w:lineRule="auto"/>
        <w:ind w:firstLine="709"/>
        <w:jc w:val="both"/>
        <w:rPr>
          <w:rFonts w:eastAsia="Times New Roman"/>
          <w:sz w:val="28"/>
          <w:szCs w:val="28"/>
          <w:lang w:val="en-US" w:eastAsia="ru-RU"/>
        </w:rPr>
      </w:pPr>
      <w:r w:rsidRPr="02F3055D">
        <w:rPr>
          <w:rFonts w:eastAsia="Times New Roman"/>
          <w:sz w:val="28"/>
          <w:szCs w:val="28"/>
          <w:lang w:val="en-US" w:eastAsia="ru-RU"/>
        </w:rPr>
        <w:t>T</w:t>
      </w:r>
      <w:r w:rsidR="63D05232" w:rsidRPr="02F3055D">
        <w:rPr>
          <w:rFonts w:eastAsia="Times New Roman"/>
          <w:sz w:val="28"/>
          <w:szCs w:val="28"/>
          <w:lang w:val="en-US" w:eastAsia="ru-RU"/>
        </w:rPr>
        <w:t xml:space="preserve">hree </w:t>
      </w:r>
      <w:r w:rsidRPr="02F3055D">
        <w:rPr>
          <w:rFonts w:eastAsia="Times New Roman"/>
          <w:sz w:val="28"/>
          <w:szCs w:val="28"/>
          <w:lang w:val="en-US" w:eastAsia="ru-RU"/>
        </w:rPr>
        <w:t xml:space="preserve">years of Russia's war against Ukraine have </w:t>
      </w:r>
      <w:r w:rsidR="36EA2FF7" w:rsidRPr="02F3055D">
        <w:rPr>
          <w:rFonts w:eastAsia="Times New Roman"/>
          <w:sz w:val="28"/>
          <w:szCs w:val="28"/>
          <w:lang w:val="en-US" w:eastAsia="ru-RU"/>
        </w:rPr>
        <w:t xml:space="preserve">not only shaken </w:t>
      </w:r>
      <w:r w:rsidR="0DF492C3" w:rsidRPr="02F3055D">
        <w:rPr>
          <w:rFonts w:eastAsia="Times New Roman"/>
          <w:sz w:val="28"/>
          <w:szCs w:val="28"/>
          <w:lang w:val="en-US" w:eastAsia="ru-RU"/>
        </w:rPr>
        <w:t xml:space="preserve">Russia’s position in Central Asia, but also </w:t>
      </w:r>
      <w:r w:rsidRPr="02F3055D">
        <w:rPr>
          <w:rFonts w:eastAsia="Times New Roman"/>
          <w:sz w:val="28"/>
          <w:szCs w:val="28"/>
          <w:lang w:val="en-US" w:eastAsia="ru-RU"/>
        </w:rPr>
        <w:t>brought the European Union and Central Asia closer together than ever before. This is set to culminate in the first formal summit of the EU and the five Central Asian countries, scheduled for April 2025. The venue for the historic event is Uzbekistan, famous for its UNESCO World Heritage sites.</w:t>
      </w:r>
    </w:p>
    <w:p w14:paraId="18E63735" w14:textId="77777777" w:rsidR="7188670F" w:rsidRPr="00664C74" w:rsidRDefault="7188670F" w:rsidP="50F76268">
      <w:pPr>
        <w:pStyle w:val="af"/>
        <w:shd w:val="clear" w:color="auto" w:fill="FFFFFF" w:themeFill="background1"/>
        <w:spacing w:after="0" w:line="240" w:lineRule="auto"/>
        <w:ind w:firstLine="709"/>
        <w:jc w:val="both"/>
        <w:rPr>
          <w:rFonts w:eastAsia="Times New Roman"/>
          <w:color w:val="000000" w:themeColor="text1"/>
          <w:sz w:val="28"/>
          <w:szCs w:val="28"/>
          <w:lang w:val="en-US"/>
        </w:rPr>
      </w:pPr>
      <w:r w:rsidRPr="50F76268">
        <w:rPr>
          <w:rFonts w:eastAsia="Times New Roman"/>
          <w:sz w:val="28"/>
          <w:szCs w:val="28"/>
          <w:lang w:val="en-US" w:eastAsia="ru-RU"/>
        </w:rPr>
        <w:t>The plans were officially announced in Brussels at the closing of the EU Investment Forum for Central Asia, another sign of the unprecedented rapprochement between the two regions. The forum's senior participants agreed on nothing less than the creation of a modern analogue of the Great Silk Road, bypassing Russia - the Trans-Caspian Transport Corridor. Moreover, they set themselves the goal of making the route from the east coast of China to, for example, Poland, traversable for freight and passengers in less than 15 days</w:t>
      </w:r>
      <w:r w:rsidR="19908275" w:rsidRPr="50F76268">
        <w:rPr>
          <w:rFonts w:eastAsia="Times New Roman"/>
          <w:sz w:val="28"/>
          <w:szCs w:val="28"/>
          <w:lang w:val="en-US" w:eastAsia="ru-RU"/>
        </w:rPr>
        <w:t xml:space="preserve"> [104]. </w:t>
      </w:r>
    </w:p>
    <w:p w14:paraId="5220BBB2" w14:textId="77777777" w:rsidR="50F76268" w:rsidRDefault="50F76268" w:rsidP="50F76268">
      <w:pPr>
        <w:pStyle w:val="af"/>
        <w:shd w:val="clear" w:color="auto" w:fill="FFFFFF" w:themeFill="background1"/>
        <w:spacing w:after="0" w:line="240" w:lineRule="auto"/>
        <w:ind w:firstLine="709"/>
        <w:jc w:val="both"/>
        <w:rPr>
          <w:rFonts w:eastAsia="Times New Roman"/>
          <w:sz w:val="28"/>
          <w:szCs w:val="28"/>
          <w:lang w:val="en-US" w:eastAsia="ru-RU"/>
        </w:rPr>
      </w:pPr>
    </w:p>
    <w:p w14:paraId="19379802" w14:textId="77777777" w:rsidR="0BE2D7A4" w:rsidRDefault="222FEA69" w:rsidP="65E36028">
      <w:pPr>
        <w:spacing w:after="0" w:line="240" w:lineRule="auto"/>
        <w:ind w:firstLine="708"/>
        <w:jc w:val="both"/>
        <w:rPr>
          <w:rFonts w:ascii="Times New Roman" w:eastAsia="Times New Roman" w:hAnsi="Times New Roman" w:cs="Times New Roman"/>
          <w:b/>
          <w:bCs/>
          <w:sz w:val="28"/>
          <w:szCs w:val="28"/>
          <w:lang w:val="en-US"/>
        </w:rPr>
      </w:pPr>
      <w:r w:rsidRPr="65E36028">
        <w:rPr>
          <w:rFonts w:ascii="Times New Roman" w:eastAsia="Times New Roman" w:hAnsi="Times New Roman" w:cs="Times New Roman"/>
          <w:b/>
          <w:bCs/>
          <w:sz w:val="28"/>
          <w:szCs w:val="28"/>
          <w:lang w:val="en-US"/>
        </w:rPr>
        <w:t>1</w:t>
      </w:r>
      <w:r w:rsidR="0DFDBA39" w:rsidRPr="65E36028">
        <w:rPr>
          <w:rFonts w:ascii="Times New Roman" w:eastAsia="Times New Roman" w:hAnsi="Times New Roman" w:cs="Times New Roman"/>
          <w:b/>
          <w:bCs/>
          <w:sz w:val="28"/>
          <w:szCs w:val="28"/>
          <w:lang w:val="en-US"/>
        </w:rPr>
        <w:t xml:space="preserve">.3. Comparative analysis of the EU Strategies in Central Asia of 2007 and 2019: evaluation of effectiveness of Strategies </w:t>
      </w:r>
    </w:p>
    <w:p w14:paraId="13CB595B" w14:textId="77777777" w:rsidR="65E36028" w:rsidRDefault="65E36028" w:rsidP="65E36028">
      <w:pPr>
        <w:spacing w:after="0" w:line="240" w:lineRule="auto"/>
        <w:ind w:firstLine="708"/>
        <w:jc w:val="both"/>
        <w:rPr>
          <w:rFonts w:ascii="Times New Roman" w:eastAsia="Times New Roman" w:hAnsi="Times New Roman" w:cs="Times New Roman"/>
          <w:b/>
          <w:bCs/>
          <w:sz w:val="28"/>
          <w:szCs w:val="28"/>
          <w:lang w:val="en-US"/>
        </w:rPr>
      </w:pPr>
    </w:p>
    <w:p w14:paraId="5B12EB32"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2007 strategy envisaged cooperation in a wide range of areas: from regional, environmental and energy cooperation to cooperation in the fields of security, human rights and the rule of law. It was adopted for a period of ten years, but was replaced by another programme only after 12 years. The success of the first phase of regional cooperation was uneven. More successful was the establishment of a formal framework for dialogue and cooperation.</w:t>
      </w:r>
    </w:p>
    <w:p w14:paraId="11BA0B24" w14:textId="77777777" w:rsidR="14262EE3" w:rsidRDefault="0DFDBA39"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These include annual EU-Central Asian ministerial meetings, which have become a platform for regular coordination of cooperation and clarification of its parameters, and the permanent EU-Central Asia Dialogue on Human Rights, a forum for raising and discussing human rights issues in the region. The EU's efforts to assist Central Asian countries in improving their border management systems have also been quite successful.</w:t>
      </w:r>
    </w:p>
    <w:p w14:paraId="05E705BC" w14:textId="77777777" w:rsidR="00DD07CF" w:rsidRDefault="0DFDBA39"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However, in such essential areas as the rule of law and human rights, the expansion of regional cooperation between Central Asian states and EU-Central Asian cooperation in the field of energy, significant progress has not yet been achieved.</w:t>
      </w:r>
    </w:p>
    <w:p w14:paraId="3C928B11"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Given the versatility of the document under consideration and a rather wide range of goals and objectives within each of its areas, it is difficult to measure the main results of its implementation by assessing the level of implementation of the relevant measures. Most likely, it is appropriate to single out the following key moments here, which caused a serious political effect in the process of EU-CA relations and set the dynamics for their further progressive development. </w:t>
      </w:r>
    </w:p>
    <w:p w14:paraId="14A49A49"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First, the relationship with this region in a multilateral format was placed by the EU on a fairly solid systemic basis. As an interstate association, the EU in the framework of its foreign policy gives preference to interregional cooperation. Central Asia in this regard is presented as one of the priority partners, despite the lack of direct geographical proximity. </w:t>
      </w:r>
    </w:p>
    <w:p w14:paraId="053B95B0"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Secondly, the EU not only launched a fairly active political dialogue with Central Asia, but also institutionalized it through regular ministerial meetings and a High-Level Political and Security Dialogue with the participation of representatives of the leadership of the foreign ministries of the participating parties.</w:t>
      </w:r>
    </w:p>
    <w:p w14:paraId="25D9FEBD"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Thirdly, the implementation of the strategy influenced the intensity of a number of programs and initiatives implemented by the European Commission and individual EU member states in Central Asia and aimed at solving various issues of the region's development.</w:t>
      </w:r>
    </w:p>
    <w:p w14:paraId="1B81997A"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65E36028">
        <w:rPr>
          <w:rFonts w:ascii="Times New Roman" w:eastAsia="Times New Roman" w:hAnsi="Times New Roman" w:cs="Times New Roman"/>
          <w:sz w:val="28"/>
          <w:szCs w:val="28"/>
          <w:lang w:val="en-US"/>
        </w:rPr>
        <w:t>Fourthly, the political dialogue and multifaceted interaction between the EU and CA contributed to the gradual rapprochement and expansion of cooperation between the Central Asian countries themselves. In turn, due to this, the level of political subjectivity of Central Asia increased [8</w:t>
      </w:r>
      <w:r w:rsidR="6A03FE0C" w:rsidRPr="65E36028">
        <w:rPr>
          <w:rFonts w:ascii="Times New Roman" w:eastAsia="Times New Roman" w:hAnsi="Times New Roman" w:cs="Times New Roman"/>
          <w:sz w:val="28"/>
          <w:szCs w:val="28"/>
          <w:lang w:val="en-US"/>
        </w:rPr>
        <w:t>0</w:t>
      </w:r>
      <w:r w:rsidRPr="65E36028">
        <w:rPr>
          <w:rFonts w:ascii="Times New Roman" w:eastAsia="Times New Roman" w:hAnsi="Times New Roman" w:cs="Times New Roman"/>
          <w:sz w:val="28"/>
          <w:szCs w:val="28"/>
          <w:lang w:val="en-US"/>
        </w:rPr>
        <w:t xml:space="preserve">]. </w:t>
      </w:r>
    </w:p>
    <w:p w14:paraId="1DFE91AE"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65E36028">
        <w:rPr>
          <w:rFonts w:ascii="Times New Roman" w:eastAsia="Times New Roman" w:hAnsi="Times New Roman" w:cs="Times New Roman"/>
          <w:sz w:val="28"/>
          <w:szCs w:val="28"/>
          <w:lang w:val="en-US"/>
        </w:rPr>
        <w:t>"Considering Central Asia as a region of strategic importance, the EU has committed itself to establishing strong, durable and stable relations with the five countries of Central Asia," the conclusions of the Council on the previous Strategy of June 22, 2015 said. With this definition of the "strategic" direction of the EU in Central Asia, the European Council took stock of eight years and then launched new plans to continue the strategic course [</w:t>
      </w:r>
      <w:r w:rsidR="75EA0E2D" w:rsidRPr="65E36028">
        <w:rPr>
          <w:rFonts w:ascii="Times New Roman" w:eastAsia="Times New Roman" w:hAnsi="Times New Roman" w:cs="Times New Roman"/>
          <w:sz w:val="28"/>
          <w:szCs w:val="28"/>
          <w:lang w:val="en-US"/>
        </w:rPr>
        <w:t>35</w:t>
      </w:r>
      <w:r w:rsidRPr="65E36028">
        <w:rPr>
          <w:rFonts w:ascii="Times New Roman" w:eastAsia="Times New Roman" w:hAnsi="Times New Roman" w:cs="Times New Roman"/>
          <w:sz w:val="28"/>
          <w:szCs w:val="28"/>
          <w:lang w:val="en-US"/>
        </w:rPr>
        <w:t xml:space="preserve">]. </w:t>
      </w:r>
    </w:p>
    <w:p w14:paraId="4877259A"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results of the first EU strategy in Central Asia should be interpreted as ambiguous. Such a key goal as democratization and improvement of the quality of public administration remained unrealized; projects to combat corruption and drug trafficking ended in failure. In general, over the past ten years, the image of the European Union that has been formed in Central Asia is far from absolutely positive.</w:t>
      </w:r>
    </w:p>
    <w:p w14:paraId="2756D78A" w14:textId="77777777" w:rsidR="0087145E" w:rsidRDefault="0DFDBA39" w:rsidP="0087145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main shortcoming of the EU strategy lies in the too high degree of abstraction with the obvious lack of effective tools and the low interest of the Central Asian states in active interaction. Analyzing the policy of the countries of Central Asia in the European direction, we can conclude that some of the joint educational or legal programs have been launched only in order to receive material assistance. As a result, despite the attractiveness of the European strategy for the countries of Central Asia, it was not possible to fully implement it.</w:t>
      </w:r>
    </w:p>
    <w:p w14:paraId="02981944" w14:textId="77777777" w:rsidR="00DD07CF" w:rsidRDefault="0DFDBA39" w:rsidP="0087145E">
      <w:pPr>
        <w:spacing w:after="0" w:line="240" w:lineRule="auto"/>
        <w:ind w:firstLine="708"/>
        <w:jc w:val="both"/>
        <w:rPr>
          <w:rFonts w:ascii="Times New Roman" w:eastAsia="Times New Roman" w:hAnsi="Times New Roman" w:cs="Times New Roman"/>
          <w:sz w:val="28"/>
          <w:szCs w:val="28"/>
          <w:lang w:val="en-US"/>
        </w:rPr>
      </w:pPr>
      <w:r w:rsidRPr="65E36028">
        <w:rPr>
          <w:rFonts w:ascii="Times New Roman" w:eastAsia="Times New Roman" w:hAnsi="Times New Roman" w:cs="Times New Roman"/>
          <w:sz w:val="28"/>
          <w:szCs w:val="28"/>
          <w:lang w:val="en-US"/>
        </w:rPr>
        <w:t>The failures of the EU in the implementation of cooperation programs in Central Asia could not affect the level of interest in the region. The most promising area of European interest in Central Asia is energy. In 2014, due to the global trend associated with the fall in world prices for hydrocarbons, competition between the main European suppliers - Russia, Norway and Algeria - increased many times over. In addition, under these circumstances, a new promising player appeared in Europe - the United States [1</w:t>
      </w:r>
      <w:r w:rsidR="2FC82F7E" w:rsidRPr="65E36028">
        <w:rPr>
          <w:rFonts w:ascii="Times New Roman" w:eastAsia="Times New Roman" w:hAnsi="Times New Roman" w:cs="Times New Roman"/>
          <w:sz w:val="28"/>
          <w:szCs w:val="28"/>
          <w:lang w:val="en-US"/>
        </w:rPr>
        <w:t>24</w:t>
      </w:r>
      <w:r w:rsidRPr="65E36028">
        <w:rPr>
          <w:rFonts w:ascii="Times New Roman" w:eastAsia="Times New Roman" w:hAnsi="Times New Roman" w:cs="Times New Roman"/>
          <w:sz w:val="28"/>
          <w:szCs w:val="28"/>
          <w:lang w:val="en-US"/>
        </w:rPr>
        <w:t>].</w:t>
      </w:r>
    </w:p>
    <w:p w14:paraId="5FDE2753" w14:textId="77777777" w:rsidR="29771C61" w:rsidRDefault="7FECFB98"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Although the implementation of the Strategy cannot be called successful, it would be wrong to say that it has failed either. It is characterized by political and interdepartmental consultations and funding of EU projects. Brussels is the main donor for development assistance, having allocated about €2 billion to the region from 2007 to 2020. The flagships of EU activity in the region are BOMCA and CADAP, which have received more than €70 million in funding since their launch. Another key area is cooperation in the field of education. The EU allocated €115 million to ERASMUS+ programs from 2014 to 2020.</w:t>
      </w:r>
    </w:p>
    <w:p w14:paraId="389ED983"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65E36028">
        <w:rPr>
          <w:rFonts w:ascii="Times New Roman" w:eastAsia="Times New Roman" w:hAnsi="Times New Roman" w:cs="Times New Roman"/>
          <w:sz w:val="28"/>
          <w:szCs w:val="28"/>
          <w:lang w:val="en-US"/>
        </w:rPr>
        <w:t>Later, the Council of the European Union in its conclusions confirmed the need for further cooperation between the EU and Central Asia. It was said that this cooperation "should be focused on promoting the sovereignty and viability of the  the Joint Communication of 15 May 2019 to the European Parliament and the Council of the EU entitled "EU and Central Asia: New Opportunities for Deepening Cooperation", submitted by the EU High Representative Federica Mogherini for approval, the New EU Strategy for Central Asia is presented. It is a guiding document for the implementation of key areas of cooperation with the region</w:t>
      </w:r>
      <w:r w:rsidR="329161C4" w:rsidRPr="65E36028">
        <w:rPr>
          <w:rFonts w:ascii="Times New Roman" w:eastAsia="Times New Roman" w:hAnsi="Times New Roman" w:cs="Times New Roman"/>
          <w:sz w:val="28"/>
          <w:szCs w:val="28"/>
          <w:lang w:val="en-US"/>
        </w:rPr>
        <w:t xml:space="preserve"> [125]. </w:t>
      </w:r>
    </w:p>
    <w:p w14:paraId="017BDD40"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partial success of the 2007 Strategy in some areas was obviously due to factors beyond Brussels' control. They lay in the area of policy and relations between the Central Asian states, and were also connected with the influence of extra-regional players such as Russia and, later, China. The United States, whose actions traditionally complement EU policy around the world, also played a significant role. However, throughout the period under review, the United States' priority was its efforts in Afghanistan, which began to wane by the mid-2010s.</w:t>
      </w:r>
    </w:p>
    <w:p w14:paraId="5D15B134"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Building on previous work, the new EU Strategy for Central Asia reflects a critical rethinking of what work needs to be strengthened, what needs to be changed and what needs to be inherited from the previous document. The Strategy is an ambitious framework document that brings together 10 major areas of cooperation, divided into three blocks; the “cross-cutting priority” for all areas is to promote regional cooperation in Central Asia. The radical, yet realistic, formulations of the Strategy point to new important developments, the broader context and the comparative advantages of the partnership with the EU, and define a positively balanced framework for cooperation.</w:t>
      </w:r>
    </w:p>
    <w:p w14:paraId="7007C412"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The main similarities and differences between the old and new strategies are shown in the table below. As can be seen from the table, most of the significant areas and themes of EU cooperation with Central Asia have migrated into the new Strategy. The most noticeable differences are obviously in the wording, balance and tone of the two texts. There have undoubtedly been changes in and around the region: some new issues have come to the fore, while others have lost their relevance as such, and the differences between the two strategies reflect these changes. A number of new terms used in the Strategy point to the changed context and dynamics in which the new Strategy has been developed. An important theme is “connectivity”: this is an area in which the EU would like to establish clearer rules in Central Asia. Another difference is the emphasis on an inclusive approach to cooperation. Inclusiveness implies that cooperation is open to all countries in the region, to extra-regional countries for whom it is relevant, and to other, non-state actors. Thus, the EU states express their readiness to join forces with all those interested in their cooperation with the Central Asian states. In addition to this approach, the Strategy emphasizes the concept of “synergy” and specifies what is needed to enhance synergy: “working better together”. The third theme is resilience, which is also mentioned in other new EU strategic documents. This refers to resilience to various old and new risks that the world in general and Central Asia in particular are facing. As noted in the table, despite all these nuances in the wording, the Strategy is a solid analytical document. </w:t>
      </w:r>
    </w:p>
    <w:p w14:paraId="6D9C8D39" w14:textId="77777777" w:rsidR="00DD07CF" w:rsidRDefault="00DD07CF" w:rsidP="3C552ADE">
      <w:pPr>
        <w:spacing w:after="0" w:line="240" w:lineRule="auto"/>
        <w:ind w:firstLine="708"/>
        <w:jc w:val="both"/>
        <w:rPr>
          <w:rFonts w:ascii="Times New Roman" w:eastAsia="Times New Roman" w:hAnsi="Times New Roman" w:cs="Times New Roman"/>
          <w:sz w:val="28"/>
          <w:szCs w:val="28"/>
          <w:lang w:val="en-US"/>
        </w:rPr>
      </w:pPr>
    </w:p>
    <w:p w14:paraId="0112926F" w14:textId="77777777" w:rsidR="00DD07CF" w:rsidRDefault="0DFDBA39" w:rsidP="3C552ADE">
      <w:pPr>
        <w:spacing w:after="0" w:line="240" w:lineRule="auto"/>
        <w:jc w:val="both"/>
        <w:rPr>
          <w:rFonts w:ascii="Times New Roman" w:eastAsia="Times New Roman" w:hAnsi="Times New Roman" w:cs="Times New Roman"/>
          <w:b/>
          <w:bCs/>
          <w:sz w:val="28"/>
          <w:szCs w:val="28"/>
          <w:lang w:val="en-US"/>
        </w:rPr>
      </w:pPr>
      <w:r w:rsidRPr="0BE2D7A4">
        <w:rPr>
          <w:rFonts w:ascii="Times New Roman" w:eastAsia="Times New Roman" w:hAnsi="Times New Roman" w:cs="Times New Roman"/>
          <w:b/>
          <w:bCs/>
          <w:sz w:val="28"/>
          <w:szCs w:val="28"/>
          <w:lang w:val="en-US"/>
        </w:rPr>
        <w:t>Table 1: Comparative Analysis of EU Strategies towards Central Asia</w:t>
      </w:r>
    </w:p>
    <w:tbl>
      <w:tblPr>
        <w:tblStyle w:val="af0"/>
        <w:tblW w:w="0" w:type="auto"/>
        <w:tblLook w:val="06A0" w:firstRow="1" w:lastRow="0" w:firstColumn="1" w:lastColumn="0" w:noHBand="1" w:noVBand="1"/>
      </w:tblPr>
      <w:tblGrid>
        <w:gridCol w:w="3004"/>
        <w:gridCol w:w="3006"/>
        <w:gridCol w:w="3118"/>
      </w:tblGrid>
      <w:tr w:rsidR="3C552ADE" w14:paraId="42C17361" w14:textId="77777777" w:rsidTr="60ECF5C7">
        <w:trPr>
          <w:trHeight w:val="300"/>
        </w:trPr>
        <w:tc>
          <w:tcPr>
            <w:tcW w:w="3004" w:type="dxa"/>
            <w:vMerge w:val="restart"/>
          </w:tcPr>
          <w:p w14:paraId="50A2C8BE" w14:textId="77777777" w:rsidR="3C552ADE" w:rsidRDefault="155010CB" w:rsidP="3C552ADE">
            <w:p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Similarities </w:t>
            </w:r>
          </w:p>
        </w:tc>
        <w:tc>
          <w:tcPr>
            <w:tcW w:w="6124" w:type="dxa"/>
            <w:gridSpan w:val="2"/>
          </w:tcPr>
          <w:p w14:paraId="1A02713A" w14:textId="77777777" w:rsidR="3C552ADE" w:rsidRDefault="155010CB" w:rsidP="3C552ADE">
            <w:pPr>
              <w:spacing w:after="0" w:line="240" w:lineRule="auto"/>
              <w:jc w:val="center"/>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Differences</w:t>
            </w:r>
          </w:p>
        </w:tc>
      </w:tr>
      <w:tr w:rsidR="3C552ADE" w14:paraId="7E6FF3EC" w14:textId="77777777" w:rsidTr="60ECF5C7">
        <w:trPr>
          <w:trHeight w:val="300"/>
        </w:trPr>
        <w:tc>
          <w:tcPr>
            <w:tcW w:w="3004" w:type="dxa"/>
            <w:vMerge/>
          </w:tcPr>
          <w:p w14:paraId="675E05EE" w14:textId="77777777" w:rsidR="00DD07CF" w:rsidRDefault="00DD07CF"/>
        </w:tc>
        <w:tc>
          <w:tcPr>
            <w:tcW w:w="3006" w:type="dxa"/>
          </w:tcPr>
          <w:p w14:paraId="03E0441A" w14:textId="77777777" w:rsidR="3C552ADE" w:rsidRDefault="155010CB" w:rsidP="3C552ADE">
            <w:p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Strategy of 2007</w:t>
            </w:r>
          </w:p>
        </w:tc>
        <w:tc>
          <w:tcPr>
            <w:tcW w:w="3118" w:type="dxa"/>
          </w:tcPr>
          <w:p w14:paraId="1A294379" w14:textId="77777777" w:rsidR="3C552ADE" w:rsidRDefault="155010CB" w:rsidP="3C552ADE">
            <w:p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Strategy of 2019 </w:t>
            </w:r>
          </w:p>
        </w:tc>
      </w:tr>
      <w:tr w:rsidR="3C552ADE" w:rsidRPr="008E6865" w14:paraId="32B1706C" w14:textId="77777777" w:rsidTr="60ECF5C7">
        <w:trPr>
          <w:trHeight w:val="300"/>
        </w:trPr>
        <w:tc>
          <w:tcPr>
            <w:tcW w:w="3004" w:type="dxa"/>
          </w:tcPr>
          <w:p w14:paraId="2DBF54B3" w14:textId="77777777" w:rsidR="3C552ADE" w:rsidRDefault="155010CB" w:rsidP="3C552ADE">
            <w:pPr>
              <w:pStyle w:val="ae"/>
              <w:numPr>
                <w:ilvl w:val="0"/>
                <w:numId w:val="18"/>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Areas of cooperation:</w:t>
            </w:r>
          </w:p>
          <w:p w14:paraId="533F044A" w14:textId="77777777" w:rsidR="3C552ADE" w:rsidRDefault="155010CB" w:rsidP="0BE2D7A4">
            <w:pPr>
              <w:spacing w:after="0" w:line="240" w:lineRule="auto"/>
              <w:rPr>
                <w:sz w:val="28"/>
                <w:szCs w:val="28"/>
              </w:rPr>
            </w:pPr>
            <w:r w:rsidRPr="0BE2D7A4">
              <w:rPr>
                <w:rFonts w:ascii="Times New Roman" w:eastAsia="Times New Roman" w:hAnsi="Times New Roman" w:cs="Times New Roman"/>
                <w:sz w:val="28"/>
                <w:szCs w:val="28"/>
                <w:lang w:val="en-US"/>
              </w:rPr>
              <w:t>– Human rights</w:t>
            </w:r>
          </w:p>
          <w:p w14:paraId="2E80B786" w14:textId="77777777" w:rsidR="3C552ADE" w:rsidRDefault="155010CB" w:rsidP="0BE2D7A4">
            <w:pPr>
              <w:spacing w:after="0" w:line="240" w:lineRule="auto"/>
              <w:rPr>
                <w:sz w:val="28"/>
                <w:szCs w:val="28"/>
              </w:rPr>
            </w:pPr>
            <w:r w:rsidRPr="0BE2D7A4">
              <w:rPr>
                <w:rFonts w:ascii="Times New Roman" w:eastAsia="Times New Roman" w:hAnsi="Times New Roman" w:cs="Times New Roman"/>
                <w:sz w:val="28"/>
                <w:szCs w:val="28"/>
                <w:lang w:val="en-US"/>
              </w:rPr>
              <w:t>– Democratization</w:t>
            </w:r>
          </w:p>
          <w:p w14:paraId="52D8E96D" w14:textId="77777777" w:rsidR="3C552ADE" w:rsidRDefault="155010CB" w:rsidP="0BE2D7A4">
            <w:pPr>
              <w:spacing w:after="0" w:line="240" w:lineRule="auto"/>
              <w:rPr>
                <w:sz w:val="28"/>
                <w:szCs w:val="28"/>
              </w:rPr>
            </w:pPr>
            <w:r w:rsidRPr="0BE2D7A4">
              <w:rPr>
                <w:rFonts w:ascii="Times New Roman" w:eastAsia="Times New Roman" w:hAnsi="Times New Roman" w:cs="Times New Roman"/>
                <w:sz w:val="28"/>
                <w:szCs w:val="28"/>
                <w:lang w:val="en-US"/>
              </w:rPr>
              <w:t>– Education</w:t>
            </w:r>
          </w:p>
          <w:p w14:paraId="7BC7E57B" w14:textId="77777777" w:rsidR="3C552ADE" w:rsidRDefault="155010CB" w:rsidP="0BE2D7A4">
            <w:pPr>
              <w:spacing w:after="0" w:line="240" w:lineRule="auto"/>
              <w:rPr>
                <w:sz w:val="28"/>
                <w:szCs w:val="28"/>
              </w:rPr>
            </w:pPr>
            <w:r w:rsidRPr="0BE2D7A4">
              <w:rPr>
                <w:rFonts w:ascii="Times New Roman" w:eastAsia="Times New Roman" w:hAnsi="Times New Roman" w:cs="Times New Roman"/>
                <w:sz w:val="28"/>
                <w:szCs w:val="28"/>
                <w:lang w:val="en-US"/>
              </w:rPr>
              <w:t>– Economic development</w:t>
            </w:r>
          </w:p>
          <w:p w14:paraId="17139F82" w14:textId="77777777" w:rsidR="3C552ADE" w:rsidRDefault="155010CB" w:rsidP="0BE2D7A4">
            <w:pPr>
              <w:spacing w:after="0" w:line="240" w:lineRule="auto"/>
              <w:rPr>
                <w:sz w:val="28"/>
                <w:szCs w:val="28"/>
              </w:rPr>
            </w:pPr>
            <w:r w:rsidRPr="0BE2D7A4">
              <w:rPr>
                <w:rFonts w:ascii="Times New Roman" w:eastAsia="Times New Roman" w:hAnsi="Times New Roman" w:cs="Times New Roman"/>
                <w:sz w:val="28"/>
                <w:szCs w:val="28"/>
                <w:lang w:val="en-US"/>
              </w:rPr>
              <w:t>– Energy and transport</w:t>
            </w:r>
          </w:p>
          <w:p w14:paraId="0DDB5CCB" w14:textId="77777777" w:rsidR="3C552ADE" w:rsidRDefault="155010CB" w:rsidP="0BE2D7A4">
            <w:pPr>
              <w:spacing w:after="0" w:line="240" w:lineRule="auto"/>
              <w:rPr>
                <w:sz w:val="28"/>
                <w:szCs w:val="28"/>
              </w:rPr>
            </w:pPr>
            <w:r w:rsidRPr="0BE2D7A4">
              <w:rPr>
                <w:rFonts w:ascii="Times New Roman" w:eastAsia="Times New Roman" w:hAnsi="Times New Roman" w:cs="Times New Roman"/>
                <w:sz w:val="28"/>
                <w:szCs w:val="28"/>
                <w:lang w:val="en-US"/>
              </w:rPr>
              <w:t>– Ecology and water management</w:t>
            </w:r>
          </w:p>
          <w:p w14:paraId="6EEC9648" w14:textId="77777777" w:rsidR="3C552ADE" w:rsidRDefault="155010CB" w:rsidP="0BE2D7A4">
            <w:pPr>
              <w:spacing w:after="0" w:line="240" w:lineRule="auto"/>
              <w:rPr>
                <w:sz w:val="28"/>
                <w:szCs w:val="28"/>
              </w:rPr>
            </w:pPr>
            <w:r w:rsidRPr="0BE2D7A4">
              <w:rPr>
                <w:rFonts w:ascii="Times New Roman" w:eastAsia="Times New Roman" w:hAnsi="Times New Roman" w:cs="Times New Roman"/>
                <w:sz w:val="28"/>
                <w:szCs w:val="28"/>
                <w:lang w:val="en-US"/>
              </w:rPr>
              <w:t>– Regional security</w:t>
            </w:r>
          </w:p>
          <w:p w14:paraId="6FDDE97C" w14:textId="77777777" w:rsidR="3C552ADE" w:rsidRDefault="155010CB" w:rsidP="0BE2D7A4">
            <w:pPr>
              <w:spacing w:after="0" w:line="240" w:lineRule="auto"/>
              <w:rPr>
                <w:sz w:val="28"/>
                <w:szCs w:val="28"/>
              </w:rPr>
            </w:pPr>
            <w:r w:rsidRPr="0BE2D7A4">
              <w:rPr>
                <w:rFonts w:ascii="Times New Roman" w:eastAsia="Times New Roman" w:hAnsi="Times New Roman" w:cs="Times New Roman"/>
                <w:sz w:val="28"/>
                <w:szCs w:val="28"/>
                <w:lang w:val="en-US"/>
              </w:rPr>
              <w:t>– Intercultural dialogue</w:t>
            </w:r>
          </w:p>
          <w:p w14:paraId="2FC17F8B" w14:textId="77777777" w:rsidR="3C552ADE" w:rsidRDefault="3C552ADE" w:rsidP="3C552ADE">
            <w:pPr>
              <w:spacing w:after="0" w:line="240" w:lineRule="auto"/>
              <w:rPr>
                <w:rFonts w:ascii="Times New Roman" w:eastAsia="Times New Roman" w:hAnsi="Times New Roman" w:cs="Times New Roman"/>
                <w:sz w:val="28"/>
                <w:szCs w:val="28"/>
                <w:lang w:val="en-US"/>
              </w:rPr>
            </w:pPr>
          </w:p>
          <w:p w14:paraId="04407A7B" w14:textId="77777777" w:rsidR="3C552ADE" w:rsidRDefault="155010CB" w:rsidP="3C552ADE">
            <w:pPr>
              <w:pStyle w:val="ae"/>
              <w:numPr>
                <w:ilvl w:val="0"/>
                <w:numId w:val="18"/>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influence of external factors on the implementation of the Strategy</w:t>
            </w:r>
          </w:p>
        </w:tc>
        <w:tc>
          <w:tcPr>
            <w:tcW w:w="3006" w:type="dxa"/>
          </w:tcPr>
          <w:p w14:paraId="5BB08612" w14:textId="77777777" w:rsidR="3C552ADE" w:rsidRDefault="155010CB" w:rsidP="3C552ADE">
            <w:pPr>
              <w:pStyle w:val="ae"/>
              <w:numPr>
                <w:ilvl w:val="0"/>
                <w:numId w:val="20"/>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The strategy was primarily prepared by EU and was dropped to work to Central Asian states. </w:t>
            </w:r>
          </w:p>
          <w:p w14:paraId="0F351F1B" w14:textId="77777777" w:rsidR="3C552ADE" w:rsidRDefault="155010CB" w:rsidP="3C552ADE">
            <w:pPr>
              <w:pStyle w:val="ae"/>
              <w:numPr>
                <w:ilvl w:val="0"/>
                <w:numId w:val="20"/>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Strategy has more of a descriptive character: General description of the means of implementing the Strategy</w:t>
            </w:r>
          </w:p>
          <w:p w14:paraId="16653654" w14:textId="77777777" w:rsidR="3C552ADE" w:rsidRDefault="155010CB" w:rsidP="3C552ADE">
            <w:pPr>
              <w:pStyle w:val="ae"/>
              <w:numPr>
                <w:ilvl w:val="0"/>
                <w:numId w:val="20"/>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Afghanistan is a priority in terms of threats to regional security</w:t>
            </w:r>
          </w:p>
          <w:p w14:paraId="3ABF7E35" w14:textId="77777777" w:rsidR="3C552ADE" w:rsidRDefault="155010CB" w:rsidP="3C552ADE">
            <w:pPr>
              <w:pStyle w:val="ae"/>
              <w:numPr>
                <w:ilvl w:val="0"/>
                <w:numId w:val="20"/>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structure is more general and comprehensive.</w:t>
            </w:r>
          </w:p>
          <w:p w14:paraId="270E7A42" w14:textId="77777777" w:rsidR="3C552ADE" w:rsidRDefault="155010CB" w:rsidP="3C552ADE">
            <w:pPr>
              <w:pStyle w:val="ae"/>
              <w:numPr>
                <w:ilvl w:val="0"/>
                <w:numId w:val="20"/>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budget was included in the strategy with a breakdown (70% of funds were allocated to bilateral projects and 30% to promote regional cooperation)</w:t>
            </w:r>
          </w:p>
          <w:p w14:paraId="51762D5D" w14:textId="77777777" w:rsidR="3C552ADE" w:rsidRDefault="155010CB" w:rsidP="3C552ADE">
            <w:pPr>
              <w:pStyle w:val="ae"/>
              <w:numPr>
                <w:ilvl w:val="0"/>
                <w:numId w:val="20"/>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Strategy points out the cooperation only in the framework EU-Central Asia.</w:t>
            </w:r>
          </w:p>
          <w:p w14:paraId="0A4F7224" w14:textId="77777777" w:rsidR="3C552ADE" w:rsidRDefault="3C552ADE" w:rsidP="3C552ADE">
            <w:pPr>
              <w:pStyle w:val="ae"/>
              <w:spacing w:after="0" w:line="240" w:lineRule="auto"/>
              <w:rPr>
                <w:rFonts w:ascii="Times New Roman" w:eastAsia="Times New Roman" w:hAnsi="Times New Roman" w:cs="Times New Roman"/>
                <w:sz w:val="28"/>
                <w:szCs w:val="28"/>
                <w:lang w:val="en-US"/>
              </w:rPr>
            </w:pPr>
          </w:p>
        </w:tc>
        <w:tc>
          <w:tcPr>
            <w:tcW w:w="3118" w:type="dxa"/>
          </w:tcPr>
          <w:p w14:paraId="07B0618B" w14:textId="77777777" w:rsidR="3C552ADE" w:rsidRDefault="155010CB" w:rsidP="3C552ADE">
            <w:pPr>
              <w:pStyle w:val="ae"/>
              <w:numPr>
                <w:ilvl w:val="0"/>
                <w:numId w:val="19"/>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Central Asian states’ experts took part in the formation of the strategy. </w:t>
            </w:r>
          </w:p>
          <w:p w14:paraId="3B776F31" w14:textId="77777777" w:rsidR="3C552ADE" w:rsidRDefault="155010CB" w:rsidP="3C552ADE">
            <w:pPr>
              <w:pStyle w:val="ae"/>
              <w:numPr>
                <w:ilvl w:val="0"/>
                <w:numId w:val="19"/>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Strategy has analytical nature: Specific initiatives in each subsection</w:t>
            </w:r>
          </w:p>
          <w:p w14:paraId="67439791" w14:textId="77777777" w:rsidR="3C552ADE" w:rsidRDefault="155010CB" w:rsidP="3C552ADE">
            <w:pPr>
              <w:pStyle w:val="ae"/>
              <w:numPr>
                <w:ilvl w:val="0"/>
                <w:numId w:val="19"/>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Strategy takes into Consideration of new threats to security (cybersecurity, etc.), including ISIS</w:t>
            </w:r>
          </w:p>
          <w:p w14:paraId="60F77EFD" w14:textId="77777777" w:rsidR="3C552ADE" w:rsidRDefault="155010CB" w:rsidP="3C552ADE">
            <w:pPr>
              <w:pStyle w:val="ae"/>
              <w:numPr>
                <w:ilvl w:val="0"/>
                <w:numId w:val="19"/>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structure is more detailed and specific.</w:t>
            </w:r>
          </w:p>
          <w:p w14:paraId="3E183683" w14:textId="77777777" w:rsidR="3C552ADE" w:rsidRDefault="155010CB" w:rsidP="3C552ADE">
            <w:pPr>
              <w:pStyle w:val="ae"/>
              <w:numPr>
                <w:ilvl w:val="0"/>
                <w:numId w:val="19"/>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 larger budget with no indication of detail; priority areas for funding will be determined additionally.</w:t>
            </w:r>
          </w:p>
          <w:p w14:paraId="72B91D9C" w14:textId="77777777" w:rsidR="3C552ADE" w:rsidRDefault="155010CB" w:rsidP="3C552ADE">
            <w:pPr>
              <w:pStyle w:val="ae"/>
              <w:numPr>
                <w:ilvl w:val="0"/>
                <w:numId w:val="19"/>
              </w:numPr>
              <w:spacing w:after="0" w:line="240" w:lineRule="auto"/>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EU state expresses its readiness to take measures with all those who are interested in their state with the Central Asian states.</w:t>
            </w:r>
          </w:p>
          <w:p w14:paraId="5AE48A43" w14:textId="77777777" w:rsidR="3C552ADE" w:rsidRDefault="3C552ADE" w:rsidP="3C552ADE">
            <w:pPr>
              <w:pStyle w:val="ae"/>
              <w:spacing w:after="0" w:line="240" w:lineRule="auto"/>
              <w:rPr>
                <w:rFonts w:ascii="Times New Roman" w:eastAsia="Times New Roman" w:hAnsi="Times New Roman" w:cs="Times New Roman"/>
                <w:sz w:val="28"/>
                <w:szCs w:val="28"/>
                <w:lang w:val="en-US"/>
              </w:rPr>
            </w:pPr>
          </w:p>
        </w:tc>
      </w:tr>
      <w:tr w:rsidR="60ECF5C7" w:rsidRPr="008E6865" w14:paraId="28A8AD32" w14:textId="77777777" w:rsidTr="60ECF5C7">
        <w:trPr>
          <w:trHeight w:val="300"/>
        </w:trPr>
        <w:tc>
          <w:tcPr>
            <w:tcW w:w="9016" w:type="dxa"/>
            <w:gridSpan w:val="3"/>
          </w:tcPr>
          <w:p w14:paraId="7842E138" w14:textId="77777777" w:rsidR="6FEEAC85" w:rsidRDefault="00FC5740" w:rsidP="60ECF5C7">
            <w:pPr>
              <w:spacing w:line="240" w:lineRule="auto"/>
              <w:rPr>
                <w:rFonts w:ascii="Times New Roman" w:eastAsia="Times New Roman" w:hAnsi="Times New Roman" w:cs="Times New Roman"/>
                <w:sz w:val="28"/>
                <w:szCs w:val="28"/>
                <w:lang w:val="en-US"/>
              </w:rPr>
            </w:pPr>
            <w:r w:rsidRPr="60ECF5C7">
              <w:rPr>
                <w:rFonts w:ascii="Times New Roman" w:eastAsia="Times New Roman" w:hAnsi="Times New Roman" w:cs="Times New Roman"/>
                <w:sz w:val="28"/>
                <w:szCs w:val="28"/>
                <w:lang w:val="en-US"/>
              </w:rPr>
              <w:t>Source: author’s own compilation based on literature review</w:t>
            </w:r>
          </w:p>
        </w:tc>
      </w:tr>
    </w:tbl>
    <w:p w14:paraId="50F40DEB" w14:textId="77777777" w:rsidR="00DD07CF" w:rsidRDefault="00DD07CF" w:rsidP="3C552ADE">
      <w:pPr>
        <w:spacing w:after="0" w:line="240" w:lineRule="auto"/>
        <w:ind w:firstLine="708"/>
        <w:jc w:val="both"/>
        <w:rPr>
          <w:rFonts w:ascii="Times New Roman" w:eastAsia="Times New Roman" w:hAnsi="Times New Roman" w:cs="Times New Roman"/>
          <w:sz w:val="28"/>
          <w:szCs w:val="28"/>
          <w:lang w:val="en-US"/>
        </w:rPr>
      </w:pPr>
    </w:p>
    <w:p w14:paraId="2C585BB7"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EU Strategy of 2007 and 201</w:t>
      </w:r>
      <w:r w:rsidR="6DFDBD90" w:rsidRPr="0BE2D7A4">
        <w:rPr>
          <w:rFonts w:ascii="Times New Roman" w:eastAsia="Times New Roman" w:hAnsi="Times New Roman" w:cs="Times New Roman"/>
          <w:sz w:val="28"/>
          <w:szCs w:val="28"/>
          <w:lang w:val="en-US"/>
        </w:rPr>
        <w:t>9</w:t>
      </w:r>
      <w:r w:rsidRPr="0BE2D7A4">
        <w:rPr>
          <w:rFonts w:ascii="Times New Roman" w:eastAsia="Times New Roman" w:hAnsi="Times New Roman" w:cs="Times New Roman"/>
          <w:sz w:val="28"/>
          <w:szCs w:val="28"/>
          <w:lang w:val="en-US"/>
        </w:rPr>
        <w:t xml:space="preserve"> have different views: a) greater consideration of the diverse and dynamic developments in the relations between the five Central Asian countries and b) recognition of the existence and importance of other external partners and projects present in the region. These two factors can be seen as significant obstacles to the successful implementation of the 2007 EU Strategy in the region. The new Strategy reflects a full awareness of these factors, reflecting both considerations in the proposed themes of cooperation.</w:t>
      </w:r>
    </w:p>
    <w:p w14:paraId="25EFDE0F"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region itself shows both risks of volatility and signs of further cooperation. For EU–Central Asia relations, since the adoption of the EU's current Central Asia strategy, the seismic shift in the geopolitical landscape has presented not only challenges but also opportunities for increased cooperation in foreign policy and areas such as energy, raw materials and connectivity.</w:t>
      </w:r>
    </w:p>
    <w:p w14:paraId="1F4107DF" w14:textId="77777777" w:rsidR="00DD07CF" w:rsidRDefault="0DFDBA39"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Although largely peaceful, the region faces threats to its stability. Within countries, tensions between growing discontent over inequality and the cost of living are a destabilising factor, as illustrated in the 'Bloody January' events in Kazakhstan in 2022 and the rise of popularism in Kyrgyzstan. Poverty and lack of employment prospects may also make some populations vulnerable to more extremist forms of Islam, increasing the risk of terrorism. From this perspective, the return of the Taliban regime in Afghanistan is a source of instability for the region as a whole, but particularly for neighbouring Tajikistan. In recent years, tensions over regional autonomy have led to protests and violent crackdowns in Uzbekistan's Karakalpakstan region and Tajikistan's Gorno-Badakhshan Oblast. Potential sources of conflict between the Central Asian countries include resource scarcity and climate change. Climate risk profiles for Kazakhstan, Kyrgyzstan, Tajikistan, Turkmenistan and Uzbekistan show that the region is projected to experience temperature rises significantly above the global average. The impacts are likely to include more frequent droughts, as well as land degradation and reduced water security, posing major threats particularly to the lives and livelihoods of the poorest and most marginalised communities. Cross-border water cooperation is re-emerging as a key constraint on Central Asia's future development. In 2021, a long-standing border dispute between Kyrgyzstan and Tajikistan reignited over the issue of irrigation, leading to violent clashes that recurred in 2022. Against this backdrop, the fact that Central Asian leaders are holding annual consultative meetings is seen with cautious optimism as a sign of pragmatic cooperation.</w:t>
      </w:r>
    </w:p>
    <w:p w14:paraId="0F6FDFE2"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Russia’s war of aggression against Ukraine and its increased nationalistic narratives have weakened Russia’s standing in the region and have encouraged Central Asia to pursue cooperation with other actors, and that these actors have stepped up their cooperation with Central Asia. The EU now has the opportunity to expand its ties with Central Asia and play a more prominent role in the region. </w:t>
      </w:r>
    </w:p>
    <w:p w14:paraId="29DE276F"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However, we cannot say that the Strategy of 2019 absolutely failed or there was only positive impact. </w:t>
      </w:r>
    </w:p>
    <w:p w14:paraId="1A8C28B0" w14:textId="747640E8"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770AFFC0">
        <w:rPr>
          <w:rFonts w:ascii="Times New Roman" w:eastAsia="Times New Roman" w:hAnsi="Times New Roman" w:cs="Times New Roman"/>
          <w:sz w:val="28"/>
          <w:szCs w:val="28"/>
          <w:lang w:val="en-US"/>
        </w:rPr>
        <w:t xml:space="preserve">Until 2022, the EU-Central Asia Ministerial Meetings (at the level of the EU High Representative for Foreign Affairs and Security Policy and the foreign ministers of individual countries) were the main forum of political dialogue between the EU and the Central Asian states. The economic and trade agreements that these countries concluded with the EU were not expanded, which largely stemmed from their failure to make any progress on </w:t>
      </w:r>
      <w:r w:rsidR="5453F615" w:rsidRPr="770AFFC0">
        <w:rPr>
          <w:rFonts w:ascii="Times New Roman" w:eastAsia="Times New Roman" w:hAnsi="Times New Roman" w:cs="Times New Roman"/>
          <w:sz w:val="28"/>
          <w:szCs w:val="28"/>
          <w:lang w:val="en-US"/>
        </w:rPr>
        <w:t>democratization</w:t>
      </w:r>
      <w:r w:rsidRPr="770AFFC0">
        <w:rPr>
          <w:rFonts w:ascii="Times New Roman" w:eastAsia="Times New Roman" w:hAnsi="Times New Roman" w:cs="Times New Roman"/>
          <w:sz w:val="28"/>
          <w:szCs w:val="28"/>
          <w:lang w:val="en-US"/>
        </w:rPr>
        <w:t xml:space="preserve">. It was not until 2020 that the Enhanced Partnership and Cooperation Agreement (EPCA) with Kazakhstan come into force, and this is the EU’s only such agreement in this part of the world to date. The Central Asian states were insignificant trading partners for the EU. The EU’s member states markets are the main export destination for Kazakhstan (largely due to oil sales), but this country was down in 29th place in the ranking of the EU’s trade partners in 2022. </w:t>
      </w:r>
    </w:p>
    <w:p w14:paraId="77A52294" w14:textId="77777777" w:rsidR="00DD07CF" w:rsidRDefault="00DD07CF" w:rsidP="3C552ADE">
      <w:pPr>
        <w:spacing w:after="0" w:line="240" w:lineRule="auto"/>
        <w:ind w:firstLine="708"/>
        <w:jc w:val="both"/>
        <w:rPr>
          <w:rFonts w:ascii="Times New Roman" w:eastAsia="Times New Roman" w:hAnsi="Times New Roman" w:cs="Times New Roman"/>
          <w:sz w:val="28"/>
          <w:szCs w:val="28"/>
          <w:lang w:val="en-US"/>
        </w:rPr>
      </w:pPr>
    </w:p>
    <w:p w14:paraId="007DCDA8"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Pr>
          <w:noProof/>
          <w:lang w:eastAsia="ru-RU"/>
        </w:rPr>
        <w:drawing>
          <wp:inline distT="0" distB="0" distL="0" distR="0" wp14:anchorId="2745303A" wp14:editId="07777777">
            <wp:extent cx="5381624" cy="2362200"/>
            <wp:effectExtent l="0" t="0" r="0" b="0"/>
            <wp:docPr id="74505724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81624" cy="2362200"/>
                    </a:xfrm>
                    <a:prstGeom prst="rect">
                      <a:avLst/>
                    </a:prstGeom>
                  </pic:spPr>
                </pic:pic>
              </a:graphicData>
            </a:graphic>
          </wp:inline>
        </w:drawing>
      </w:r>
    </w:p>
    <w:p w14:paraId="29917B0B" w14:textId="77777777" w:rsidR="00DD07CF" w:rsidRDefault="0DFDBA39" w:rsidP="3C552ADE">
      <w:pPr>
        <w:spacing w:after="0" w:line="240" w:lineRule="auto"/>
        <w:ind w:firstLine="708"/>
        <w:jc w:val="both"/>
        <w:rPr>
          <w:rFonts w:ascii="Times New Roman" w:eastAsia="Times New Roman" w:hAnsi="Times New Roman" w:cs="Times New Roman"/>
          <w:b/>
          <w:bCs/>
          <w:sz w:val="28"/>
          <w:szCs w:val="28"/>
          <w:lang w:val="en-US"/>
        </w:rPr>
      </w:pPr>
      <w:r w:rsidRPr="60ECF5C7">
        <w:rPr>
          <w:rFonts w:ascii="Times New Roman" w:eastAsia="Times New Roman" w:hAnsi="Times New Roman" w:cs="Times New Roman"/>
          <w:b/>
          <w:bCs/>
          <w:sz w:val="28"/>
          <w:szCs w:val="28"/>
          <w:lang w:val="en-US"/>
        </w:rPr>
        <w:t>Chart 1. The value of the EU’s and Central Asian countries’ exports/imports in 2022-23</w:t>
      </w:r>
      <w:r w:rsidR="3BE32706" w:rsidRPr="60ECF5C7">
        <w:rPr>
          <w:rFonts w:ascii="Times New Roman" w:eastAsia="Times New Roman" w:hAnsi="Times New Roman" w:cs="Times New Roman"/>
          <w:b/>
          <w:bCs/>
          <w:sz w:val="28"/>
          <w:szCs w:val="28"/>
          <w:lang w:val="en-US"/>
        </w:rPr>
        <w:t xml:space="preserve"> </w:t>
      </w:r>
      <w:r w:rsidR="4D3FF666" w:rsidRPr="60ECF5C7">
        <w:rPr>
          <w:rFonts w:ascii="Times New Roman" w:eastAsia="Times New Roman" w:hAnsi="Times New Roman" w:cs="Times New Roman"/>
          <w:b/>
          <w:bCs/>
          <w:sz w:val="28"/>
          <w:szCs w:val="28"/>
          <w:lang w:val="en-US"/>
        </w:rPr>
        <w:t>[</w:t>
      </w:r>
      <w:r w:rsidR="540E4A85" w:rsidRPr="60ECF5C7">
        <w:rPr>
          <w:rFonts w:ascii="Times New Roman" w:eastAsia="Times New Roman" w:hAnsi="Times New Roman" w:cs="Times New Roman"/>
          <w:b/>
          <w:bCs/>
          <w:sz w:val="28"/>
          <w:szCs w:val="28"/>
          <w:lang w:val="en-US"/>
        </w:rPr>
        <w:t>106</w:t>
      </w:r>
      <w:r w:rsidR="4D3FF666" w:rsidRPr="60ECF5C7">
        <w:rPr>
          <w:rFonts w:ascii="Times New Roman" w:eastAsia="Times New Roman" w:hAnsi="Times New Roman" w:cs="Times New Roman"/>
          <w:b/>
          <w:bCs/>
          <w:sz w:val="28"/>
          <w:szCs w:val="28"/>
          <w:lang w:val="en-US"/>
        </w:rPr>
        <w:t>]</w:t>
      </w:r>
      <w:r w:rsidR="3C1E632C" w:rsidRPr="60ECF5C7">
        <w:rPr>
          <w:rFonts w:ascii="Times New Roman" w:eastAsia="Times New Roman" w:hAnsi="Times New Roman" w:cs="Times New Roman"/>
          <w:b/>
          <w:bCs/>
          <w:sz w:val="28"/>
          <w:szCs w:val="28"/>
          <w:lang w:val="en-US"/>
        </w:rPr>
        <w:t>.</w:t>
      </w:r>
    </w:p>
    <w:p w14:paraId="450EA2D7" w14:textId="77777777" w:rsidR="0087145E" w:rsidRDefault="0087145E" w:rsidP="3C552ADE">
      <w:pPr>
        <w:spacing w:after="0" w:line="240" w:lineRule="auto"/>
        <w:ind w:firstLine="708"/>
        <w:jc w:val="both"/>
        <w:rPr>
          <w:rFonts w:ascii="Times New Roman" w:eastAsia="Times New Roman" w:hAnsi="Times New Roman" w:cs="Times New Roman"/>
          <w:sz w:val="28"/>
          <w:szCs w:val="28"/>
          <w:lang w:val="en-US"/>
        </w:rPr>
      </w:pPr>
    </w:p>
    <w:p w14:paraId="3C09AC97"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Economic issues, which are strongly linked to energy, climate/environmental and transport cooperation, feature prominently in the Joint Roadmap. At present, they can be regarded as the most important aspects of mutual relations, and may also be considered as the forward-oriented ‘vehicles’ of EU-Central Asia cooperation. The ties in these areas are those which have been strengthened the most. In November 2022, the EU launched two flagship initiatives for Central Asia as part of the Global Gateway: the Team Europe Initiative on Water, Energy and Climate and the Team Europe Initiative on Digital Connectivity.</w:t>
      </w:r>
    </w:p>
    <w:p w14:paraId="30FCCAB6" w14:textId="77777777" w:rsidR="00DD07CF" w:rsidRDefault="0DFDBA39" w:rsidP="0BE2D7A4">
      <w:pPr>
        <w:spacing w:after="0" w:line="240" w:lineRule="auto"/>
        <w:ind w:firstLine="708"/>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sz w:val="28"/>
          <w:szCs w:val="28"/>
          <w:lang w:val="en-US"/>
        </w:rPr>
        <w:t>In another important step, in late January 2024 the EU committed to provide €10 billion using various financial instruments to develop the Trans-Caspian International Transport Route (TITR, the so-called Middle Corridor), which connects Europe to China via Central Asia, the Caspian Sea and the Caucasus or Turkey, bypassing Russia</w:t>
      </w:r>
      <w:r w:rsidR="1F995D44" w:rsidRPr="60ECF5C7">
        <w:rPr>
          <w:rFonts w:ascii="Times New Roman" w:eastAsia="Times New Roman" w:hAnsi="Times New Roman" w:cs="Times New Roman"/>
          <w:sz w:val="28"/>
          <w:szCs w:val="28"/>
          <w:lang w:val="en-US"/>
        </w:rPr>
        <w:t xml:space="preserve"> </w:t>
      </w:r>
      <w:r w:rsidRPr="60ECF5C7">
        <w:rPr>
          <w:rFonts w:ascii="Times New Roman" w:eastAsia="Times New Roman" w:hAnsi="Times New Roman" w:cs="Times New Roman"/>
          <w:sz w:val="28"/>
          <w:szCs w:val="28"/>
          <w:lang w:val="en-US"/>
        </w:rPr>
        <w:t>[8]</w:t>
      </w:r>
      <w:r w:rsidR="527FACE7" w:rsidRPr="60ECF5C7">
        <w:rPr>
          <w:rFonts w:ascii="Times New Roman" w:eastAsia="Times New Roman" w:hAnsi="Times New Roman" w:cs="Times New Roman"/>
          <w:sz w:val="28"/>
          <w:szCs w:val="28"/>
          <w:lang w:val="en-US"/>
        </w:rPr>
        <w:t xml:space="preserve">. </w:t>
      </w:r>
      <w:r w:rsidRPr="60ECF5C7">
        <w:rPr>
          <w:rFonts w:ascii="Times New Roman" w:eastAsia="Times New Roman" w:hAnsi="Times New Roman" w:cs="Times New Roman"/>
          <w:sz w:val="28"/>
          <w:szCs w:val="28"/>
          <w:lang w:val="en-US"/>
        </w:rPr>
        <w:t xml:space="preserve"> In November 2022, the EU signed an agreement with Kazakhstan on a strategic partnership in the area of critical raw materials, batteries and renewable hydrogen; more recently, in April 2024, it reached a similar agreement with Uzbekistan in the field of critical raw materials. These steps have been part of the EU’s efforts to implement its Action Plan on Critical Raw Materials, which was adopted in 2020.</w:t>
      </w:r>
    </w:p>
    <w:p w14:paraId="0F307F1E"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On the other hand, in the energy dimension, even though the region has expanded its cooperation with the EU, the entrenched interests of Russia and China have not been directly affected. For example, projects have not been launched that would permanently bind the EU to Central Asia, such as gas exports from Turkmen deposits via the Caspian Sea to Europe. Moreover, during this period, Russia has strengthened its gas relations with Uzbekistan as a consumer and with Kazakhstan as a transit state under an agreement from June 2023.  </w:t>
      </w:r>
    </w:p>
    <w:p w14:paraId="0D36BD30"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intensification of political dialogue includes steps to raise the profile of this relationship and consolidate it at the highest level. The best example of this is the ‘high-level meetings’ with the participation of President of the European Council Charles Michel and the Central Asian leaders. The first such meeting took place on 27 October 2022 in Astana, followed by another gathering on 2 June 2023 in Cholpon-Ata, Kyrgyzstan. The first EU-Central Asia Summit was scheduled to take place in Uzbekistan in 2024.</w:t>
      </w:r>
    </w:p>
    <w:p w14:paraId="42C16F17" w14:textId="77777777" w:rsidR="00DD07CF" w:rsidRDefault="0DFDBA39"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two sides aim to strengthen their economic ties by consolidating the EU-Central Asia Economic Forum (which has existed since 2021 and was last held in May 2023) and by expanding their trade and political agreements. The EU concluded negotiations on the Enhanced Partnership and Cooperation Agreement (EPCA) with Kyrgyzstan in July 2019 and with Uzbekistan three years later; however, it has failed to ratify either of them. It launched talks on the EPCA with Tajikistan in February 2023.</w:t>
      </w:r>
    </w:p>
    <w:p w14:paraId="7E0C88A1" w14:textId="77777777" w:rsidR="00DD07CF" w:rsidRDefault="0DFDBA39"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Cooperation is being pursued under the Global Gateway strategy in the areas of: energy, climate/the environment and transport. The impetus for developing these ties came from the first EU-Central Asia Connectivity Conference that was held in Samarkand in November 2022. At the European Commission’s request, the European Bank for Reconstruction and Development also produced a study entitled ‘Sustainable transport connections between Europe and Central Asia‘, which was published in June 2023. The aforementioned inaugural Investors Forum for EU-Central Asia Transport Connectivity took place in January 2024.</w:t>
      </w:r>
    </w:p>
    <w:p w14:paraId="7D93ED0F" w14:textId="77777777" w:rsidR="00DD07CF" w:rsidRDefault="0DFDBA39"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the area of security, the EU’s longest-running programmes for Central Asia (launched in 2003), the Border Management Programme in Central Asia (BOMCA) and the Central Asian Drug Action Programme (CADAP), form the basis for further cooperation. These two initiatives relate to border protection and measures to counter drug trafficking. The EU has also made it possible to provide the Central Asian states with expertise on hybrid threats and to include them in training conducted by the European Security and Defence College (ESDC).</w:t>
      </w:r>
    </w:p>
    <w:p w14:paraId="1FAC4E74" w14:textId="77777777" w:rsidR="00DD07CF" w:rsidRDefault="0DFDBA39"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EU considers the development of the EU-Central Asia Civil Society Forum (which has functioned since 2019) to have played a significant role in the improvement of people-to-people relations and mobility, alongside its own training and education programmes, Horizon Europe and Erasmus+. The EU has announced that it will expand its educational and scholarship opportunities for independent researchers from the region as well as its training for Central Asian diplomats.</w:t>
      </w:r>
    </w:p>
    <w:p w14:paraId="74DA457C"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So, it is evident that there were a number of initiatives and working programs conducted in Central Asia. In addition, the level and the number of EU-CA meetings has increased, which says about the significance of cooperation for both regions. </w:t>
      </w:r>
    </w:p>
    <w:p w14:paraId="471C3C41" w14:textId="77777777" w:rsidR="00DD07CF" w:rsidRDefault="0DFDBA39" w:rsidP="3C552ADE">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However, to our mind</w:t>
      </w:r>
      <w:r w:rsidR="785E6542" w:rsidRPr="0BE2D7A4">
        <w:rPr>
          <w:rFonts w:ascii="Times New Roman" w:eastAsia="Times New Roman" w:hAnsi="Times New Roman" w:cs="Times New Roman"/>
          <w:sz w:val="28"/>
          <w:szCs w:val="28"/>
          <w:lang w:val="en-US"/>
        </w:rPr>
        <w:t>s</w:t>
      </w:r>
      <w:r w:rsidRPr="0BE2D7A4">
        <w:rPr>
          <w:rFonts w:ascii="Times New Roman" w:eastAsia="Times New Roman" w:hAnsi="Times New Roman" w:cs="Times New Roman"/>
          <w:sz w:val="28"/>
          <w:szCs w:val="28"/>
          <w:lang w:val="en-US"/>
        </w:rPr>
        <w:t>, it is unlikely that relations with the EU will become a priority for Central Asia. Therefore, it is even more unlikely that Central Asia will emerge as a significant focus of the EU’s foreign policy. Contacts between the two sides will still be based on energy, trade and transport as the main areas of cooperation. Nevertheless, as these ties continue to deepen, the EU’s importance for Central Asia will grow due to the associated benefits for the region’s modernisation and economy.</w:t>
      </w:r>
    </w:p>
    <w:p w14:paraId="3DD355C9" w14:textId="77777777" w:rsidR="00DD07CF" w:rsidRDefault="00DD07CF">
      <w:pPr>
        <w:pStyle w:val="af"/>
        <w:shd w:val="clear" w:color="auto" w:fill="FFFFFF" w:themeFill="background1"/>
        <w:spacing w:after="0" w:line="240" w:lineRule="auto"/>
        <w:ind w:firstLine="360"/>
        <w:jc w:val="both"/>
        <w:rPr>
          <w:rFonts w:eastAsia="Times New Roman"/>
          <w:sz w:val="28"/>
          <w:szCs w:val="28"/>
          <w:lang w:val="en-US" w:eastAsia="ru-RU"/>
        </w:rPr>
      </w:pPr>
    </w:p>
    <w:p w14:paraId="1A81F0B1" w14:textId="77777777" w:rsidR="00DD07CF" w:rsidRDefault="00DD07CF">
      <w:pPr>
        <w:pStyle w:val="af"/>
        <w:shd w:val="clear" w:color="auto" w:fill="FFFFFF" w:themeFill="background1"/>
        <w:spacing w:after="0" w:line="240" w:lineRule="auto"/>
        <w:ind w:firstLine="360"/>
        <w:jc w:val="both"/>
        <w:rPr>
          <w:rFonts w:eastAsia="Times New Roman"/>
          <w:sz w:val="28"/>
          <w:szCs w:val="28"/>
          <w:lang w:val="en-US" w:eastAsia="ru-RU"/>
        </w:rPr>
      </w:pPr>
    </w:p>
    <w:p w14:paraId="717AAFBA" w14:textId="77777777" w:rsidR="00DD07CF" w:rsidRDefault="00DD07CF">
      <w:pPr>
        <w:pStyle w:val="af"/>
        <w:shd w:val="clear" w:color="auto" w:fill="FFFFFF" w:themeFill="background1"/>
        <w:spacing w:after="0" w:line="240" w:lineRule="auto"/>
        <w:ind w:firstLine="360"/>
        <w:jc w:val="both"/>
        <w:rPr>
          <w:rFonts w:eastAsia="Times New Roman"/>
          <w:sz w:val="28"/>
          <w:szCs w:val="28"/>
          <w:lang w:val="en-US" w:eastAsia="ru-RU"/>
        </w:rPr>
      </w:pPr>
    </w:p>
    <w:p w14:paraId="56EE48EE" w14:textId="77777777" w:rsidR="00DD07CF" w:rsidRDefault="00DD07CF">
      <w:pPr>
        <w:pStyle w:val="af"/>
        <w:shd w:val="clear" w:color="auto" w:fill="FFFFFF" w:themeFill="background1"/>
        <w:spacing w:after="0" w:line="240" w:lineRule="auto"/>
        <w:ind w:firstLine="360"/>
        <w:jc w:val="both"/>
        <w:rPr>
          <w:rFonts w:eastAsia="Times New Roman"/>
          <w:sz w:val="28"/>
          <w:szCs w:val="28"/>
          <w:lang w:val="en-US" w:eastAsia="ru-RU"/>
        </w:rPr>
      </w:pPr>
    </w:p>
    <w:p w14:paraId="2908EB2C" w14:textId="77777777" w:rsidR="00DD07CF" w:rsidRDefault="00DD07CF" w:rsidP="0BE2D7A4">
      <w:pPr>
        <w:pStyle w:val="af"/>
        <w:shd w:val="clear" w:color="auto" w:fill="FFFFFF" w:themeFill="background1"/>
        <w:spacing w:afterAutospacing="1" w:line="240" w:lineRule="auto"/>
        <w:jc w:val="both"/>
        <w:rPr>
          <w:rFonts w:eastAsia="Times New Roman"/>
          <w:b/>
          <w:bCs/>
          <w:sz w:val="28"/>
          <w:szCs w:val="28"/>
          <w:lang w:val="en-US" w:eastAsia="ru-RU"/>
        </w:rPr>
      </w:pPr>
    </w:p>
    <w:p w14:paraId="121FD38A" w14:textId="77777777" w:rsidR="0087145E" w:rsidRDefault="0087145E" w:rsidP="0BE2D7A4">
      <w:pPr>
        <w:pStyle w:val="af"/>
        <w:shd w:val="clear" w:color="auto" w:fill="FFFFFF" w:themeFill="background1"/>
        <w:spacing w:afterAutospacing="1" w:line="240" w:lineRule="auto"/>
        <w:jc w:val="both"/>
        <w:rPr>
          <w:rFonts w:eastAsia="Times New Roman"/>
          <w:b/>
          <w:bCs/>
          <w:sz w:val="28"/>
          <w:szCs w:val="28"/>
          <w:lang w:val="en-US" w:eastAsia="ru-RU"/>
        </w:rPr>
      </w:pPr>
    </w:p>
    <w:p w14:paraId="1FE2DD96" w14:textId="77777777" w:rsidR="0087145E" w:rsidRDefault="0087145E" w:rsidP="0BE2D7A4">
      <w:pPr>
        <w:pStyle w:val="af"/>
        <w:shd w:val="clear" w:color="auto" w:fill="FFFFFF" w:themeFill="background1"/>
        <w:spacing w:afterAutospacing="1" w:line="240" w:lineRule="auto"/>
        <w:jc w:val="both"/>
        <w:rPr>
          <w:rFonts w:eastAsia="Times New Roman"/>
          <w:b/>
          <w:bCs/>
          <w:sz w:val="28"/>
          <w:szCs w:val="28"/>
          <w:lang w:val="en-US" w:eastAsia="ru-RU"/>
        </w:rPr>
      </w:pPr>
    </w:p>
    <w:p w14:paraId="27357532" w14:textId="77777777" w:rsidR="0087145E" w:rsidRDefault="0087145E" w:rsidP="0BE2D7A4">
      <w:pPr>
        <w:pStyle w:val="af"/>
        <w:shd w:val="clear" w:color="auto" w:fill="FFFFFF" w:themeFill="background1"/>
        <w:spacing w:afterAutospacing="1" w:line="240" w:lineRule="auto"/>
        <w:jc w:val="both"/>
        <w:rPr>
          <w:rFonts w:eastAsia="Times New Roman"/>
          <w:b/>
          <w:bCs/>
          <w:sz w:val="28"/>
          <w:szCs w:val="28"/>
          <w:lang w:val="en-US" w:eastAsia="ru-RU"/>
        </w:rPr>
      </w:pPr>
    </w:p>
    <w:p w14:paraId="07F023C8" w14:textId="77777777" w:rsidR="0087145E" w:rsidRDefault="0087145E" w:rsidP="0BE2D7A4">
      <w:pPr>
        <w:pStyle w:val="af"/>
        <w:shd w:val="clear" w:color="auto" w:fill="FFFFFF" w:themeFill="background1"/>
        <w:spacing w:afterAutospacing="1" w:line="240" w:lineRule="auto"/>
        <w:jc w:val="both"/>
        <w:rPr>
          <w:rFonts w:eastAsia="Times New Roman"/>
          <w:b/>
          <w:bCs/>
          <w:sz w:val="28"/>
          <w:szCs w:val="28"/>
          <w:lang w:val="en-US" w:eastAsia="ru-RU"/>
        </w:rPr>
      </w:pPr>
    </w:p>
    <w:p w14:paraId="4BDB5498" w14:textId="77777777" w:rsidR="00DA28EA" w:rsidRDefault="00DA28EA" w:rsidP="79B2C90B">
      <w:pPr>
        <w:pStyle w:val="af"/>
        <w:shd w:val="clear" w:color="auto" w:fill="FFFFFF" w:themeFill="background1"/>
        <w:spacing w:afterAutospacing="1" w:line="240" w:lineRule="auto"/>
        <w:jc w:val="both"/>
        <w:rPr>
          <w:rFonts w:eastAsia="Times New Roman"/>
          <w:b/>
          <w:bCs/>
          <w:sz w:val="28"/>
          <w:szCs w:val="28"/>
          <w:lang w:eastAsia="ru-RU"/>
        </w:rPr>
      </w:pPr>
    </w:p>
    <w:p w14:paraId="2916C19D" w14:textId="77777777" w:rsidR="00D701F5" w:rsidRPr="00D701F5" w:rsidRDefault="00D701F5" w:rsidP="79B2C90B">
      <w:pPr>
        <w:pStyle w:val="af"/>
        <w:shd w:val="clear" w:color="auto" w:fill="FFFFFF" w:themeFill="background1"/>
        <w:spacing w:afterAutospacing="1" w:line="240" w:lineRule="auto"/>
        <w:jc w:val="both"/>
        <w:rPr>
          <w:rFonts w:eastAsia="Times New Roman"/>
          <w:b/>
          <w:bCs/>
          <w:sz w:val="28"/>
          <w:szCs w:val="28"/>
          <w:lang w:eastAsia="ru-RU"/>
        </w:rPr>
      </w:pPr>
    </w:p>
    <w:p w14:paraId="4243DEB7" w14:textId="77777777" w:rsidR="00DD07CF" w:rsidRDefault="4F7292D1" w:rsidP="79B2C90B">
      <w:pPr>
        <w:pStyle w:val="af"/>
        <w:shd w:val="clear" w:color="auto" w:fill="FFFFFF" w:themeFill="background1"/>
        <w:spacing w:afterAutospacing="1" w:line="240" w:lineRule="auto"/>
        <w:jc w:val="both"/>
        <w:rPr>
          <w:rFonts w:eastAsia="Times New Roman"/>
          <w:b/>
          <w:bCs/>
          <w:sz w:val="28"/>
          <w:szCs w:val="28"/>
          <w:lang w:val="en-US" w:eastAsia="ru-RU"/>
        </w:rPr>
      </w:pPr>
      <w:r w:rsidRPr="74BDD3B8">
        <w:rPr>
          <w:rFonts w:eastAsia="Times New Roman"/>
          <w:b/>
          <w:bCs/>
          <w:sz w:val="28"/>
          <w:szCs w:val="28"/>
          <w:lang w:val="en-US" w:eastAsia="ru-RU"/>
        </w:rPr>
        <w:t>2</w:t>
      </w:r>
      <w:r w:rsidR="7BFC0A0C" w:rsidRPr="74BDD3B8">
        <w:rPr>
          <w:rFonts w:eastAsia="Times New Roman"/>
          <w:b/>
          <w:bCs/>
          <w:sz w:val="28"/>
          <w:szCs w:val="28"/>
          <w:lang w:val="en-US" w:eastAsia="ru-RU"/>
        </w:rPr>
        <w:t xml:space="preserve"> EU STRATEGY FOR CENTRAL ASIA AS A MAIN TOOL OF COOPERATION</w:t>
      </w:r>
    </w:p>
    <w:p w14:paraId="465DA056" w14:textId="77777777" w:rsidR="00DA28EA" w:rsidRPr="00D701F5" w:rsidRDefault="155010CB" w:rsidP="00D701F5">
      <w:pPr>
        <w:pStyle w:val="af"/>
        <w:shd w:val="clear" w:color="auto" w:fill="FFFFFF" w:themeFill="background1"/>
        <w:spacing w:after="0" w:line="240" w:lineRule="auto"/>
        <w:ind w:firstLine="709"/>
        <w:jc w:val="both"/>
        <w:rPr>
          <w:rFonts w:eastAsia="Times New Roman"/>
          <w:b/>
          <w:bCs/>
          <w:sz w:val="28"/>
          <w:szCs w:val="28"/>
          <w:lang w:val="en-US" w:eastAsia="ru-RU"/>
        </w:rPr>
      </w:pPr>
      <w:r w:rsidRPr="74BDD3B8">
        <w:rPr>
          <w:rFonts w:eastAsia="Times New Roman"/>
          <w:b/>
          <w:bCs/>
          <w:sz w:val="28"/>
          <w:szCs w:val="28"/>
          <w:lang w:val="en-US" w:eastAsia="ru-RU"/>
        </w:rPr>
        <w:t>2.1.  M</w:t>
      </w:r>
      <w:r w:rsidR="0087145E" w:rsidRPr="74BDD3B8">
        <w:rPr>
          <w:rFonts w:eastAsia="Times New Roman"/>
          <w:b/>
          <w:bCs/>
          <w:sz w:val="28"/>
          <w:szCs w:val="28"/>
          <w:lang w:val="en-US" w:eastAsia="ru-RU"/>
        </w:rPr>
        <w:t>ain instruments for the implementation of the</w:t>
      </w:r>
      <w:r w:rsidRPr="74BDD3B8">
        <w:rPr>
          <w:rFonts w:eastAsia="Times New Roman"/>
          <w:b/>
          <w:bCs/>
          <w:sz w:val="28"/>
          <w:szCs w:val="28"/>
          <w:lang w:val="en-US" w:eastAsia="ru-RU"/>
        </w:rPr>
        <w:t xml:space="preserve"> S</w:t>
      </w:r>
      <w:r w:rsidR="0087145E" w:rsidRPr="74BDD3B8">
        <w:rPr>
          <w:rFonts w:eastAsia="Times New Roman"/>
          <w:b/>
          <w:bCs/>
          <w:sz w:val="28"/>
          <w:szCs w:val="28"/>
          <w:lang w:val="en-US" w:eastAsia="ru-RU"/>
        </w:rPr>
        <w:t>trategy</w:t>
      </w:r>
    </w:p>
    <w:p w14:paraId="79D47093" w14:textId="236BF67E"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2F3055D">
        <w:rPr>
          <w:rFonts w:eastAsia="Times New Roman"/>
          <w:sz w:val="28"/>
          <w:szCs w:val="28"/>
          <w:lang w:val="en-US" w:eastAsia="ru-RU"/>
        </w:rPr>
        <w:t>Due to the absence of the EU in the field of "hard" security, its negotiating power should be sought mainly in the economic sphere, especially in trade and investment. While the total value of trade between the EU and Central Asia has declined significantly since the early 2010s, mutual trade is still significant, albeit unbalanced (due to its central-periphery nature) and highly variable by country. The EU is Central Asia's most important trading partner, although the numbers are highly inflated due to the high volume of trade with Kazakhstan. With a total trade value of €26.94 billion in 2020, the EU is ahead of Russia and China. It ranks first in exports from Central Asia and third in imports. In 2020, EU imports from Central Asia amounted to 13.22 billion euros, while exports to the region reached 9.13 billion euros. Nearly 95% of all imports are commodities (mainly mineral products) and 90.2% of exports are manufactured goods [</w:t>
      </w:r>
      <w:r w:rsidR="15D8C46B" w:rsidRPr="02F3055D">
        <w:rPr>
          <w:rFonts w:eastAsia="Times New Roman"/>
          <w:sz w:val="28"/>
          <w:szCs w:val="28"/>
          <w:lang w:val="en-US" w:eastAsia="ru-RU"/>
        </w:rPr>
        <w:t>126</w:t>
      </w:r>
      <w:r w:rsidRPr="02F3055D">
        <w:rPr>
          <w:rFonts w:eastAsia="Times New Roman"/>
          <w:sz w:val="28"/>
          <w:szCs w:val="28"/>
          <w:lang w:val="en-US" w:eastAsia="ru-RU"/>
        </w:rPr>
        <w:t xml:space="preserve">]. </w:t>
      </w:r>
    </w:p>
    <w:p w14:paraId="5F32B4F4"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As was stated above, the first comprehensive EU policy document on post-Soviet Central Asia, the EU and Central Asia: A New Partnership Strategy was adopted in 2007. Despite some statements that the strategy should take into account the individual needs and characteristics of each country, it should be emphasized that the strategy has intensified mutual relations between Central Asia and the EU, as well as the institutional presence of the EU in the region, mainly in terms of political and diplomatic dialogue.</w:t>
      </w:r>
    </w:p>
    <w:p w14:paraId="2CDC3726" w14:textId="77777777" w:rsidR="7FBC5AED" w:rsidRDefault="155010CB" w:rsidP="3C552ADE">
      <w:pPr>
        <w:pStyle w:val="af"/>
        <w:shd w:val="clear" w:color="auto" w:fill="FFFFFF" w:themeFill="background1"/>
        <w:spacing w:after="0" w:line="240" w:lineRule="auto"/>
        <w:ind w:firstLine="708"/>
        <w:jc w:val="both"/>
        <w:rPr>
          <w:rFonts w:eastAsia="Times New Roman"/>
          <w:sz w:val="28"/>
          <w:szCs w:val="28"/>
          <w:lang w:val="en-US" w:eastAsia="ru-RU"/>
        </w:rPr>
      </w:pPr>
      <w:r w:rsidRPr="65E36028">
        <w:rPr>
          <w:rFonts w:eastAsia="Times New Roman"/>
          <w:sz w:val="28"/>
          <w:szCs w:val="28"/>
          <w:lang w:val="en-US" w:eastAsia="ru-RU"/>
        </w:rPr>
        <w:t>It is worth noting that the EU is forming its multilateral policy towards Central Asia through strategic documents; but we cannot name these documents typical strategies [</w:t>
      </w:r>
      <w:r w:rsidR="3514EDA7" w:rsidRPr="65E36028">
        <w:rPr>
          <w:rFonts w:eastAsia="Times New Roman"/>
          <w:sz w:val="28"/>
          <w:szCs w:val="28"/>
          <w:lang w:val="en-US" w:eastAsia="ru-RU"/>
        </w:rPr>
        <w:t>127</w:t>
      </w:r>
      <w:r w:rsidRPr="65E36028">
        <w:rPr>
          <w:rFonts w:eastAsia="Times New Roman"/>
          <w:sz w:val="28"/>
          <w:szCs w:val="28"/>
          <w:lang w:val="en-US" w:eastAsia="ru-RU"/>
        </w:rPr>
        <w:t xml:space="preserve">]. EU gives key strategic priorities and detailed objectives, but in typical strategic documents the objectives are measurable, realistic, achievable and time bound; thus, their implementation within the predetermined period is considered realistic. </w:t>
      </w:r>
      <w:r w:rsidR="7133D3A5" w:rsidRPr="65E36028">
        <w:rPr>
          <w:rFonts w:eastAsia="Times New Roman"/>
          <w:sz w:val="28"/>
          <w:szCs w:val="28"/>
          <w:lang w:val="en-US" w:eastAsia="ru-RU"/>
        </w:rPr>
        <w:t xml:space="preserve"> </w:t>
      </w:r>
    </w:p>
    <w:p w14:paraId="3E486C07" w14:textId="77777777" w:rsidR="7FBC5AED" w:rsidRDefault="7133D3A5" w:rsidP="3C552ADE">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According to the developers of the Strategy, the mutual relations of the Central Asian states, as well as the level of their cooperation with the EU, especially in recent years, have reached a qualitatively new level. In this regard, the main message of the new EU policy document was to use the opportunities arising from this positive development. </w:t>
      </w:r>
    </w:p>
    <w:p w14:paraId="56DF5E77" w14:textId="77777777" w:rsidR="7FBC5AED" w:rsidRDefault="7133D3A5" w:rsidP="3C552ADE">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their new 2019 EU policy document on Central Asia, in contrast to their 2007 Strategy, there is a noticeable refusal to form any specific thematic platforms. This is due to the desire to give the document maximum flexibility, as well as to keep it relevant for a long time.</w:t>
      </w:r>
    </w:p>
    <w:p w14:paraId="55595A97" w14:textId="77777777" w:rsidR="3C552ADE" w:rsidRDefault="7133D3A5" w:rsidP="3C552ADE">
      <w:pPr>
        <w:pStyle w:val="af"/>
        <w:shd w:val="clear" w:color="auto" w:fill="FFFFFF" w:themeFill="background1"/>
        <w:spacing w:after="0" w:line="240" w:lineRule="auto"/>
        <w:ind w:firstLine="708"/>
        <w:jc w:val="both"/>
        <w:rPr>
          <w:rFonts w:eastAsia="Times New Roman"/>
          <w:sz w:val="28"/>
          <w:szCs w:val="28"/>
          <w:lang w:val="en-US" w:eastAsia="ru-RU"/>
        </w:rPr>
      </w:pPr>
      <w:r w:rsidRPr="65E36028">
        <w:rPr>
          <w:rFonts w:eastAsia="Times New Roman"/>
          <w:sz w:val="28"/>
          <w:szCs w:val="28"/>
          <w:lang w:val="en-US" w:eastAsia="ru-RU"/>
        </w:rPr>
        <w:t>As a priority goal in Central Asia, the European Union defines "Partnership for sustainability" (resilience), which provides for "increasing the ability of the Central Asian states to overcome various internal and external challenges, as well as successfully implement reforms</w:t>
      </w:r>
      <w:r w:rsidR="28434545" w:rsidRPr="65E36028">
        <w:rPr>
          <w:rFonts w:eastAsia="Times New Roman"/>
          <w:sz w:val="28"/>
          <w:szCs w:val="28"/>
          <w:lang w:val="en-US" w:eastAsia="ru-RU"/>
        </w:rPr>
        <w:t xml:space="preserve"> </w:t>
      </w:r>
      <w:r w:rsidRPr="65E36028">
        <w:rPr>
          <w:rFonts w:eastAsia="Times New Roman"/>
          <w:sz w:val="28"/>
          <w:szCs w:val="28"/>
          <w:lang w:val="en-US" w:eastAsia="ru-RU"/>
        </w:rPr>
        <w:t>"</w:t>
      </w:r>
      <w:r w:rsidR="5982F0F0" w:rsidRPr="65E36028">
        <w:rPr>
          <w:rFonts w:eastAsia="Times New Roman"/>
          <w:sz w:val="28"/>
          <w:szCs w:val="28"/>
          <w:lang w:val="en-US" w:eastAsia="ru-RU"/>
        </w:rPr>
        <w:t xml:space="preserve"> [1]. </w:t>
      </w:r>
    </w:p>
    <w:p w14:paraId="1E14F59D" w14:textId="21768233" w:rsidR="540F2BBC" w:rsidRDefault="540F2BBC" w:rsidP="50F76268">
      <w:pPr>
        <w:pStyle w:val="af"/>
        <w:shd w:val="clear" w:color="auto" w:fill="FFFFFF" w:themeFill="background1"/>
        <w:spacing w:after="0" w:line="240" w:lineRule="auto"/>
        <w:ind w:firstLine="708"/>
        <w:jc w:val="both"/>
        <w:rPr>
          <w:rFonts w:eastAsia="Times New Roman"/>
          <w:sz w:val="28"/>
          <w:szCs w:val="28"/>
          <w:lang w:val="en-US" w:eastAsia="ru-RU"/>
        </w:rPr>
      </w:pPr>
      <w:r w:rsidRPr="02F3055D">
        <w:rPr>
          <w:rFonts w:eastAsia="Times New Roman"/>
          <w:sz w:val="28"/>
          <w:szCs w:val="28"/>
          <w:lang w:val="en-US" w:eastAsia="ru-RU"/>
        </w:rPr>
        <w:t>This chapter focuses on main EU programs and initiatives in the framework of EU Str</w:t>
      </w:r>
      <w:r w:rsidR="1C859CF2" w:rsidRPr="02F3055D">
        <w:rPr>
          <w:rFonts w:eastAsia="Times New Roman"/>
          <w:sz w:val="28"/>
          <w:szCs w:val="28"/>
          <w:lang w:val="en-US" w:eastAsia="ru-RU"/>
        </w:rPr>
        <w:t>ateg</w:t>
      </w:r>
      <w:r w:rsidRPr="02F3055D">
        <w:rPr>
          <w:rFonts w:eastAsia="Times New Roman"/>
          <w:sz w:val="28"/>
          <w:szCs w:val="28"/>
          <w:lang w:val="en-US" w:eastAsia="ru-RU"/>
        </w:rPr>
        <w:t xml:space="preserve">y for Central Asia of 2019. </w:t>
      </w:r>
      <w:r w:rsidR="439BD24F" w:rsidRPr="02F3055D">
        <w:rPr>
          <w:rFonts w:eastAsia="Times New Roman"/>
          <w:sz w:val="28"/>
          <w:szCs w:val="28"/>
          <w:lang w:val="en-US" w:eastAsia="ru-RU"/>
        </w:rPr>
        <w:t xml:space="preserve">No doubt that through these programs and initiatives, the </w:t>
      </w:r>
      <w:r w:rsidR="5EC83211" w:rsidRPr="02F3055D">
        <w:rPr>
          <w:rFonts w:eastAsia="Times New Roman"/>
          <w:sz w:val="28"/>
          <w:szCs w:val="28"/>
          <w:lang w:val="en-US" w:eastAsia="ru-RU"/>
        </w:rPr>
        <w:t xml:space="preserve">EU strategy was implemented. </w:t>
      </w:r>
      <w:r w:rsidR="3F123D63" w:rsidRPr="02F3055D">
        <w:rPr>
          <w:rFonts w:eastAsia="Times New Roman"/>
          <w:sz w:val="28"/>
          <w:szCs w:val="28"/>
          <w:lang w:val="en-US" w:eastAsia="ru-RU"/>
        </w:rPr>
        <w:t>Moreover, the chapter describes main fields of cooperation</w:t>
      </w:r>
      <w:r w:rsidR="4EE3A88B" w:rsidRPr="02F3055D">
        <w:rPr>
          <w:rFonts w:eastAsia="Times New Roman"/>
          <w:sz w:val="28"/>
          <w:szCs w:val="28"/>
          <w:lang w:val="en-US" w:eastAsia="ru-RU"/>
        </w:rPr>
        <w:t xml:space="preserve"> and </w:t>
      </w:r>
      <w:r w:rsidR="0C81687D" w:rsidRPr="02F3055D">
        <w:rPr>
          <w:rFonts w:eastAsia="Times New Roman"/>
          <w:sz w:val="28"/>
          <w:szCs w:val="28"/>
          <w:lang w:val="en-US" w:eastAsia="ru-RU"/>
        </w:rPr>
        <w:t>current stat</w:t>
      </w:r>
      <w:r w:rsidR="5D1CA823" w:rsidRPr="02F3055D">
        <w:rPr>
          <w:rFonts w:eastAsia="Times New Roman"/>
          <w:sz w:val="28"/>
          <w:szCs w:val="28"/>
          <w:lang w:val="en-US" w:eastAsia="ru-RU"/>
        </w:rPr>
        <w:t>e</w:t>
      </w:r>
      <w:r w:rsidR="5E04155C" w:rsidRPr="02F3055D">
        <w:rPr>
          <w:rFonts w:eastAsia="Times New Roman"/>
          <w:sz w:val="28"/>
          <w:szCs w:val="28"/>
          <w:lang w:val="en-US" w:eastAsia="ru-RU"/>
        </w:rPr>
        <w:t>.</w:t>
      </w:r>
    </w:p>
    <w:p w14:paraId="5CB8FB6D" w14:textId="77777777" w:rsidR="00DD07CF" w:rsidRDefault="1A19B4E5" w:rsidP="65E36028">
      <w:pPr>
        <w:pStyle w:val="af"/>
        <w:shd w:val="clear" w:color="auto" w:fill="FFFFFF" w:themeFill="background1"/>
        <w:spacing w:after="0" w:line="240" w:lineRule="auto"/>
        <w:ind w:firstLine="708"/>
        <w:jc w:val="both"/>
        <w:rPr>
          <w:rFonts w:eastAsia="Times New Roman"/>
          <w:sz w:val="28"/>
          <w:szCs w:val="28"/>
          <w:lang w:val="en-US" w:eastAsia="ru-RU"/>
        </w:rPr>
      </w:pPr>
      <w:r w:rsidRPr="65E36028">
        <w:rPr>
          <w:rFonts w:eastAsia="Times New Roman"/>
          <w:sz w:val="28"/>
          <w:szCs w:val="28"/>
          <w:lang w:val="en-US" w:eastAsia="ru-RU"/>
        </w:rPr>
        <w:t>The</w:t>
      </w:r>
      <w:r w:rsidR="0BE2D7A4" w:rsidRPr="65E36028">
        <w:rPr>
          <w:rFonts w:eastAsia="Times New Roman"/>
          <w:sz w:val="28"/>
          <w:szCs w:val="28"/>
          <w:lang w:val="en-US" w:eastAsia="ru-RU"/>
        </w:rPr>
        <w:t xml:space="preserve"> </w:t>
      </w:r>
      <w:r w:rsidR="42F5930F" w:rsidRPr="65E36028">
        <w:rPr>
          <w:rFonts w:eastAsia="Times New Roman"/>
          <w:sz w:val="28"/>
          <w:szCs w:val="28"/>
          <w:lang w:val="en-US" w:eastAsia="ru-RU"/>
        </w:rPr>
        <w:t xml:space="preserve">first </w:t>
      </w:r>
      <w:r w:rsidR="0BE2D7A4" w:rsidRPr="65E36028">
        <w:rPr>
          <w:rFonts w:eastAsia="Times New Roman"/>
          <w:sz w:val="28"/>
          <w:szCs w:val="28"/>
          <w:lang w:val="en-US" w:eastAsia="ru-RU"/>
        </w:rPr>
        <w:t>area for EU cooperation with the Central Asian states is security and the joint fight against the threats of terrorism, Islamic fundamentalism and radicalism. The situation in this area in the period from 2007 to 2017 also changed significantly. The main center of instability has shifted from Afghanistan to Syria, where a protracted military and political crisis has created a favorable environment for the spread of extremist ideologies and the emergence of new terrorist organizations. The European Union and Central Asia are under direct terrorist threat, as both regions lead in terms of population migration to join groups such as the Islamic State. That is, an important task of the EU in the region is to maintain its stability and prevent the transformation of Central Asia into a new hotbed of terrorist activity</w:t>
      </w:r>
      <w:r w:rsidR="52A3B8E7" w:rsidRPr="65E36028">
        <w:rPr>
          <w:rFonts w:eastAsia="Times New Roman"/>
          <w:sz w:val="28"/>
          <w:szCs w:val="28"/>
          <w:lang w:val="en-US" w:eastAsia="ru-RU"/>
        </w:rPr>
        <w:t xml:space="preserve"> [128]. </w:t>
      </w:r>
      <w:r w:rsidR="4638FE04" w:rsidRPr="65E36028">
        <w:rPr>
          <w:rFonts w:eastAsia="Times New Roman"/>
          <w:sz w:val="28"/>
          <w:szCs w:val="28"/>
          <w:lang w:val="en-US" w:eastAsia="ru-RU"/>
        </w:rPr>
        <w:t xml:space="preserve">In this regard, it is important to note two main EU security programs in Central Asia: BOMCA and CADAP. </w:t>
      </w:r>
    </w:p>
    <w:p w14:paraId="77B2533A" w14:textId="77777777" w:rsidR="00DD07CF" w:rsidRDefault="37A0131E" w:rsidP="65E36028">
      <w:pPr>
        <w:pStyle w:val="af"/>
        <w:shd w:val="clear" w:color="auto" w:fill="FFFFFF" w:themeFill="background1"/>
        <w:spacing w:after="0" w:line="240" w:lineRule="auto"/>
        <w:ind w:firstLine="708"/>
        <w:jc w:val="both"/>
        <w:rPr>
          <w:rFonts w:eastAsia="Times New Roman"/>
          <w:sz w:val="28"/>
          <w:szCs w:val="28"/>
          <w:lang w:val="en-US" w:eastAsia="ru-RU"/>
        </w:rPr>
      </w:pPr>
      <w:r w:rsidRPr="65E36028">
        <w:rPr>
          <w:rFonts w:eastAsia="Times New Roman"/>
          <w:sz w:val="28"/>
          <w:szCs w:val="28"/>
          <w:lang w:val="en-US" w:eastAsia="ru-RU"/>
        </w:rPr>
        <w:t>Cross-border cooperation has been and remains a key element of BOMCA's program activities. It promotes regional peace and security, regional trade facilitation, regional economic development and drug control throughout the region.</w:t>
      </w:r>
      <w:r w:rsidR="5C50D517" w:rsidRPr="65E36028">
        <w:rPr>
          <w:rFonts w:eastAsia="Times New Roman"/>
          <w:sz w:val="28"/>
          <w:szCs w:val="28"/>
          <w:lang w:val="en-US" w:eastAsia="ru-RU"/>
        </w:rPr>
        <w:t xml:space="preserve"> </w:t>
      </w:r>
      <w:r w:rsidRPr="65E36028">
        <w:rPr>
          <w:rFonts w:eastAsia="Times New Roman"/>
          <w:sz w:val="28"/>
          <w:szCs w:val="28"/>
          <w:lang w:val="en-US" w:eastAsia="ru-RU"/>
        </w:rPr>
        <w:t>The main achievement of the BOMCA Program in this regard, according to European experts, can be considered the agreement of the Government of Kazakhstan to double the number of Kyrgyz border guards undergoing training at the Border Academy of the National Security committee of the Republic of Kazakhstan. Border guards from Tajikistan are also being trained in Kazakhstan. Several cross-border workshops were held jointly with Kyrgyzstan.</w:t>
      </w:r>
    </w:p>
    <w:p w14:paraId="41FA86F8" w14:textId="77777777" w:rsidR="00DD07CF" w:rsidRDefault="37A0131E" w:rsidP="65E36028">
      <w:pPr>
        <w:pStyle w:val="af"/>
        <w:shd w:val="clear" w:color="auto" w:fill="FFFFFF" w:themeFill="background1"/>
        <w:spacing w:after="0" w:line="240" w:lineRule="auto"/>
        <w:ind w:firstLine="708"/>
        <w:jc w:val="both"/>
        <w:rPr>
          <w:rFonts w:eastAsia="Times New Roman"/>
          <w:sz w:val="28"/>
          <w:szCs w:val="28"/>
          <w:lang w:val="en-US" w:eastAsia="ru-RU"/>
        </w:rPr>
      </w:pPr>
      <w:r w:rsidRPr="2440A688">
        <w:rPr>
          <w:rFonts w:eastAsia="Times New Roman"/>
          <w:sz w:val="28"/>
          <w:szCs w:val="28"/>
          <w:lang w:val="en-US" w:eastAsia="ru-RU"/>
        </w:rPr>
        <w:t xml:space="preserve">The ninth phase of the BOMCA covered the period 2015-2020 with a total budget of EUR 6.6 million and aimed at strengthening the capacity of border management agencies in Central Asia: border, customs, migration, veterinary and phytosanitary services, as well as relevant higher education institutions and training </w:t>
      </w:r>
      <w:r w:rsidR="205FD0AF" w:rsidRPr="2440A688">
        <w:rPr>
          <w:rFonts w:eastAsia="Times New Roman"/>
          <w:sz w:val="28"/>
          <w:szCs w:val="28"/>
          <w:lang w:val="en-US" w:eastAsia="ru-RU"/>
        </w:rPr>
        <w:t>centers</w:t>
      </w:r>
      <w:r w:rsidRPr="2440A688">
        <w:rPr>
          <w:rFonts w:eastAsia="Times New Roman"/>
          <w:sz w:val="28"/>
          <w:szCs w:val="28"/>
          <w:lang w:val="en-US" w:eastAsia="ru-RU"/>
        </w:rPr>
        <w:t>.</w:t>
      </w:r>
    </w:p>
    <w:p w14:paraId="3AC1DFC2" w14:textId="77777777" w:rsidR="00DD07CF" w:rsidRDefault="37A0131E" w:rsidP="65E36028">
      <w:pPr>
        <w:pStyle w:val="af"/>
        <w:shd w:val="clear" w:color="auto" w:fill="FFFFFF" w:themeFill="background1"/>
        <w:spacing w:after="0" w:line="240" w:lineRule="auto"/>
        <w:ind w:firstLine="708"/>
        <w:jc w:val="both"/>
        <w:rPr>
          <w:rFonts w:eastAsia="Times New Roman"/>
          <w:sz w:val="28"/>
          <w:szCs w:val="28"/>
          <w:lang w:val="en-US" w:eastAsia="ru-RU"/>
        </w:rPr>
      </w:pPr>
      <w:r w:rsidRPr="2440A688">
        <w:rPr>
          <w:rFonts w:eastAsia="Times New Roman"/>
          <w:sz w:val="28"/>
          <w:szCs w:val="28"/>
          <w:lang w:val="en-US" w:eastAsia="ru-RU"/>
        </w:rPr>
        <w:t>Based on the concept of integrated border management, the progra</w:t>
      </w:r>
      <w:r w:rsidR="58174722" w:rsidRPr="2440A688">
        <w:rPr>
          <w:rFonts w:eastAsia="Times New Roman"/>
          <w:sz w:val="28"/>
          <w:szCs w:val="28"/>
          <w:lang w:val="en-US" w:eastAsia="ru-RU"/>
        </w:rPr>
        <w:t>m</w:t>
      </w:r>
      <w:r w:rsidRPr="2440A688">
        <w:rPr>
          <w:rFonts w:eastAsia="Times New Roman"/>
          <w:sz w:val="28"/>
          <w:szCs w:val="28"/>
          <w:lang w:val="en-US" w:eastAsia="ru-RU"/>
        </w:rPr>
        <w:t xml:space="preserve"> completed 223 individual activities involving over 3,300 civil servants from Central Asian beneficiary agencies. These activities were implemented through soft adaptation measures such as capacity building and awareness raising (professional knowledge, functional skills and specific practices), updating the regulatory framework (legal, strategic, technical, procedural, organizational, methodological and others), strengthening cooperation and information exchange at different levels (intra-agency, inter-agency and international).</w:t>
      </w:r>
    </w:p>
    <w:p w14:paraId="0B88E982" w14:textId="16585B63" w:rsidR="00DD07CF" w:rsidRDefault="37A0131E" w:rsidP="65E36028">
      <w:pPr>
        <w:pStyle w:val="af"/>
        <w:shd w:val="clear" w:color="auto" w:fill="FFFFFF" w:themeFill="background1"/>
        <w:spacing w:after="0" w:line="240" w:lineRule="auto"/>
        <w:ind w:firstLine="708"/>
        <w:jc w:val="both"/>
        <w:rPr>
          <w:rFonts w:eastAsia="Times New Roman"/>
          <w:sz w:val="28"/>
          <w:szCs w:val="28"/>
          <w:lang w:val="en-US" w:eastAsia="ru-RU"/>
        </w:rPr>
      </w:pPr>
      <w:r w:rsidRPr="02F3055D">
        <w:rPr>
          <w:rFonts w:eastAsia="Times New Roman"/>
          <w:sz w:val="28"/>
          <w:szCs w:val="28"/>
          <w:lang w:val="en-US" w:eastAsia="ru-RU"/>
        </w:rPr>
        <w:t xml:space="preserve"> Since 2001, the European Union has launched a Central Asia Drug Action Program (CADAP) as part of the Central Asia Drug Action Plans. The priority tasks of this project are: improving the work of control services at major airports in the region; strengthening cooperation between law enforcement agencies of the Central Asian countries in the fight against drug trafficking; creation of a unified information network to coordinate their work.</w:t>
      </w:r>
      <w:r w:rsidR="06DA9999" w:rsidRPr="02F3055D">
        <w:rPr>
          <w:rFonts w:eastAsia="Times New Roman"/>
          <w:sz w:val="28"/>
          <w:szCs w:val="28"/>
          <w:lang w:val="en-US" w:eastAsia="ru-RU"/>
        </w:rPr>
        <w:t xml:space="preserve"> CADAP has systematically invested in drug policy development in Central Asia over the past 20 years. Sharing experiences and implementing international standards in the work of national partners has strengthened capacities not only in drug policy, but also in data collection and analysis, drug use prevention and treatment of people with drug use disorders. The programme has also supported the establishment of regional alliances and networks of Central Asian professionals and strengthened their cooperation with relevant EU agencies.</w:t>
      </w:r>
    </w:p>
    <w:p w14:paraId="4B685A82" w14:textId="77777777" w:rsidR="467D3676" w:rsidRDefault="467D3676" w:rsidP="2440A688">
      <w:pPr>
        <w:pStyle w:val="af"/>
        <w:shd w:val="clear" w:color="auto" w:fill="FFFFFF" w:themeFill="background1"/>
        <w:spacing w:after="0" w:line="240" w:lineRule="auto"/>
        <w:ind w:firstLine="708"/>
        <w:jc w:val="both"/>
        <w:rPr>
          <w:rFonts w:eastAsia="Times New Roman"/>
          <w:sz w:val="28"/>
          <w:szCs w:val="28"/>
          <w:lang w:val="en-US" w:eastAsia="ru-RU"/>
        </w:rPr>
      </w:pPr>
      <w:r w:rsidRPr="2440A688">
        <w:rPr>
          <w:rFonts w:eastAsia="Times New Roman"/>
          <w:sz w:val="28"/>
          <w:szCs w:val="28"/>
          <w:lang w:val="en-US" w:eastAsia="ru-RU"/>
        </w:rPr>
        <w:t>Moreover, it is obvious that, a special factor in the soft power of the European Union is the fact that it is an important trading partner for the countries of the region and actively promotes cooperation in trade and investment [74</w:t>
      </w:r>
      <w:r w:rsidR="4E4E3394" w:rsidRPr="2440A688">
        <w:rPr>
          <w:rFonts w:eastAsia="Times New Roman"/>
          <w:sz w:val="28"/>
          <w:szCs w:val="28"/>
          <w:lang w:val="en-US" w:eastAsia="ru-RU"/>
        </w:rPr>
        <w:t xml:space="preserve">]. The EU is actively promoting its policy to attract CA states through various </w:t>
      </w:r>
      <w:r w:rsidR="12E7EBD2" w:rsidRPr="2440A688">
        <w:rPr>
          <w:rFonts w:eastAsia="Times New Roman"/>
          <w:sz w:val="28"/>
          <w:szCs w:val="28"/>
          <w:lang w:val="en-US" w:eastAsia="ru-RU"/>
        </w:rPr>
        <w:t xml:space="preserve">investment agreements. </w:t>
      </w:r>
      <w:r w:rsidR="65F432DD" w:rsidRPr="2440A688">
        <w:rPr>
          <w:rFonts w:eastAsia="Times New Roman"/>
          <w:sz w:val="28"/>
          <w:szCs w:val="28"/>
          <w:lang w:val="en-US" w:eastAsia="ru-RU"/>
        </w:rPr>
        <w:t>No doubt that the CA countries themselves are becoming increasingly interested in the entry of European investors, mainly European TNCs, and in the introduction of European technological solutions and standards into their economies [</w:t>
      </w:r>
      <w:r w:rsidR="4573E2D2" w:rsidRPr="2440A688">
        <w:rPr>
          <w:rFonts w:eastAsia="Times New Roman"/>
          <w:sz w:val="28"/>
          <w:szCs w:val="28"/>
          <w:lang w:val="en-US" w:eastAsia="ru-RU"/>
        </w:rPr>
        <w:t>74].</w:t>
      </w:r>
    </w:p>
    <w:p w14:paraId="63E22BB5" w14:textId="77777777" w:rsidR="0925B8F5" w:rsidRDefault="0925B8F5" w:rsidP="65E36028">
      <w:pPr>
        <w:pStyle w:val="af"/>
        <w:shd w:val="clear" w:color="auto" w:fill="FFFFFF" w:themeFill="background1"/>
        <w:spacing w:after="0" w:line="240" w:lineRule="auto"/>
        <w:ind w:firstLine="708"/>
        <w:jc w:val="both"/>
        <w:rPr>
          <w:rFonts w:eastAsia="Times New Roman"/>
          <w:sz w:val="28"/>
          <w:szCs w:val="28"/>
          <w:lang w:val="en-US" w:eastAsia="ru-RU"/>
        </w:rPr>
      </w:pPr>
      <w:r w:rsidRPr="50F76268">
        <w:rPr>
          <w:rFonts w:eastAsia="Times New Roman"/>
          <w:sz w:val="28"/>
          <w:szCs w:val="28"/>
          <w:lang w:val="en-US" w:eastAsia="ru-RU"/>
        </w:rPr>
        <w:t>The Strategy also addresses issues of cooperation in the energy sector. It is noted that the EU remains committed to expanding the Southern Energy Corridor in Central Asia and further promoting multilateral energy initiatives. At the same time, the EU is ready to support the development of renewable energy and energy efficiency in Central Asia; is ready to offer its experience and know-how to promote the adoption of high standards of safety, security and ecology in all modes of transport and to promote links along the "transport corridor" Europe - the Caucasus - Central Asia. At the same time, the focus of energy and transport cooperation with Central Asia is on synergy with the relevant initiatives of the European Neighborhood Policy. In view of the growing differences in the economic development of countries in the region, the Council calls on the EU Commission to give its proposals for the effective implementation of the Strategy in accordance with the needs of countries in a renewed partnership.</w:t>
      </w:r>
    </w:p>
    <w:p w14:paraId="4C304E07"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2440A688">
        <w:rPr>
          <w:rFonts w:eastAsia="Times New Roman"/>
          <w:sz w:val="28"/>
          <w:szCs w:val="28"/>
          <w:lang w:val="en-US" w:eastAsia="ru-RU"/>
        </w:rPr>
        <w:t>The main tool for the practical implementation of the Strategy is the relevant regional and bilateral grant programs (DCI, Development Cooperation Instrument), funded within the framework of 7-year EU budget cycles.</w:t>
      </w:r>
    </w:p>
    <w:p w14:paraId="09B0F795"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 It should be noted that the CA states are the third largest recipient of EU assistance after the group of African, Caribbean and Pacific countries (30.5 billion euros) and the group of European partnership countries (15.4 billion euros), which also makes the EU one of the major donors of international aid in the region.</w:t>
      </w:r>
    </w:p>
    <w:p w14:paraId="7D51CC6C"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About a third of the funds allocated for Central Asia (454.2 million euros) are provided for the implementation of regional projects with the simultaneous participation of two or more Central Asian countries. The remaining two-thirds are distributed among bilateral projects with Kyrgyzstan, Tajikistan and Uzbekistan. Previously, Kazakhstan and Turkmenistan were excluded from bilateral aid programs because they were reclassified as upper-middle-income countries.</w:t>
      </w:r>
    </w:p>
    <w:p w14:paraId="052E5B02"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addition to the DCI grant mechanism, support is provided in the form of loans from the European Bank for Reconstruction and Development and the European Investment Bank, which have already invested about 11 billion euros in the region. The third option is a "mixing" of grant aid and borrowed funds. The relevant EU Investment Facility for Central Asia (IFCA) has universal application and can be used to reduce the amount of capital that partner countries must raise for a project in Central Asia. In the period from 2010 to 2016, in a similar “mixed” format, the Central Asian states received more than 1 billion euros, of which 143 million euros were grant assistance (25 projects), and 970 million euros were loans [78].</w:t>
      </w:r>
    </w:p>
    <w:p w14:paraId="67537703"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2440A688">
        <w:rPr>
          <w:rFonts w:eastAsia="Times New Roman"/>
          <w:sz w:val="28"/>
          <w:szCs w:val="28"/>
          <w:lang w:val="en-US" w:eastAsia="ru-RU"/>
        </w:rPr>
        <w:t>The key component in the implementation of the new strategy should be the development of the economic potential of the region, which implies the priority and implementation of programs aimed at improving the investment climate, ensuring sustainable growth of the economies of the Central Asian states, developing human capital and providing employment for the population.</w:t>
      </w:r>
    </w:p>
    <w:p w14:paraId="74DCBB85"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Another important area of cooperation within the framework of the implementation of the Strategy could be the involvement of the Central Asian countries in the European Green Deal, launched in December 2019 at the initiative of the EU, in accordance with which the European Union undertakes to achieve carbon neutrality by 2050. </w:t>
      </w:r>
    </w:p>
    <w:p w14:paraId="6E790770"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According to European functionaries, through fundamental transformations of economic systems and society through the development of a modern, resource-efficient and competitive economy, by 2050, thanks to compensatory measures, a balance will be achieved between emissions and absorption of greenhouse gases. At the same time, the natural capital of the EU will be protected and enhanced, and economic growth will not depend solely on the use of resources. At the same time, it is noted that Europe will not be able to cope with this task alone; close cooperation with international partners is required. In this regard, the EU recognizes the growth potential available in the CA countries and states that it understands the significant problems that they face in working to increase the level of sustainability of their economies [79].</w:t>
      </w:r>
    </w:p>
    <w:p w14:paraId="1EF82DC2"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2440A688">
        <w:rPr>
          <w:rFonts w:eastAsia="Times New Roman"/>
          <w:sz w:val="28"/>
          <w:szCs w:val="28"/>
          <w:lang w:val="en-US" w:eastAsia="ru-RU"/>
        </w:rPr>
        <w:t>At the beginning of 2021, the European Union launched a new environmental program on climate, environment and security in the Green Central Asia region, initiated by Germany [80]. On May 6, 2021, the first meeting of the working group on the issues of the Action Plan being established for the implementation of this initiative was held. At the same time, the project is open to the participation of international stakeholders.</w:t>
      </w:r>
    </w:p>
    <w:p w14:paraId="00E3934F"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After the adoption of the new EU Strategy for Central Asia in June 2019, the European Commission's Directorate General for Development and International Cooperation (GD DEVCO) began developing specific thematic EU development programs for Central Asia for the next European 7-year budget cycle 2021-2027.</w:t>
      </w:r>
    </w:p>
    <w:p w14:paraId="4C2F7EE3"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2440A688">
        <w:rPr>
          <w:rFonts w:eastAsia="Times New Roman"/>
          <w:sz w:val="28"/>
          <w:szCs w:val="28"/>
          <w:lang w:val="en-US" w:eastAsia="ru-RU"/>
        </w:rPr>
        <w:t>Due to the fact that GD DEVCO is working to revise its approaches to project financing, it is expected that Kazakhstan and Turkmenistan will again be able to participate in bilateral projects within the new cycle. At the same time, GD DEVCO plans to significantly increase the total share of regional projects.</w:t>
      </w:r>
    </w:p>
    <w:p w14:paraId="17453CBA"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 new area of ​​cooperation during the COVID-19 pandemic has been the implementation of the Team Europe program in Central Asia aimed at combating the pandemic. The assistance aims to mitigate the immediate and long-term health and socioeconomic challenges caused by the pandemic.</w:t>
      </w:r>
    </w:p>
    <w:p w14:paraId="29385545" w14:textId="77777777" w:rsidR="00DD07CF" w:rsidRDefault="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July 2020, the EU launched a €3 million comprehensive regional Solidarity Program to respond to the COVID-19 crisis in Central Asia, with a focus on Kazakhstan and Turkmenistan. The program will provide support to mitigate the effects of the pandemic outbreak and implement measures to ensure the long-term resilience of national health systems. The European Investment Bank has also mobilized a significant package of loans for the region related to the response to the COVID-19 outbreak.</w:t>
      </w:r>
    </w:p>
    <w:p w14:paraId="6E2D809E" w14:textId="77777777" w:rsidR="00DD07CF" w:rsidRDefault="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As the current EU strategy for Central Asia states, “its strategic geographical location at the crossroads of Europe and Asia, its share of the EU’s energy imports and the market potential of seventy million inhabitants, as well as the EU’s interest in regional security, have made Central Asia an increasingly important partner for the EU.” [6] In light of the Ukrainian crisis, relations between the Central Asian countries and the EU could be significantly strengthened by the launch of two new projects of the Global Gateway initiative (the Team Europe Water, Energy and Climate Initiative and the Team Europe Digital Connectivity Initiative). [7]</w:t>
      </w:r>
    </w:p>
    <w:p w14:paraId="28029B24" w14:textId="77777777" w:rsidR="00DD07CF" w:rsidRDefault="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Currently, the most important item on the EU agenda is overcoming the energy crisis caused by the Russian-Ukrainian conflict: the EU continues to search for alternative energy suppliers. In this regard, Central Asia stands out both in terms of its rich resources (oil, gas, uranium, other essential minerals) and in terms of a safe, short and low-cost route that passes through the Middle Corridor. [9]</w:t>
      </w:r>
    </w:p>
    <w:p w14:paraId="3E49E89F" w14:textId="77777777" w:rsidR="00DD07CF" w:rsidRDefault="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this regard, a large-scale project “Sustainable Energy Connectivity in Central Asia” (SECCA), the budget of which is 6.8 million euros was launched. [10] The main objective of the SECCA project is to support the transition to sustainable energy systems by using the region’s potential in the field of solar, wind and hydropower in accordance with EU best practices.</w:t>
      </w:r>
    </w:p>
    <w:p w14:paraId="4D686C00" w14:textId="77777777" w:rsidR="00DD07CF" w:rsidRDefault="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Furthermore, it is crucial to note that EU increased its engagement in the region and promotes cooperation at the political and economic levels. There have been increased high-level contacts between the EU and Central Asia, including the 18th EU-Central Asia Foreign Ministers’ meeting, held on 17 November 2022 in Samarkand, which focused on finding solutions to common challenges. The latest meeting between Central Asian leaders and the President of the European Council Charles Michel was held in June 2023 in Cholpon-Ata. Addressing the summit, President Kassym-Jomart Tokayev said Kazakhstan is ready to increase exports to the EU on 175 non-primary commodity items worth $2.3 billion in such areas as engineering, iron and steel production, and the food industry.</w:t>
      </w:r>
    </w:p>
    <w:p w14:paraId="6DC02F70"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Among the latest visits was that of Vice President of the European Commission Margaritis Schinas. He began his Central Asian tour on January 15 in Kazakhstan 2024, which he deemed a “key actor in the region’s positive evolution.”</w:t>
      </w:r>
    </w:p>
    <w:p w14:paraId="59D43C1C" w14:textId="77777777" w:rsidR="00DD07CF" w:rsidRDefault="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Moreover, among the crucial meetings between EU and Central Asia, we can note EU-Central Asia Connectivity Conference, held on 18 November 2022, the second EU-Central Asia Economic Forum, held from 18 to 19 May 2023, the fourth EU-Central Asia Civil Society Forum, held on 10 March 2023, and the seventh EU-Central Asia High-Level Conference on Environment and Water Resources, held from 23 to 24 February 2023, the 19th EU-Central Asia Ministerial Meeting held on 23 October 2023. </w:t>
      </w:r>
    </w:p>
    <w:p w14:paraId="74869460" w14:textId="77777777" w:rsidR="00DD07CF" w:rsidRDefault="00DD07CF">
      <w:pPr>
        <w:pStyle w:val="af"/>
        <w:shd w:val="clear" w:color="auto" w:fill="FFFFFF" w:themeFill="background1"/>
        <w:spacing w:after="0" w:line="240" w:lineRule="auto"/>
        <w:ind w:firstLine="708"/>
        <w:jc w:val="both"/>
        <w:rPr>
          <w:rFonts w:eastAsia="Times New Roman"/>
          <w:sz w:val="28"/>
          <w:szCs w:val="28"/>
          <w:lang w:val="en-US" w:eastAsia="ru-RU"/>
        </w:rPr>
      </w:pPr>
    </w:p>
    <w:p w14:paraId="0D87AD03" w14:textId="77777777" w:rsidR="00DD07CF" w:rsidRDefault="0BE2D7A4">
      <w:pPr>
        <w:pStyle w:val="af"/>
        <w:shd w:val="clear" w:color="auto" w:fill="FFFFFF" w:themeFill="background1"/>
        <w:spacing w:after="0" w:line="240" w:lineRule="auto"/>
        <w:ind w:firstLine="708"/>
        <w:jc w:val="both"/>
        <w:rPr>
          <w:rFonts w:eastAsia="Times New Roman"/>
          <w:b/>
          <w:bCs/>
          <w:sz w:val="28"/>
          <w:szCs w:val="28"/>
          <w:lang w:val="en-US" w:eastAsia="ru-RU"/>
        </w:rPr>
      </w:pPr>
      <w:r w:rsidRPr="0BE2D7A4">
        <w:rPr>
          <w:rFonts w:eastAsia="Times New Roman"/>
          <w:b/>
          <w:bCs/>
          <w:sz w:val="28"/>
          <w:szCs w:val="28"/>
          <w:lang w:val="en-US" w:eastAsia="ru-RU"/>
        </w:rPr>
        <w:t xml:space="preserve">2.2. Factors of Central Asia integration under the new EU Strategy </w:t>
      </w:r>
    </w:p>
    <w:p w14:paraId="6FD3DA95"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Central Asia, which includes the post-Soviet countries of Kazakhstan, Kyrgyzstan, Uzbekistan, Tajikistan and Turkmenistan, is a region with common ethnic, historical, religious and cultural roots. It is no coincidence that after declaring their independence in the early 1990s, the countries of Central Asia voiced their interest in the idea of ​​a regional community. In January 1994, an agreement was signed in Tashkent on the establishment of the Central Asian Economic Community (CAEC) between Uzbekistan and Kazakhstan, which was soon joined by Kyrgyzstan. The countries have started developing and implementing projects aimed at deepening economic integration in Central Asia. In the very first years, the leaders of the countries signed a number of fundamental documents clearly emphasizing their vision that the region is unified, namely Central Asian.</w:t>
      </w:r>
    </w:p>
    <w:p w14:paraId="400B732F"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It should be noted the ambitiousness of the initiatives that have taken place in the new history of Central Asia. Under the Central Asian, the Intergovernmental Council, the Council of Foreign Ministers, the Council of Defense Ministers, as well as the peacekeeping battalion - Tsentrazbat were established. In addition, the Central Asian Bank for Cooperation and Development was established with an initial capital of $9 million [1]. The parties even talked about plans to create a Central Asian Parliament. In April 1995, in Bishkek, the prime ministers of Kazakhstan, Kyrgyzstan and Uzbekistan signed a 5-year economic integration plan. In December 1997, in Astana, the presidents of the countries signed a protocol on the formation of an international consortium for energy, water resources, food, minerals and raw materials. In 1998, the ministers of Uzbekistan, Kazakhstan and Kyrgyzstan discussed the main issues of water allocation, the environment, migration policy and economic development. Tajikistan joined the group in 1998 - after which the countries signed an agreement on the creation of a hydropower consortium and agreed on common principles for creating a single market. Paying attention to the dynamics of leadership meetings, some researchers noted that Central Asia was able to develop supranational coordinating structures that were more effective than the CIS mechanisms [2]. It should be emphasized that due to the proclaimed neutrality of Turkmenistan, the country did not join the initiatives, however, President S. Niyazov also spoke about the need to create a Confederation of five Central Asian republics in the mid-90s [3].</w:t>
      </w:r>
    </w:p>
    <w:p w14:paraId="69FC24CB"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 Despite a positive start, integration proved to be unattainable in subsequent years. As a result of friction between the countries, after the ambitious Central Asian Union, the cooperation was renamed the Central Asian Economic Community (CAEC), and then the Central Asian Cooperation Organization CACO (December 2001). On the initiative of Uzbekistan, in May 2004 Russia was invited to the CACO. There is an opinion that Russia was called upon to become a mediator in protracted disputes between the countries themselves, which at that time turned out to be weaker than their own integration initiatives [4]. Further, the CACO merged with the Eurasian Economic Community (EurAsEC) and ceased to exist.</w:t>
      </w:r>
    </w:p>
    <w:p w14:paraId="03C6491A"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It should be noted that only a couple of years will pass, and in 2007 the President of Kazakhstan, Nursultan Nazarbayev, will again try to come up with the idea of a Central Asian Union, which would include all 5 states of the region, between which there should be free movement of goods, services, capital and people [5]. Since the idea did not find a response, the Central Asia project became almost a utopia, and attempts to revive it ceased.</w:t>
      </w:r>
    </w:p>
    <w:p w14:paraId="1BE55B01"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question must be asked, how constructive is the denial of the unity of the region, if its place in the world of the 21st century depends on its economic integration? It was economic cooperation, and then the integration of Europe, that allowed the latter to rise from the ashes of war and be reborn as a world center of power. The geostrategic position of Central Asia deprives it of its access to the seas, the availability of valuable natural resources is not eternal, and the location in the heart of Eurasia in itself dictates the unification of the region in order not to remain on the periphery of world development. The founder of neofunctionalism, the leading theory of European integration, Ernst Haas, studied the issue of applying European experience outside [6]. Central Asia has certain characteristics that make it similar to Europe before integration. The latter means that if the parties are interested, it can be the very unique region where the European experience can be successfully adapted.</w:t>
      </w:r>
    </w:p>
    <w:p w14:paraId="60AB78F3" w14:textId="77777777" w:rsidR="00DD07CF" w:rsidRDefault="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advantage of Central Asia is that the mutual interest in resolving conflict problems, as well as the still existing economic ties between countries, i.e. interdependence, create more favorable conditions for integration, in contrast to war-torn Europe.</w:t>
      </w:r>
    </w:p>
    <w:p w14:paraId="5DB1016E"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Secondly, as in pre-integration of Europe, Central Asia has vital sectors and lack of resources on which the functioning of economies depends. In Europe of the last century, the production of steel and coal had to become accountable to a regional coordinating center in order to reduce tension between France and Germany, the engines of European integration. Having solved the problem of coal and steel, Europe began to integrate in the transport sector, then in trade, in agriculture, and so on. The concept of "spillover" ("spread" or "flow") E. Haas says that success in the integration of one sector of the economy inevitably leads to success in another sector. In Central Asia, water use and energy supply are the stumbling blocks, and this has been the focus of regional cooperation initiatives. Thus, if the countries of the region manage to mutually recognize that water is a common resource and resolve the problems of water use, they will automatically be able to agree on energy supply. If they integrate the transport sector, then this will force them to cooperate in trade and customs policy, etc.</w:t>
      </w:r>
    </w:p>
    <w:p w14:paraId="096F16E5"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Thirdly, the similarity is the presence of external threats, both real and perceived. This includes not only the geopolitical rivalry of powers and their interest in dominating this energy-rich region, but also transnational threats. Like Europe rallying against communism, Central Asians are united in their perception of threats such as drug trafficking, terrorism, and the ideology that fuels them. It was the security sphere that became the key one, where the will of the countries was united. Analysts argue that during the CAEC, an agreement on the joint fight against terrorism, political and religious extremism, transnational organized crime and security issues was a significant result [8]. One can also add to this the creation of a nuclear-weapon-free zone in Central Asia, one of the significant achievements of regional cooperation to this day.</w:t>
      </w:r>
    </w:p>
    <w:p w14:paraId="6EB83A52"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Fourth, nationalism often ran counter to countries' aspirations for integration. Certain aspects of the theories of European integration have found their confirmation here as well. Thus, for example, the initially positive aspirations of countries were hampered by friction between countries that did not want to give up their independence ambitions. It is worth recalling the work of Leon Lindberg, another representative of neo-functionalism, who wrote about the paradox that progress in integration can lead to the opposite result, since integration generates “stress” for states [9]. Lindbergh stressed that "stress" can, at its worst, lead to the opposite process, namely a spill-back state. Thus, he drew attention to some misfires in the European project since the 1960s, when, despite the agreement on the establishment of the European Coal and Steel Community in 1958, i.e. the existence of a supranational mechanism, European countries still preferred to solve coal problems on a bilateral basis. In addition, there was a situation where, despite talk of unity, EU members also introduced non-tariff barriers to protect their economies from competition. This process was embodied in Central Asia: for example, in 2000, Kazakhstan unilaterally left the tariff and non-tariff regulation of trade in Central Asia [10]. In turn, the policy of Uzbekistan in relation to currency regulation also acted as a serious obstacle to integration.</w:t>
      </w:r>
    </w:p>
    <w:p w14:paraId="5AE77882" w14:textId="77777777" w:rsidR="00DD07CF" w:rsidRDefault="0BE2D7A4">
      <w:pPr>
        <w:pStyle w:val="af"/>
        <w:shd w:val="clear" w:color="auto" w:fill="FFFFFF" w:themeFill="background1"/>
        <w:spacing w:after="0" w:line="240" w:lineRule="auto"/>
        <w:ind w:firstLine="708"/>
        <w:jc w:val="both"/>
        <w:rPr>
          <w:rFonts w:eastAsia="Times New Roman"/>
          <w:sz w:val="28"/>
          <w:szCs w:val="28"/>
          <w:lang w:val="en-US" w:eastAsia="ru-RU"/>
        </w:rPr>
      </w:pPr>
      <w:r w:rsidRPr="60ECF5C7">
        <w:rPr>
          <w:rFonts w:eastAsia="Times New Roman"/>
          <w:sz w:val="28"/>
          <w:szCs w:val="28"/>
          <w:lang w:val="en-US" w:eastAsia="ru-RU"/>
        </w:rPr>
        <w:t>Fifth, the formation of Europe went along with the debate between supporters of a single region and Eurosceptics. Many called the idea of ​​a united Europe a utopia and an unattainable goal. Nevertheless, Europe was also built under the influence of Eurosceptics. Due to the strong position of Europessimists in the UK, the country decided to leave the European Union by 2018 as a result of a 2016 referendum [11]. However, since the UK initially had an uneasy relationship with the EU, its exit does not mean the end of the European project. A similar situation with regard to the idea of ​​integration is observed in Central Asia, where pessimism about a single community prevails. Skepticism is, in principle, justified, and continued debate is welcome, because the task here is to find the best solution for Central Asia and its development in the world after 2017.</w:t>
      </w:r>
    </w:p>
    <w:p w14:paraId="65781491"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benefits for the parties at many levels speak in favor of the integration of Central Asia. A certain similarity of the prerequisites in the history of the integration of the two regions gives reason to think about how the region should build a strategy for close regional cooperation in the future. As in Europe before integration, the region has a common ideological heritage, different levels of development of countries, external threats, as well as the need for cooperation on controversial issues. In Central Asia, there is still no major external funding, without which the integration of Europe would not have taken place (remember the Marshall Plan for Europe). However, it is important that the need for regional cooperation is emphasized by the EU itself, which carries out its policy in the region mainly on a bilateral basis, but also pays attention to regional projects. As a global economic and political player, Europe is already a conduit for its experience with the region.</w:t>
      </w:r>
    </w:p>
    <w:p w14:paraId="2CA61421"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2007, it is time for a more active EU policy in the region. In December 2006, German Foreign Minister F. Steinmeier stated that despite close historical ties with Russia and China, Central Asia should remain free from any of the monopolies [13]. As early as June 22, 2007, the EU adopted a Partnership Strategy for Central Asia. Thus, the EU has demonstrated its plan for rapprochement with the region and moving away from building relations only on the basis of bilateral Partnership and Cooperation Agreements (PCAs) with the Central Asian republics.</w:t>
      </w:r>
    </w:p>
    <w:p w14:paraId="3D7257B7"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One of the main objectives of the EU policy in the region is its development. A regional strategy for assistance to Central Asia for 2007-2013 is adopted. In 2015, in its conclusions, the Council of Europe noted favorable conditions for further EU policy in the region due to the increase in the package for bilateral and interregional EU cooperation with Central Asia for the period 2014-2020. We are talking about 1.068 billion euros, namely, a 56% increase in the contribution compared to the volume of the program for 2007-2013 [14]. In the same document, the red line is the expediency of promoting regional initiatives in Central Asia.</w:t>
      </w:r>
    </w:p>
    <w:p w14:paraId="68A605CC"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what areas can Europe contribute to integration mechanisms in Central Asia? In the documents of the Council of Europe, special attention is paid to the development of transport, which is one of the barriers to the integration of the countries of Central Asia. Thus, paragraph 15 states: “In the fields of energy and transport, cooperation between the EU and Central Asia should give priority to the integration of Central Asia among themselves and in international markets”, and further “The EU will continue to expand the Southern Energy Corridor to Central Asia and promote multilateral initiatives in energy” [15]. It is also noted here that the EU is ready to offer its experience and know-how technologies in order to facilitate the connecting chains along the Europe-Caucasus-Central Asia transport corridor [16].</w:t>
      </w:r>
    </w:p>
    <w:p w14:paraId="63F984FE"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strategy is aimed at building a solid foundation for effective trade relations. Thus, the EU supports the private sector in Central Asia - within the framework of the CAIP - Central Asia Invest Program, which aims to reduce poverty by increasing the competitiveness of small and medium-sized enterprises in Kazakhstan, Kyrgyzstan, Tajikistan, Turkmenistan and Uzbekistan. The program works at two levels: at the level of Central Asian intermediary organizations (ie chambers of commerce, business associations) and at the political level to improve the business climate [17]. These and other programs show that Europe is pursuing a normative role in Central Asia along with pragmatic interests. The task of the EU, according to researchers, is to promote a new regulatory and institutional framework to create a better business and investment climate in this part of the world [18]. That is why Europe focuses on democratization and respect for human rights as important conditions for promoting economic diversification and liberalization. In response, Central Asia is also trying to liberalize certain sectors of the economy, with varying degrees of success. Despite all the contradictions in the policies of the countries of the region, the main agenda is always the development and growth of economic indicators, including the human development index. In this regard, Europe acts as a kind of value orientation for the peoples of Central Asia, which is also important for future relations between the regions.</w:t>
      </w:r>
    </w:p>
    <w:p w14:paraId="56519C5D"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Interregional cooperation on security issues also deserves special attention. Through certain programs, the EU promotes cooperation between countries. For example, the BOMCA project - Border Management Program in Central Asia - is the largest regional program fully sponsored by the EU. Approximately 33 million US dollars were allocated for this program alone between 2003 and 2014 [19]. The main goal is to reduce the supply of narcotic substances from Afghanistan passing through the so-called "northern route". Another program is CADAP - Central Asia Drug Action Program, which focuses on reducing the demand for opiates and other drugs. The task of protecting the borders, as well as combating the transnational threat of drug trafficking, requires the coordination of all Central Asian structures, thus these two EU projects are already contributing to establishing a dialogue at the regional level.</w:t>
      </w:r>
    </w:p>
    <w:p w14:paraId="0ED050AC"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It is also important that European diplomats also promote cooperation between countries on controversial regional issues, including water use. The EU has held many forums on this topic between the parties, and it is known that the former Special Representative for Central Asia, Pierre Morel, spent a lot of effort and time helping Tajikistan and Uzbekistan to come to a mutually satisfactory solution [20]. At the request of Tajikistan, Morel also notified Dushanbe of Brussels' readiness to sponsor the construction of small hydropower plants worth $60 million [21].</w:t>
      </w:r>
    </w:p>
    <w:p w14:paraId="6341660B"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Europe is also sponsoring education initiatives (EUEI - EU Education Initiative) in order to raise the standards of education and training in the education sector in the region, as well as to establish research and academic dialogue. Of particular note is the presence of CAREN (Central Asia Research and Education Network), designed to exchange ideas, which, as emphasized, should contribute to a regular political dialogue between the parties [22].</w:t>
      </w:r>
    </w:p>
    <w:p w14:paraId="6F892A2F"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continuation and deepening of this cooperation depends on the Central Asian countries. Countries can put forward their own initiatives, the sponsorship of which by the EU will contribute to closer regional cooperation [23]. Here it is worth paying attention to the changes that took place in Uzbekistan at the end of 2016. In the key country of the region, without whose participation regional integration is impossible, a wind of change has blown, albeit still very lightly.</w:t>
      </w:r>
    </w:p>
    <w:p w14:paraId="1CA70034"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With the departure of the first president, Islam Karimov, a new leader, Shavkat Mirziyoyev, came to power in Uzbekistan. In Tashkent, they are now talking more openly about the dialogue between the executive branch and the people, the accountability of the authorities to the people, and the necessary liberalization. Uzbekistan is signaling its intention to improve relations with its neighbors, which has been reinforced by actions: Tashkent has initiated regional contacts at the government level.</w:t>
      </w:r>
    </w:p>
    <w:p w14:paraId="03FB25A0"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Europe, this was noticed, in March 2017, a dialogue was resumed with the EBRD, relations with which had been cool since 2003. Importantly, on the eve of the visit to Uzbekistan, the president of the bank, S. Chakraborty, said that he sees several areas for cooperation, including regional interconnections (connectivity) and integration [24].</w:t>
      </w:r>
    </w:p>
    <w:p w14:paraId="063D46FA"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It is important that the first state visits of President Sh. Mirziyoyev were trips to Turkmenistan and Kazakhstan. As a result of the business forum in Astana, 75 contracts were signed for an amount exceeding 1 billion US dollars [25]. It is also noted that the work done to open borders, mutual transport and trade has led to the fact that mutual trade between Uzbekistan and Kazakhstan has grown by 30% over the past 5 months [26].</w:t>
      </w:r>
    </w:p>
    <w:p w14:paraId="5C47CBFB"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These changes make it possible to talk about the possibility of resuming discussions about regional integration. At the moment, intra-regional trade in Central Asia is very modest. Officially, it is only 6% of the total regional trade turnover. However, there are opinions of observers that the figure may differ from the real state of affairs, because there is informal trade and exchange of goods due to the entrepreneurial spirit of the people of the region [27]. The only thing holding back transnational trade is the artificial barriers created by certain circles of the region's elites.</w:t>
      </w:r>
    </w:p>
    <w:p w14:paraId="298A5474"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If the new leadership of Uzbekistan has enough political will and resources to strengthen cooperation and remove barriers to regional trade, underdeveloped transport networks will remain a major stumbling block to integration. Here cooperation with Europe can be especially useful and promising. The integration of transport networks would increase trade in the region and increase the attractiveness of Central Asia as a Eurasian transport bridge, as well as a promising new market, which would be in the interests of the EU as well as China. The single market will also contribute to the competitiveness of enterprises as well as the diversification of economies. The opening of internal borders, and the strengthening of external borders from the southern front, will also affect the formation of a powerful market for tourism and services. Again, here we can draw on the experience of Europe, which opened internal borders and took measures to strengthen external borders, while creating the Schengen Information System (Schengen Information System), aimed at providing immigration police with immediate information about the history of potential visitors.</w:t>
      </w:r>
    </w:p>
    <w:p w14:paraId="576DEC22"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Peter Burian, European Union Special Representative for Central Asia, highlighted the progress of regional development in Central Asia and expressed a resolution to expand the potential of economic cooperation during a press briefing on June 8 in the Kazakh capital. </w:t>
      </w:r>
    </w:p>
    <w:p w14:paraId="75231F29" w14:textId="77777777" w:rsidR="00DD07CF" w:rsidRDefault="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Burian noted the positive dynamics of regional development over the past six years, during which Central Asia has been able to become a more cohesive region with common goals and viable mechanisms for internal cooperation. According to him, the EU is ready to act as a reliable partner in the process of sustainable modernization of Central Asia and the implementation of reforms that help the region to diversify its opportunities [86]. </w:t>
      </w:r>
    </w:p>
    <w:p w14:paraId="379828FF" w14:textId="77777777" w:rsidR="00DD07CF" w:rsidRPr="00BE02A5"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0BE02A5">
        <w:rPr>
          <w:rFonts w:eastAsia="Times New Roman"/>
          <w:color w:val="000000" w:themeColor="text1"/>
          <w:sz w:val="28"/>
          <w:szCs w:val="28"/>
          <w:lang w:val="en-US"/>
        </w:rPr>
        <w:t>However. “the thought of national identity through the prism of “national history” largely slows down the integration process,” notes Erkin Baidarov, leading researcher at the Institute of Oriental Studies named after. R.B. Suleimenov of the Science Committee of the Ministry of Education and Science of the Republic of Kazakhstan.</w:t>
      </w:r>
    </w:p>
    <w:p w14:paraId="0F51F619" w14:textId="77777777" w:rsidR="00DD07CF" w:rsidRPr="00BE02A5"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0BE02A5">
        <w:rPr>
          <w:rFonts w:eastAsia="Times New Roman"/>
          <w:color w:val="000000" w:themeColor="text1"/>
          <w:sz w:val="28"/>
          <w:szCs w:val="28"/>
          <w:lang w:val="en-US"/>
        </w:rPr>
        <w:t>The issue of forming a regional identity for Central Asia regained its relevance at the end of December 2022 on the sidelines of the Central Asian Media Forum in Astana, when official representatives of Kyrgyzstan (Suyunbek Kasmambetov) simultaneously spoke about the need to “feel not only part of your country, but also of the general region of Central Asia.” , Secretary of State of the Kyrgyz Republic) and Uzbekistan (Eldor Aripov, ISMR under the President of Uzbekistan), once again showing the relevance of this kind of discussions both in the academic and socio-political spheres of the countries of the region.</w:t>
      </w:r>
    </w:p>
    <w:p w14:paraId="3BD0D96C" w14:textId="77777777" w:rsidR="00DD07CF" w:rsidRPr="00BE02A5"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0BE02A5">
        <w:rPr>
          <w:rFonts w:eastAsia="Times New Roman"/>
          <w:color w:val="000000" w:themeColor="text1"/>
          <w:sz w:val="28"/>
          <w:szCs w:val="28"/>
          <w:lang w:val="en-US"/>
        </w:rPr>
        <w:t>The countries of Central Asia, together representing a kind of “vagina gentium” (“cradle of nations”), at the present stage of their development, in addition to creating and strengthening their national institutions, are more engaged in the formation of their national identity, which has acquired the path of reinterpretation of history.</w:t>
      </w:r>
    </w:p>
    <w:p w14:paraId="7D34A14C" w14:textId="77777777" w:rsidR="00DD07CF"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BE2D7A4">
        <w:rPr>
          <w:rFonts w:eastAsia="Times New Roman"/>
          <w:color w:val="000000" w:themeColor="text1"/>
          <w:sz w:val="28"/>
          <w:szCs w:val="28"/>
          <w:lang w:val="en-US"/>
        </w:rPr>
        <w:t xml:space="preserve">Thus, the idea of national identity through the prism of “national history” that is “sitting” in the consciousness of the Central Asian society (primarily its political elite) largely slows down the integration process. The process of forming national symbols is in full swing, around which a universal ideology is built, where the “first violin” is played by the heads of Central Asian states, who, due to certain circumstances, are not aware of the detrimental nature of such “deconstructions” for the future development of the region [87]. </w:t>
      </w:r>
    </w:p>
    <w:p w14:paraId="3415C627" w14:textId="77777777" w:rsidR="00DD07CF" w:rsidRPr="00BE02A5"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0BE02A5">
        <w:rPr>
          <w:rFonts w:eastAsia="Times New Roman"/>
          <w:color w:val="000000" w:themeColor="text1"/>
          <w:sz w:val="28"/>
          <w:szCs w:val="28"/>
          <w:lang w:val="en-US"/>
        </w:rPr>
        <w:t>The European Union is interested in promoting the formation of Central Asia as an international region in the form of a regional integration association and establishing interregional cooperation with it in the future in various fields.</w:t>
      </w:r>
    </w:p>
    <w:p w14:paraId="465F0581" w14:textId="77777777" w:rsidR="00DD07CF" w:rsidRPr="00BE02A5"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0BE02A5">
        <w:rPr>
          <w:rFonts w:eastAsia="Times New Roman"/>
          <w:color w:val="000000" w:themeColor="text1"/>
          <w:sz w:val="28"/>
          <w:szCs w:val="28"/>
          <w:lang w:val="en-US"/>
        </w:rPr>
        <w:t>In this regard, Kazakhstan is seen by the European Union as an uncontested leader, a regional power capable and willing to become not only a kind of locomotive of integration processes in the region, but also a “bridge” between the European Union and Central Asia on the basis of its declared Eurasian identity and readiness to accept the norms and values of the European Union. It was Kazakhstan that was the first to conclude a bilateral agreement with the European Union on enhanced partnership and cooperation in December 2015, having achieved undoubted progress in the harmonization of norms. A second such agreement was signed with Kyrgyzstan in July 2019, and Tajikistan and Uzbekistan have been negotiating a similar agreement with the EU since November 2018.</w:t>
      </w:r>
    </w:p>
    <w:p w14:paraId="16EE2DFD" w14:textId="77777777" w:rsidR="00DD07CF" w:rsidRPr="00BE02A5"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0BE02A5">
        <w:rPr>
          <w:rFonts w:eastAsia="Times New Roman"/>
          <w:color w:val="000000" w:themeColor="text1"/>
          <w:sz w:val="28"/>
          <w:szCs w:val="28"/>
          <w:lang w:val="en-US"/>
        </w:rPr>
        <w:t>The annual summit of heads of state and government of Central Asia has become an informal institution promoting integration processes in the region. The first such summit took place in the capital of Kazakhstan in March 2018. The second, lasting five days, took place in November 2019 in the capital of Uzbekistan and coincided with an EU-sponsored and organized two-day conference in the Kazakh capital Nur-Sultan on the topic “Strengthening integration and ensuring prosperity in Central Asia.” EU Ambassador to Kazakhstan Sven-Olof Carlsson explained the incident as a “happy coincidence”</w:t>
      </w:r>
    </w:p>
    <w:p w14:paraId="3F9E187F" w14:textId="77777777" w:rsidR="00DD07CF"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0BE02A5">
        <w:rPr>
          <w:rFonts w:eastAsia="Times New Roman"/>
          <w:color w:val="000000" w:themeColor="text1"/>
          <w:sz w:val="28"/>
          <w:szCs w:val="28"/>
          <w:lang w:val="en-US"/>
        </w:rPr>
        <w:t xml:space="preserve"> However, the heads of state of Kazakhstan, Kyrgyzstan and Tajikistan arrived in Tashkent after participating in a meeting of the CSTO Collective Security Council in the capital of the Kyrgyz Republic, Bishkek, on November 28.</w:t>
      </w:r>
    </w:p>
    <w:p w14:paraId="0F1B4D67" w14:textId="77777777" w:rsidR="00DD07CF" w:rsidRPr="00BE02A5"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0BE02A5">
        <w:rPr>
          <w:rFonts w:eastAsia="Times New Roman"/>
          <w:color w:val="000000" w:themeColor="text1"/>
          <w:sz w:val="28"/>
          <w:szCs w:val="28"/>
          <w:lang w:val="en-US"/>
        </w:rPr>
        <w:t>Of course, the establishment of such an informal consultative forum is in the interests of the European Union. This not only complements its multilateral cooperation with the countries of the region (the European Union is an active supporter of the principle of multilateralism in world politics), but also helps to strengthen trust and mutual understanding between the Central Asian republics regarding the discussion of regional challenges and threats, the search for answers to them, including with the participation of with EU support. For example, the shortage of water resources - this problem has more than once become a source of territorial disputes and conflicts in the region, environmental protection, border control, countering terrorist activities, transnational organized crime and drug trafficking, economic and social development, etc.</w:t>
      </w:r>
    </w:p>
    <w:p w14:paraId="2FE7D225" w14:textId="77777777" w:rsidR="00DD07CF" w:rsidRPr="00BE02A5"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0BE02A5">
        <w:rPr>
          <w:rFonts w:eastAsia="Times New Roman"/>
          <w:color w:val="000000" w:themeColor="text1"/>
          <w:sz w:val="28"/>
          <w:szCs w:val="28"/>
          <w:lang w:val="en-US"/>
        </w:rPr>
        <w:t xml:space="preserve">The problems and prospects of intraregional economic cooperation are of particular importance: today, trade in goods between the economies of the region has extremely small volumes (according to experts, no more than 5%). Paradoxically, there is still no direct air connection between the Central Asian capitals: such travel by plane can only be done through the international airport of Turkish Istanbul. It is possible that in the future it is possible to create a regional economic integration project with the participation of Afghanistan. A trilateral cooperation program between Kazakhstan, the European Union and Afghanistan is already being implemented. Thus, the European Union is co-financing the training of peaceful professions in universities in Kazakhstan for young people, including women, from Afghanistan [88]. </w:t>
      </w:r>
    </w:p>
    <w:p w14:paraId="7EA67C49" w14:textId="77777777" w:rsidR="00DD07CF"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BE2D7A4">
        <w:rPr>
          <w:rFonts w:eastAsia="Times New Roman"/>
          <w:color w:val="000000" w:themeColor="text1"/>
          <w:sz w:val="28"/>
          <w:szCs w:val="28"/>
          <w:lang w:val="en-US"/>
        </w:rPr>
        <w:t xml:space="preserve">There is a risk that other external players, primarily China, will benefit from the European Union’s efforts to promote integration processes in Central Asia. Moreover, to the Central Asian political elites his actions in the region seem simpler and more understandable. There is a well-known joke by Peter Burian, Special Representative of the European Commission for Central Asia: “China comes (to Central Asia - I.P.) with an offer that no one can refuse, while the EU comes with an offer that no one can understand" [89]. </w:t>
      </w:r>
    </w:p>
    <w:p w14:paraId="1A39F9C8" w14:textId="77777777" w:rsidR="00DD07CF" w:rsidRPr="00BE02A5" w:rsidRDefault="0BE2D7A4" w:rsidP="0BE2D7A4">
      <w:pPr>
        <w:pStyle w:val="af"/>
        <w:shd w:val="clear" w:color="auto" w:fill="FFFFFF" w:themeFill="background1"/>
        <w:spacing w:after="0" w:line="240" w:lineRule="auto"/>
        <w:ind w:firstLine="708"/>
        <w:jc w:val="both"/>
        <w:rPr>
          <w:rFonts w:eastAsia="Times New Roman"/>
          <w:color w:val="000000" w:themeColor="text1"/>
          <w:sz w:val="28"/>
          <w:szCs w:val="28"/>
          <w:lang w:val="en-US"/>
        </w:rPr>
      </w:pPr>
      <w:r w:rsidRPr="00BE02A5">
        <w:rPr>
          <w:rFonts w:eastAsia="Times New Roman"/>
          <w:color w:val="000000" w:themeColor="text1"/>
          <w:sz w:val="28"/>
          <w:szCs w:val="28"/>
          <w:lang w:val="en-US"/>
        </w:rPr>
        <w:t>For the long term, the European Union is aimed at an economic, political and cultural presence in the region, aiming to achieve, albeit not quickly, but consistently, the readiness of Central Asian societies to accept in a positive way the principles and values of the EU, primarily in such promising areas for the European Union as business activities and support of small and medium-sized businesses, use of water resources, environmental protection, education, science, culture, border control and counting on corresponding economic returns.</w:t>
      </w:r>
    </w:p>
    <w:p w14:paraId="187F57B8" w14:textId="77777777" w:rsidR="0087145E" w:rsidRDefault="0087145E" w:rsidP="0BE2D7A4">
      <w:pPr>
        <w:pStyle w:val="af"/>
        <w:shd w:val="clear" w:color="auto" w:fill="FFFFFF" w:themeFill="background1"/>
        <w:spacing w:after="0" w:line="240" w:lineRule="auto"/>
        <w:ind w:firstLine="708"/>
        <w:jc w:val="both"/>
        <w:rPr>
          <w:rFonts w:eastAsia="Times New Roman"/>
          <w:b/>
          <w:bCs/>
          <w:sz w:val="28"/>
          <w:szCs w:val="28"/>
          <w:lang w:val="en-US"/>
        </w:rPr>
      </w:pPr>
    </w:p>
    <w:p w14:paraId="4D95A149" w14:textId="77777777" w:rsidR="0087145E" w:rsidRPr="00FC6AE4" w:rsidRDefault="0BE2D7A4" w:rsidP="00D701F5">
      <w:pPr>
        <w:pStyle w:val="af"/>
        <w:shd w:val="clear" w:color="auto" w:fill="FFFFFF" w:themeFill="background1"/>
        <w:spacing w:after="0" w:line="240" w:lineRule="auto"/>
        <w:ind w:firstLine="708"/>
        <w:jc w:val="both"/>
        <w:rPr>
          <w:rFonts w:eastAsia="Times New Roman"/>
          <w:b/>
          <w:bCs/>
          <w:sz w:val="28"/>
          <w:szCs w:val="28"/>
          <w:lang w:val="en-US"/>
        </w:rPr>
      </w:pPr>
      <w:r w:rsidRPr="0BE2D7A4">
        <w:rPr>
          <w:rFonts w:eastAsia="Times New Roman"/>
          <w:b/>
          <w:bCs/>
          <w:sz w:val="28"/>
          <w:szCs w:val="28"/>
          <w:lang w:val="en-US"/>
        </w:rPr>
        <w:t xml:space="preserve">2.3. EU – CA </w:t>
      </w:r>
      <w:r w:rsidR="0087145E">
        <w:rPr>
          <w:rFonts w:eastAsia="Times New Roman"/>
          <w:b/>
          <w:bCs/>
          <w:sz w:val="28"/>
          <w:szCs w:val="28"/>
          <w:lang w:val="en-US"/>
        </w:rPr>
        <w:t>cooperation in a security and energy context</w:t>
      </w:r>
    </w:p>
    <w:p w14:paraId="4D60CE18"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An important role in the strategy falls on the security aspect: the European Union has taken on the role of coordinator of programs aimed at combating drugs, cross-border crime and strengthening border control in Central Asia. At the same time, special attention was paid to the threat of Islamic radicalism, the task of strengthening law enforcement agencies and reforming the security system in the countries of the region was emphasized.</w:t>
      </w:r>
    </w:p>
    <w:p w14:paraId="6DDD39A2"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The first institutional foundations for the EU security strategy in Central Asia were laid during the meeting of the EU Council of Ministers (April 2001). The outcome of the meeting was the adoption of an action plan for Central Asia in the fight against the spread of drugs, which was a priority in cooperation between the EU and Central Asia. The signing of such international agreements as the Treaty on Conventional Armed Forces in Europe and the Vienna Document 1999 is also an example of security cooperation [90]. </w:t>
      </w:r>
    </w:p>
    <w:p w14:paraId="6E2C107E"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the text of the strategy of the European Union 2007-2013, a number of tasks are put forward in the context of strengthening security in the states of the region, in particular:</w:t>
      </w:r>
    </w:p>
    <w:p w14:paraId="713214D3" w14:textId="77777777" w:rsidR="00DD07CF" w:rsidRDefault="0BE2D7A4" w:rsidP="0BE2D7A4">
      <w:pPr>
        <w:pStyle w:val="ae"/>
        <w:numPr>
          <w:ilvl w:val="0"/>
          <w:numId w:val="23"/>
        </w:numPr>
        <w:spacing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creating conditions that ensure border security</w:t>
      </w:r>
    </w:p>
    <w:p w14:paraId="5E8BABCA" w14:textId="77777777" w:rsidR="00DD07CF" w:rsidRDefault="0BE2D7A4" w:rsidP="0BE2D7A4">
      <w:pPr>
        <w:pStyle w:val="ae"/>
        <w:numPr>
          <w:ilvl w:val="0"/>
          <w:numId w:val="23"/>
        </w:numPr>
        <w:spacing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combating regional crime, especially in the international drug trade.</w:t>
      </w:r>
    </w:p>
    <w:p w14:paraId="685E1BE6" w14:textId="77777777" w:rsidR="00DD07CF" w:rsidRDefault="0BE2D7A4" w:rsidP="0BE2D7A4">
      <w:pPr>
        <w:pStyle w:val="ae"/>
        <w:numPr>
          <w:ilvl w:val="0"/>
          <w:numId w:val="23"/>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promoting cooperation in the field of combating illegal migration, drug trafficking, organized crime</w:t>
      </w:r>
    </w:p>
    <w:p w14:paraId="7AE12BF7"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thesis “…the EU will provide enhanced support in the fight against corruption, drug and human trafficking, illegal arms trade with Afghanistan and organized crime in Central Asia” became decisive. The EU will expand cooperation with the countries of Central Asia in the fight against international terrorism…” [91]. In the direction of security, the EU made the main emphasis on ensuring the security of the state borders of the Central Asian countries as an important condition for countering transnational organized crime, drug trafficking, illegal migration, human trafficking, etc.</w:t>
      </w:r>
    </w:p>
    <w:p w14:paraId="15655521"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Moreover, the interest of the EU lies in security and stability, as well as commitment to human rights and the rule of law in the countries of Central Asia, because:</w:t>
      </w:r>
    </w:p>
    <w:p w14:paraId="5479EC57"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strategic, political and economic development, as well as the growing number of inter-regional problems in Central Asia directly or indirectly affect the interests of the EU;</w:t>
      </w:r>
    </w:p>
    <w:p w14:paraId="23779137"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with the enlargement of the EU, the inclusion of the South Caucasus region in the European Neighborhood Policy and the Joint Action Initiative in the Black Sea Region, Central Asia and the EU are getting closer to each other;</w:t>
      </w:r>
    </w:p>
    <w:p w14:paraId="618EC2A9"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Central Asia's substantial energy resources and the region's goal of diversifying trading partners and supply routes contribute to meeting the EU's energy security and supply needs.</w:t>
      </w:r>
    </w:p>
    <w:p w14:paraId="1FBD9AB6" w14:textId="77777777" w:rsidR="00DD07CF" w:rsidRPr="00BE02A5"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The EU is confident that strengthening the commitment of the countries of Central Asia to international law, the rule of law, human rights and democratic values, as well as a market economy, will contribute to security and stability in Central Asia, making the countries of this region become reliable partners of the EU and share common interests and goals [92]. </w:t>
      </w:r>
    </w:p>
    <w:p w14:paraId="57C8D341"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The EU is determined to deepen cooperation with the countries of Central Asia in the field of border control, migration and mobility and in addressing common security issues. In doing so, it plans a comprehensive approach through appropriate cooperation that addresses the root causes of instability, including poverty, social exclusion, marginalization, limited political participation, weak institutions, corruption and unsustainable use of natural resources. The main areas of security cooperation are: </w:t>
      </w:r>
    </w:p>
    <w:p w14:paraId="19B93033" w14:textId="77777777" w:rsidR="00DD07CF" w:rsidRDefault="0BE2D7A4" w:rsidP="0087145E">
      <w:pPr>
        <w:pStyle w:val="ae"/>
        <w:numPr>
          <w:ilvl w:val="0"/>
          <w:numId w:val="22"/>
        </w:numPr>
        <w:spacing w:after="0" w:line="240" w:lineRule="auto"/>
        <w:ind w:left="0"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Climate change and environmental degradation, which implies the intention of the EU to bring together issues of ecology, climate and security in the framework of political dialogue with the countries of the region. There will also be an emphasis on conflict prevention and disaster risk reduction.</w:t>
      </w:r>
    </w:p>
    <w:p w14:paraId="782F0FA5" w14:textId="77777777" w:rsidR="00DD07CF" w:rsidRDefault="0BE2D7A4" w:rsidP="0087145E">
      <w:pPr>
        <w:pStyle w:val="ae"/>
        <w:numPr>
          <w:ilvl w:val="0"/>
          <w:numId w:val="22"/>
        </w:numPr>
        <w:spacing w:after="0" w:line="240" w:lineRule="auto"/>
        <w:ind w:left="0"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Countering terrorism and violent extremism, including the establishment of the position of an EU expert on security and counter-terrorism and its regional competence in Central Asia, the exchange of best practices in preventing relevant threats, conducting research on the factors that cause them, prevention measures and combating propaganda. At the same time, as part of the implementation of relevant activities, the EU is focused on interaction with civil society institutions with a constant focus on respect for human rights, ensuring the rule of law and gender mainstreaming.</w:t>
      </w:r>
    </w:p>
    <w:p w14:paraId="00315C01" w14:textId="77777777" w:rsidR="00DD07CF" w:rsidRDefault="0BE2D7A4" w:rsidP="0087145E">
      <w:pPr>
        <w:pStyle w:val="ae"/>
        <w:numPr>
          <w:ilvl w:val="0"/>
          <w:numId w:val="22"/>
        </w:numPr>
        <w:spacing w:after="0" w:line="240" w:lineRule="auto"/>
        <w:ind w:left="0"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 Modern integrated border management covering Afghanistan, including the fight against organized cross-border crime, smuggling of migrants, human trafficking, drug trafficking and use. </w:t>
      </w:r>
    </w:p>
    <w:p w14:paraId="18F2F308" w14:textId="77777777" w:rsidR="00DD07CF" w:rsidRDefault="0BE2D7A4" w:rsidP="0087145E">
      <w:pPr>
        <w:pStyle w:val="ae"/>
        <w:numPr>
          <w:ilvl w:val="0"/>
          <w:numId w:val="22"/>
        </w:numPr>
        <w:spacing w:after="0" w:line="240" w:lineRule="auto"/>
        <w:ind w:left="0"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Improving management in the field of migration and mobility with a focus on issues of illegal migration. This includes cooperation on border security, extradition of irregular migrants, reintegration of returnees, as well as addressing the root causes of irregular migration through the promotion of vocational training, decent conditions and skilled work in countries of origin, support for legal migration channels, the establishment of effective legislation and systems in assistance to victims of human trafficking and persons in need of international protection. In this regard, the EU is ready to assist the countries of Central Asia in developing their national migration policies and establishing cooperation at the regional level.</w:t>
      </w:r>
    </w:p>
    <w:p w14:paraId="04E7A492" w14:textId="77777777" w:rsidR="00DD07CF" w:rsidRDefault="0BE2D7A4" w:rsidP="0087145E">
      <w:pPr>
        <w:pStyle w:val="ae"/>
        <w:numPr>
          <w:ilvl w:val="0"/>
          <w:numId w:val="22"/>
        </w:numPr>
        <w:spacing w:after="0" w:line="240" w:lineRule="auto"/>
        <w:ind w:left="0"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Promoting an open, free and secure cyberspace and strengthening cyber defenses. </w:t>
      </w:r>
    </w:p>
    <w:p w14:paraId="02C06097" w14:textId="77777777" w:rsidR="00DD07CF" w:rsidRDefault="0BE2D7A4" w:rsidP="0087145E">
      <w:pPr>
        <w:pStyle w:val="ae"/>
        <w:numPr>
          <w:ilvl w:val="0"/>
          <w:numId w:val="22"/>
        </w:numPr>
        <w:spacing w:after="0" w:line="240" w:lineRule="auto"/>
        <w:ind w:left="0"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Non-proliferation of weapons of mass destruction and ensuring nuclear security. This, in particular, involves making maximum use of the resources of the Centers of Excellence Initiative to Minimize the Risks Associated with Chemical, Biological, Radiological and Nuclear Materials (CBRN CoE) </w:t>
      </w:r>
    </w:p>
    <w:p w14:paraId="5F56D527"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It is important to note here the seventh meeting of the EU-CA High-Level Political and Security Dialogue, held online on October 20, 2020. It was attended by the Secretary General of the European External Affairs Service Helga Schmidt, vice ministers and other representatives of the foreign ministries of the countries of Central Asia and Afghanistan. The meeting participants discussed the issues of sustainable development of the region, cooperation in the field of rational joint management of transboundary water resources, solving environmental problems and climate change, as well as the main directions of the EU program activities in Central Asia. As a result of the meeting, it was agreed to focus the efforts of the foreign ministries on the implementation of the priorities of the new EU regional strategy. (232) </w:t>
      </w:r>
    </w:p>
    <w:p w14:paraId="7006C6FA" w14:textId="77777777" w:rsidR="0087145E"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meeting participants discussed the issues of sustainable development of the region, cooperation in the field of rational joint management of transboundary water resources, solving environmental problems and climate change, as well as the main directions of the EU program activities in Central Asia. As a result of the meeting, it was agreed to focus the efforts of the foreign ministries on the implementation of the priorities of the new EU regional strategy.</w:t>
      </w:r>
    </w:p>
    <w:p w14:paraId="67F4E442"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It is important to note, that the main instruments for implementing EU security policy are the BOMCA and CADAP programs, implemented since 2003.</w:t>
      </w:r>
    </w:p>
    <w:p w14:paraId="2718EA88"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September, 2020 the European Union-funded Border Management Program (BOMCA) in Central Asia announced the completion of its 9th phase, which covered a five-year thematic work in support of the institutional development of border management authorities, the management of mixed migration flows and the facilitation of trade regimes at the borders of Central Asia. The ninth phase of the BOMCA Program covered the period 2015-2020. with a total budget of 6.6 million euros and was aimed at strengthening the capacity of the border management authorities of Central Asia: border, customs, migration, veterinary and phytosanitary services, as well as relevant institutions of higher education and training centers.</w:t>
      </w:r>
    </w:p>
    <w:p w14:paraId="6E558300"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Based on the concept of integrated border management, the program has completed 223 separate activities involving more than 3,300 civil servants from beneficiary Central Asian agencies. These activities were implemented through soft adaptation measures such as capacity building and awareness raising (professional knowledge, functional skills and specific practices), updating the regulatory framework (legal, strategic, technical, procedural, organizational, methodological and others), strengthening cooperation and information exchange at different levels (intradepartmental, interdepartmental and international). The exchange of know-how and best practices both from the EU member states and among the CA countries was one of the founding principles of the project. In addition, the countries of the region received assistance in the form of equipment for video surveillance and control at border crossing points and modern technologies for educational institutions, totaling more than 500,000 euros [94]. </w:t>
      </w:r>
    </w:p>
    <w:p w14:paraId="62A2AE8E"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BOMCA is a leading program funded by the European Union and implemented by a consortium of European Union partners and the International Center for Migration Policy Development. The consortium of partners is led by the State Border Guard of the Republic of Latvia. The tenth phase, with a total budget of 21.65 million euros, is the largest initiative in the region. The program started on April 1, 2021, its implementation period is 54 months.</w:t>
      </w:r>
    </w:p>
    <w:p w14:paraId="4C3B061C" w14:textId="77777777" w:rsidR="00DD07CF" w:rsidRDefault="7BFC0A0C"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main goal of the BOMCA program is to increase security and stability in the region by promoting sustainable economic development through integrated border management. Thematically, BOMCA 10 covers four components: institutional development, institutional development of border agencies, capacity building in the field of disclosure of violations, trade facilitation and improvement of cross-border cooperation. Geographically, the project covers all five countries of Central Asia. The current phase, building on the achievements and results of previous activities, will continue to support cross-border cooperation and improve the living conditions of people living in the border regions of Central Asia, and will also facilitate legal trade flows across borders.</w:t>
      </w:r>
    </w:p>
    <w:p w14:paraId="2EA8DF57" w14:textId="77777777" w:rsidR="00DD07CF" w:rsidRDefault="014AC96C"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It is important to note the third meeting of the National Steering Group that was held in Turkmenistan on October 9, 2024. This event allowed to assess the progress of the project implementation in the third year and also contributed to the definition of the strategy for the final stage. The event noted that since the beginning of the 10th phase of the BOMCA Program, more than 90 events have been held in four thematic areas, covering 847 representatives of Turkmenistan. This work led to the development of 45 documents, handed over to beneficiaries for further study and application.</w:t>
      </w:r>
    </w:p>
    <w:p w14:paraId="02FCAC59" w14:textId="77777777" w:rsidR="00DD07CF" w:rsidRDefault="05A1086E"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As we remember, the second meeting of the National Steering Group was held in Kazakhstan in 2023. </w:t>
      </w:r>
    </w:p>
    <w:p w14:paraId="3666D539" w14:textId="77777777" w:rsidR="00DD07CF" w:rsidRDefault="1075D3FA"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It is worth noting that since the beginning of the 10th phase, BOMCA has carried out 218 activities in Central Asian countries within the framework of 4 project components aimed at institutional development of border control agencies, increasing capacity in the field of crime detection, facilitating legitimate trade flows across borders and improving cross-border cooperation.</w:t>
      </w:r>
    </w:p>
    <w:p w14:paraId="2899BFCB" w14:textId="77777777" w:rsidR="00DD07CF" w:rsidRDefault="4FC8684C"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In November 2023, a series of celebratory events dedicated to the 20th anniversary of the European Union’s flagship programmes for border management in Central Asia (BOMCA) and  Central Asia </w:t>
      </w:r>
      <w:r w:rsidR="4A997ACD" w:rsidRPr="0BE2D7A4">
        <w:rPr>
          <w:rFonts w:ascii="Times New Roman" w:eastAsia="Times New Roman" w:hAnsi="Times New Roman" w:cs="Times New Roman"/>
          <w:sz w:val="28"/>
          <w:szCs w:val="28"/>
          <w:lang w:val="en-US"/>
        </w:rPr>
        <w:t xml:space="preserve">Drug Action Programme </w:t>
      </w:r>
      <w:r w:rsidRPr="0BE2D7A4">
        <w:rPr>
          <w:rFonts w:ascii="Times New Roman" w:eastAsia="Times New Roman" w:hAnsi="Times New Roman" w:cs="Times New Roman"/>
          <w:sz w:val="28"/>
          <w:szCs w:val="28"/>
          <w:lang w:val="en-US"/>
        </w:rPr>
        <w:t>(CADAP) concluded in Uzbekistan.</w:t>
      </w:r>
    </w:p>
    <w:p w14:paraId="262333BA" w14:textId="77777777" w:rsidR="00DD07CF" w:rsidRDefault="1204F4B6"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H.E. Charlotte Adrian, EU Ambassador to Uzbekistan stresses out a key role of these two </w:t>
      </w:r>
      <w:r w:rsidR="4FC8684C" w:rsidRPr="0BE2D7A4">
        <w:rPr>
          <w:rFonts w:ascii="Times New Roman" w:eastAsia="Times New Roman" w:hAnsi="Times New Roman" w:cs="Times New Roman"/>
          <w:sz w:val="28"/>
          <w:szCs w:val="28"/>
          <w:lang w:val="en-US"/>
        </w:rPr>
        <w:t>initiatives  in strengthening cooperation, stability and development in the regions</w:t>
      </w:r>
      <w:r w:rsidR="3203A898" w:rsidRPr="0BE2D7A4">
        <w:rPr>
          <w:rFonts w:ascii="Times New Roman" w:eastAsia="Times New Roman" w:hAnsi="Times New Roman" w:cs="Times New Roman"/>
          <w:sz w:val="28"/>
          <w:szCs w:val="28"/>
          <w:lang w:val="en-US"/>
        </w:rPr>
        <w:t xml:space="preserve"> over the past two decades</w:t>
      </w:r>
      <w:r w:rsidR="4FC8684C" w:rsidRPr="0BE2D7A4">
        <w:rPr>
          <w:rFonts w:ascii="Times New Roman" w:eastAsia="Times New Roman" w:hAnsi="Times New Roman" w:cs="Times New Roman"/>
          <w:sz w:val="28"/>
          <w:szCs w:val="28"/>
          <w:lang w:val="en-US"/>
        </w:rPr>
        <w:t>. M</w:t>
      </w:r>
      <w:r w:rsidR="5DD70D54" w:rsidRPr="0BE2D7A4">
        <w:rPr>
          <w:rFonts w:ascii="Times New Roman" w:eastAsia="Times New Roman" w:hAnsi="Times New Roman" w:cs="Times New Roman"/>
          <w:sz w:val="28"/>
          <w:szCs w:val="28"/>
          <w:lang w:val="en-US"/>
        </w:rPr>
        <w:t xml:space="preserve">oreover, she </w:t>
      </w:r>
      <w:r w:rsidR="4FC8684C" w:rsidRPr="0BE2D7A4">
        <w:rPr>
          <w:rFonts w:ascii="Times New Roman" w:eastAsia="Times New Roman" w:hAnsi="Times New Roman" w:cs="Times New Roman"/>
          <w:sz w:val="28"/>
          <w:szCs w:val="28"/>
          <w:lang w:val="en-US"/>
        </w:rPr>
        <w:t>believe</w:t>
      </w:r>
      <w:r w:rsidR="43C1E3FE" w:rsidRPr="0BE2D7A4">
        <w:rPr>
          <w:rFonts w:ascii="Times New Roman" w:eastAsia="Times New Roman" w:hAnsi="Times New Roman" w:cs="Times New Roman"/>
          <w:sz w:val="28"/>
          <w:szCs w:val="28"/>
          <w:lang w:val="en-US"/>
        </w:rPr>
        <w:t>s</w:t>
      </w:r>
      <w:r w:rsidR="4FC8684C" w:rsidRPr="0BE2D7A4">
        <w:rPr>
          <w:rFonts w:ascii="Times New Roman" w:eastAsia="Times New Roman" w:hAnsi="Times New Roman" w:cs="Times New Roman"/>
          <w:sz w:val="28"/>
          <w:szCs w:val="28"/>
          <w:lang w:val="en-US"/>
        </w:rPr>
        <w:t xml:space="preserve"> that these EU-funded programmes serve as an important tool for advancing reforms and regional cooperation in Central Asia.</w:t>
      </w:r>
    </w:p>
    <w:p w14:paraId="7A3BE68C" w14:textId="77777777" w:rsidR="00DD07CF" w:rsidRDefault="7BFC0A0C"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The Central Asia Drug </w:t>
      </w:r>
      <w:r w:rsidR="060DB0AD" w:rsidRPr="0BE2D7A4">
        <w:rPr>
          <w:rFonts w:ascii="Times New Roman" w:eastAsia="Times New Roman" w:hAnsi="Times New Roman" w:cs="Times New Roman"/>
          <w:sz w:val="28"/>
          <w:szCs w:val="28"/>
          <w:lang w:val="en-US"/>
        </w:rPr>
        <w:t xml:space="preserve">Action </w:t>
      </w:r>
      <w:r w:rsidRPr="0BE2D7A4">
        <w:rPr>
          <w:rFonts w:ascii="Times New Roman" w:eastAsia="Times New Roman" w:hAnsi="Times New Roman" w:cs="Times New Roman"/>
          <w:sz w:val="28"/>
          <w:szCs w:val="28"/>
          <w:lang w:val="en-US"/>
        </w:rPr>
        <w:t>Program (CADAP) is a European Union initiative to support the development of effective drug demand reduction policies in Central Asia.</w:t>
      </w:r>
    </w:p>
    <w:p w14:paraId="79F46987"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Since its launch in 2003, the CADAP program has supported the governments of Kazakhstan, Kyrgyzstan, Tajikistan, Turkmenistan, and Uzbekistan in various phases to implement strategies and measures to reduce demand for drugs, promote prevention initiatives, and improve the treatment of drug users in public institutions in the region.</w:t>
      </w:r>
    </w:p>
    <w:p w14:paraId="4813BA17"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sixth phase of the CADAP program (CADAP 6) was focused on further strengthening the five beneficiary countries' national drug demand reduction policies towards a vision that emphasizes an evidence-based and balanced public health approach. CADAP has implemented several regional and national initiatives with the official participation and support of Kazakhstan, Kyrgyzstan, Tajikistan, Turkmenistan and Uzbekistan within the political framework of the EU Action Plan on Drug Control in Central Asia 2014-2019 and in line with the EU Drug Control Strategy for 2015–2020.</w:t>
      </w:r>
    </w:p>
    <w:p w14:paraId="6DFF409E"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Under the EU-Central Asia Action Plan on Drugs 2014-2020 and with the support of CADAP 6, Central Asian countries have begun to adapt the methodologies of the European Monitoring Center for Drugs and Drug Addiction, such as joint mission assessment, information maps, national drug information systems action plans, summaries of country situations and preparation of national reports on a general basis.</w:t>
      </w:r>
    </w:p>
    <w:p w14:paraId="4D95047E" w14:textId="77777777" w:rsidR="00DD07CF" w:rsidRPr="00BE02A5" w:rsidRDefault="0BE2D7A4" w:rsidP="0087145E">
      <w:pPr>
        <w:spacing w:after="0" w:line="240" w:lineRule="auto"/>
        <w:ind w:firstLine="709"/>
        <w:jc w:val="both"/>
        <w:rPr>
          <w:rFonts w:ascii="Times New Roman" w:eastAsia="Times New Roman" w:hAnsi="Times New Roman" w:cs="Times New Roman"/>
          <w:sz w:val="28"/>
          <w:szCs w:val="28"/>
          <w:lang w:val="en-US"/>
        </w:rPr>
      </w:pPr>
      <w:r w:rsidRPr="00BE02A5">
        <w:rPr>
          <w:rFonts w:ascii="Times New Roman" w:eastAsia="Times New Roman" w:hAnsi="Times New Roman" w:cs="Times New Roman"/>
          <w:sz w:val="28"/>
          <w:szCs w:val="28"/>
          <w:lang w:val="en-US"/>
        </w:rPr>
        <w:t xml:space="preserve">Through the implementation of CADAP 6, a comprehensive set of aspects of health-oriented drug policy has been covered in the region. As a result, a system of regular monitoring of the drug situation is being created through the national observatory centers on drugs and evidence-based approaches to prevention are being introduced; therefore, public awareness of drug abuse and prevention of drug abuse have increased through prevention programs and school campaigns. In addition, modern methods of treatment and rehabilitation of drug dependence are discussed, which are already used in some countries and are being considered in others [95]. </w:t>
      </w:r>
    </w:p>
    <w:p w14:paraId="5480DF27"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official opening of the 7th phase of the Central Asia Drug Prevention Program (CADAP) took place in Bishkek in March 2022. Furthermore, according to the head of the program Ernest Robello, in accordance with the strategy of the European Union for the fight against drugs for 2021-2025 and the Joint Statement “EU and Central Asia: New Opportunities for Closer Cooperation” CADAP 7 represents a continuation of the EU’s long-term engagement with CA partners to further strengthen their national plans for drug demand reduction and continue cooperation in the development of a comprehensive and balanced drug policy.</w:t>
      </w:r>
    </w:p>
    <w:p w14:paraId="73677792"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overall goal of the 42-month CADAP 7 program is to help reduce drug use and its associated risks and harms. The CADAP program supports the governments of the Central Asian countries in developing a comprehensive and evidence-based drug policy and improving access to quality drug demand reduction services for vulnerable populations, taking into account gender aspects and respect for human rights,” he said.</w:t>
      </w:r>
    </w:p>
    <w:p w14:paraId="35454DAF"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addition, Robello indicated that the program's five main areas of activity are aimed at achieving the following key results:</w:t>
      </w:r>
    </w:p>
    <w:p w14:paraId="7FA89E98"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wider implementation of the evidence-based approach and the inclusion of the 2030 Agenda for Sustainable Development in national and regional drug policy;</w:t>
      </w:r>
    </w:p>
    <w:p w14:paraId="3ACFE947"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strengthening the national information system to obtain objective, reliable, gender-sensitive, evidence-based information on the drug situation, based on EU best practices and international standards;</w:t>
      </w:r>
    </w:p>
    <w:p w14:paraId="5756B560"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improvement of evidence-based prevention programs both in terms of their development and implementation, including with a special focus on youth, women and vulnerable groups of the population;</w:t>
      </w:r>
    </w:p>
    <w:p w14:paraId="2E9EF846"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expanding and improving medical and social responses to drug use by consolidating best practices and better services for drug users;</w:t>
      </w:r>
    </w:p>
    <w:p w14:paraId="2C2D6583"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improving the efficiency and effectiveness of the program by introducing a systematic approach based on gender and human rights in the planning, implementation, monitoring and evaluation of targeted activities.</w:t>
      </w:r>
    </w:p>
    <w:p w14:paraId="1BBDBEB7"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The program is funded by the EU for a total of 6.8 million euros [96]. </w:t>
      </w:r>
    </w:p>
    <w:p w14:paraId="56EA3D4C"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In addition to the above mentioned programs, the European Union takes part in the implementation of the United Nations Global Counter-Terrorism Strategy in Central Asia. This initiative is aimed at eliminating the conditions conducive to terrorist activities, strengthening the capacity to prevent and suppress terrorist activities at the national and regional levels. The initiative was announced at public events in Brussels, Belgium in June 2010 and in New York, United States in September 2010. The first expert meeting on Components I and VI of the Strategy was held in Bratislava (2010), the second expert meeting on Component II of the Strategy was held in Dushanbe (March 2011), the third expert meeting on Component III of the Strategy was held in Almaty, Kazakhstan (2011), the final ministerial meeting was held in Ashgabat, Turkmenistan (2011) [97]. </w:t>
      </w:r>
    </w:p>
    <w:p w14:paraId="0086A8AB"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From 2008 to 2010 The EU and Interpol together with CARICC (Central Asian Regional Information Coordination Center) implemented the project "EU-Interpol: Interpol support in Central Asia". The program was aimed at strengthening the capacity of CARICC law enforcement agencies for regional and international cooperation, more effective fight against domestic and international crime. Within the framework of the project, more than 50 points of the countries of Central Asia were connected to the I-24/7 global communication system to get direct access to secure databases and the Interpol network [98]. </w:t>
      </w:r>
    </w:p>
    <w:p w14:paraId="0713AF11"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rPr>
      </w:pPr>
      <w:r w:rsidRPr="0BE2D7A4">
        <w:rPr>
          <w:rFonts w:eastAsia="Times New Roman"/>
          <w:sz w:val="28"/>
          <w:szCs w:val="28"/>
          <w:lang w:val="en-US"/>
        </w:rPr>
        <w:t xml:space="preserve"> It is well-known that, Central Asian region is an opportunity for the countries of the European Union to diversify the sources of energy supplies. At the same time, a joint solution to the problem of providing energy resources opens up new broad opportunities for developing cooperation that will contribute to the economic growth of the Central Asian region. It is predicted that "in the next 10-15 years, the Central Asian region, along with the main suppliers of world energy supply (the Middle East and the Persian Gulf region), will be of decisive strategic importance in the supply of stable energy sources in the world" [102]. Three of the five Central Asian states have significant energy reserves. “Kazakhstan's resources are the largest, in terms of oil reserves it is among the top ten countries in the world, and in terms of gas reserves it is among the top fifteen. Turkmenistan has large unexplored gas reserves; Uzbekistan is also a significant gas producer” [103]. </w:t>
      </w:r>
    </w:p>
    <w:p w14:paraId="26F790E9"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rPr>
      </w:pPr>
      <w:r w:rsidRPr="0BE2D7A4">
        <w:rPr>
          <w:rFonts w:eastAsia="Times New Roman"/>
          <w:sz w:val="28"/>
          <w:szCs w:val="28"/>
          <w:lang w:val="en-US"/>
        </w:rPr>
        <w:t xml:space="preserve">In 2012, the EU revised its 2007 Strategy for Central Asia, updating the project, which could become an important part of the Southern Gas Corridor (SGC), which was already on its way to connect gas fields in Azerbaijan with European consumers [104]. The Trans-Caspian gas pipeline was the subject of an intergovernmental agreement between Azerbaijan, Turkmenistan and the EU. The connection of Turkmenistan and Azerbaijan would provide a reliable gas supply to Europe and the possibility of scaling the SCG in the future. With those conversations on the table, in November 2011, Russia successfully completed the construction of the Nord Stream gas pipeline, bypassing the Baltic states and Ukraine. In addition, Russian Gazprom was in the process of obtaining the consent of several transit countries. to build the ambitious South Stream gas pipeline across the Black Sea. Although South Stream was put on hold after Russia's clashes with Ukraine in 2014, Moscow remained a major gas supplier to Europe, exporting about 243 billion cubic meters in 2018 [105].  </w:t>
      </w:r>
    </w:p>
    <w:p w14:paraId="280F3233"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The attempts by the European Commission to revive the conversation about the Trans-Caspian gas pipeline have become part of the geopolitical debate about the role of Russia in the post-Soviet space [106]. At that time, Turkmenistan was selling its gas through land pipelines to Russia and China. But its gas was comparatively cheap: Russia bought it at a rather low price of $110 per thousand cubic meters, while its European consumers paid up to $500 per thousand cubic meters; China has taken Turkmen gas as payment for its investment in field development [107]. Therefore, the prospect of delivering gas to European consumers via a more direct route was seen as convenient for Turkmenistan. At the same time, a successful deal with the EU would be a diplomatic coup for Turkmenistan, a country with a dismal record of human rights, civil and political rights. For EU institutions, negotiations on the Trans-Caspian gas pipeline have become a bargaining tool against Russia, mobilized as a direct consequence of its aggression against Ukraine. Russia has also been one of the main obstacles to the construction of an underwater pipeline across the Caspian, given the unsettled legal status of the sea. However, as talks over Ukraine improved, talk of a Trans-Caspian gas pipeline faded, demonstrating yet again that the talks depended on other, more important diplomatic variables.</w:t>
      </w:r>
    </w:p>
    <w:p w14:paraId="3A07CE53"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60ECF5C7">
        <w:rPr>
          <w:rFonts w:eastAsia="Times New Roman"/>
          <w:sz w:val="28"/>
          <w:szCs w:val="28"/>
          <w:lang w:val="en-US" w:eastAsia="ru-RU"/>
        </w:rPr>
        <w:t>As follows from the literature review, by 2014 the supplier diversification strategy had failed, but the EU's energy dependence had worsened. The latest data for 2018 show that since 2000 several EU-27 countries have increased their energy dependence. Overall, in 2018, the EU imported 58% of its energy consumption. Two-thirds of imports are crude oil, followed by 24% gas and 8% solid fossil fuels. The only country in Central Asia in the list of the most significant energy suppliers in the EU is Kazakhstan with a share of 7.2%, far behind Russia (29.8%), but on a par with Iraq (8.7%), Saudi Arabia (7.4% ) and Norway (7.2%) [108]. Before oil prices and output plummeted due to the Russian-Saudi trade spat and the Covid-19 pandemic, in 2019 Kazakhstan’s largest oil fields produced 650,000 bpd at Tengiz, 400,000 bpd at Kashagan and 234 000 bpd from Karachaganak. At the same time, in March 2020, the Caspian Pipeline Consortium reached a record level of oil transportation in the amount of 1.65 million barrels per day [109]. Kazakhstan's annual oil production of about 90 million tons, if fully sold to EU countries, would satisfy only about 17% of total EU consumption.</w:t>
      </w:r>
    </w:p>
    <w:p w14:paraId="6B5AC5E8" w14:textId="77777777" w:rsidR="00DD07CF" w:rsidRPr="00BE02A5"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Accordingly, the Commission's understanding of the meaning of "ensuring the security of energy supplies in the Union" has changed [110]. Although initially interpreted as seeking alternative reliable suppliers of oil, gas, and fossil fuels, it then included the diversification of energy sources through the development of renewable alternatives. From 2021, the Commission and Parliament are strongly focused on reducing carbon emissions, which translates into investments in renewable energy and energy efficiency. This rethinking of their role is projected towards a greener future, but as the rise in gas prices in autumn 2021 shows, it does not eliminate the direct dependence of many member states on supplies from Russia [111]</w:t>
      </w:r>
      <w:r w:rsidRPr="00BE02A5">
        <w:rPr>
          <w:rFonts w:eastAsia="Times New Roman"/>
          <w:sz w:val="28"/>
          <w:szCs w:val="28"/>
          <w:lang w:val="en-US" w:eastAsia="ru-RU"/>
        </w:rPr>
        <w:t>.</w:t>
      </w:r>
    </w:p>
    <w:p w14:paraId="055768F5"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The EU paid more attention to energy issues and the export of hydrocarbon resources from the countries of Central Asia. Its 2007 strategy identified a direct route for delivering gas from Central Asia to Europe as one of the EU's national interests [112]. In 2008, the EU Special Representative's mandate was expanded to "contribute to the articulation of energy security aspects" [113].  The European Union has made significant efforts to achieve its goal of direct gas supplies from Central Asia.</w:t>
      </w:r>
    </w:p>
    <w:p w14:paraId="76B24EC8"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In the absence of an effective multilateral format for interaction in the energy sector and due to strained relations between the states of Central Asia [114], the EU had no choice but to rely on bilateral Memorandums of Understanding. Kazakhstan signed this document in 2006, followed by Turkmenistan in 2008 and Uzbekistan in 2011.</w:t>
      </w:r>
    </w:p>
    <w:p w14:paraId="736C7545"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 xml:space="preserve">In 2011, European Commission President José Manuel Barroso visited Azerbaijan and Turkmenistan to persuade their leaders to supply gas to Europe via the Southern Gas Corridor, “a springboard for increasing Europe's energy security” [115]. The total cost of the Southern Gas Corridor The Gas Corridor was estimated at 40 billion euros [116]. </w:t>
      </w:r>
    </w:p>
    <w:p w14:paraId="3CD7640F"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Pr>
          <w:rFonts w:eastAsia="Times New Roman"/>
          <w:sz w:val="28"/>
          <w:szCs w:val="28"/>
          <w:lang w:val="en-US" w:eastAsia="ru-RU"/>
        </w:rPr>
        <w:t>Until 2011, Nabucco (later renamed Nabucco West) was a trunk pipeline project and enjoyed EU support: “The EU planned to increase its political influence in Azerbaijan and expand its energy cooperation with Turkmenistan to access Turkmen hydrocarbons. However, it failed to implement the Nabucco project and the Trans-Caspian gas pipeline as its integral part. It turned out that hydrocarbon resources are not as large as expected”[</w:t>
      </w:r>
      <w:r w:rsidRPr="0BE2D7A4">
        <w:rPr>
          <w:rFonts w:ascii="IBM Plex Sans" w:hAnsi="IBM Plex Sans" w:cstheme="minorBidi"/>
          <w:color w:val="404040"/>
          <w:sz w:val="28"/>
          <w:szCs w:val="28"/>
          <w:shd w:val="clear" w:color="auto" w:fill="FFFFFF"/>
          <w:lang w:val="en-US"/>
        </w:rPr>
        <w:t xml:space="preserve"> </w:t>
      </w:r>
      <w:r>
        <w:rPr>
          <w:rFonts w:eastAsia="Times New Roman"/>
          <w:color w:val="404040"/>
          <w:sz w:val="28"/>
          <w:szCs w:val="28"/>
          <w:shd w:val="clear" w:color="auto" w:fill="FFFFFF"/>
          <w:lang w:val="en-US"/>
        </w:rPr>
        <w:t>117</w:t>
      </w:r>
      <w:r>
        <w:rPr>
          <w:rFonts w:eastAsia="Times New Roman"/>
          <w:sz w:val="28"/>
          <w:szCs w:val="28"/>
          <w:lang w:val="en-US" w:eastAsia="ru-RU"/>
        </w:rPr>
        <w:t>].</w:t>
      </w:r>
    </w:p>
    <w:p w14:paraId="45326591"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As soon as the implementation of the Trans Adriatic Pipeline (TAP) project began, the European Commission declared that it fully supported both projects. Approved by the European Commission in 2016, the project was completed in 2020.</w:t>
      </w:r>
    </w:p>
    <w:p w14:paraId="37975DD5"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 xml:space="preserve">However, there was no result achieved: these projects were implemented for political and security reasons; The EU wanted to limit Russia's presence in the European energy market and ignored its advantages - lower prices and easily accessible pipeline systems [118]. </w:t>
      </w:r>
    </w:p>
    <w:p w14:paraId="462798C5" w14:textId="77777777" w:rsidR="00DD07CF" w:rsidRDefault="739FD45D"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The European Union (EU) launched a new project “Sustainable Energy Connectivity in Central Asia” (SECCA) for 2022-2026 during a roundtable discussion at the EU-Central Asia Conference “Global Gateway for Sustainable Development” on 17 November 2022. With a total budget of €6.8 million, the SECCA project aims to promote a more sustainable energy mix in the Central Asian region in line with EU best practices. In particular, the project aims to strengthen national policies for the transition to a sustainable energy system and increase investment, capacity and awareness in the field of renewable energy sources (RES) and energy efficiency (EE) in the region [Eeas.europa.eu, 2022].</w:t>
      </w:r>
    </w:p>
    <w:p w14:paraId="6E38D72C" w14:textId="77777777" w:rsidR="5DB91068" w:rsidRDefault="084CB7BB"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SECCA will complement 15 EU regional initiatives in the fields of environment, biodiversity, climate change, disaster risk reduction, water and sustainable energy, as well as 20 EU bilateral cooperation projects with Central Asian countries.</w:t>
      </w:r>
    </w:p>
    <w:p w14:paraId="699591AA" w14:textId="77777777" w:rsidR="0D552644" w:rsidRDefault="47C3E709"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While the EU shares its good practices in the field of renewable energy, the Central Asian countries will try to overcome their shortcomings in the field of renewable energy and develop them with the help of the EU. For example, journalists from Central Asian countries – winners of the European Union Regional Journalism Competitions 2020 and 2022 – took part in a week-long study tour to the Netherlands “Renewable Energy – Modern Solutions”. The study tour was organised jointly by two EU projects – “European Union – Central Asia: Water, Environment and Climate Change Cooperation (WECOOP)” and SECCA – with the aim of learning from the European and Dutch experiences in implementing new policies in the field of renewable energy, wind power, bioenergy and green hydrogen, introducing new green technologies, as well as developing climate-adaptive cities and sustainable construction [Wecoop.eu, 2022]. Moreover, 8 journalists from Kazakhstan, Kyrgyzstan and Uzbekistan took part in the study tour and visited the Dutch Ministry of Economic Affairs and Climate, the Groen Wind Park and the Province House in Flevoland, the GIGA storage company, the Green Village in Delft, the Port of Rotterdam, the SolarEis project in Apeldoorn and AEB, a waste-to-energy company in Amsterdam.</w:t>
      </w:r>
    </w:p>
    <w:p w14:paraId="518FD3B0" w14:textId="77777777" w:rsidR="00DD07CF" w:rsidRDefault="21C33100"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50F76268">
        <w:rPr>
          <w:rFonts w:eastAsia="Times New Roman"/>
          <w:sz w:val="28"/>
          <w:szCs w:val="28"/>
          <w:lang w:val="en-US" w:eastAsia="ru-RU"/>
        </w:rPr>
        <w:t>It is worth recalling that in May 2022, the EU adopted a new plan, “REPowerEU”, to transition to “green” technologies and increase energy production from renewable sources [Commission.europa.eu,]. The Netherlands, along with other EU countries, is taking steps to increase sustainable energy production and find smarter ways to use and save energy. The government plans to create a €35 billion Climate and Transition Fund to help install the necessary energy infrastructure. According to Oliver Wyman (2022), the Netherlands is leading the energy transition in Europe, and according to Energy Monitor (2022), the Netherlands is at the forefront of the hydrogen race in Europe thanks to the highest subsidie</w:t>
      </w:r>
      <w:r w:rsidR="70589C50" w:rsidRPr="50F76268">
        <w:rPr>
          <w:rFonts w:eastAsia="Times New Roman"/>
          <w:sz w:val="28"/>
          <w:szCs w:val="28"/>
          <w:lang w:val="en-US" w:eastAsia="ru-RU"/>
        </w:rPr>
        <w:t>s.</w:t>
      </w:r>
    </w:p>
    <w:p w14:paraId="6FBA0E58" w14:textId="77777777" w:rsidR="00DD07CF" w:rsidRDefault="21C33100"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50F76268">
        <w:rPr>
          <w:rFonts w:eastAsia="Times New Roman"/>
          <w:sz w:val="28"/>
          <w:szCs w:val="28"/>
          <w:lang w:val="en-US" w:eastAsia="ru-RU"/>
        </w:rPr>
        <w:t>The WECOOP project (third phase from October 2019 to April 2023) aims to improve environment, climate change and water policies in Central Asia through convergence with EU standards, as well as promoting green investments in relevant economic sectors to help achieve measurable reductions in human-induced pollution, including carbon dioxide (CO2) emissions. The project’s activities include support to the EU-CA Platform for Environment and Water Cooperation and its Working Group on Environment and Climate Change, as well as the international dimension of the EU Green Deal in Central Asia to facilitate climate action.</w:t>
      </w:r>
    </w:p>
    <w:p w14:paraId="30E1F526" w14:textId="77777777" w:rsidR="00DD07CF" w:rsidRDefault="35E281EF"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It is also important to note the EU-Central Asia Connectivity Conference on 17-18 November 2022 in Samarkand. It was the first constructive meeting since the EU Global Gateway Strategy adopted on 1 December 2021 and marked the intensification of the Union's policy towards the region, demonstrating the growing importance of Central Asia for the EU.</w:t>
      </w:r>
      <w:r w:rsidR="323767EC" w:rsidRPr="0BE2D7A4">
        <w:rPr>
          <w:rFonts w:eastAsia="Times New Roman"/>
          <w:sz w:val="28"/>
          <w:szCs w:val="28"/>
          <w:lang w:val="en-US" w:eastAsia="ru-RU"/>
        </w:rPr>
        <w:t xml:space="preserve"> The conference was accompanied by the launch of a number of EU initiatives covering areas such as energy, climate change, water and digital connectivity.</w:t>
      </w:r>
    </w:p>
    <w:p w14:paraId="756D5BDC" w14:textId="77777777" w:rsidR="75B80749" w:rsidRDefault="75B80749"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Another item on the agenda is transport corridors. Given the congestion of the Northern Corridor due to the Russian-Ukrainian conflict, it can be said that strategies for a much more efficient use of the Middle Corridor are important for the EU. Undoubtedly, such a viability of the Middle Corridor also meets the interests of the states in the region, which are eager to attract foreign investment. Strengthening transport links will mean deepening economic relations. This means that the EU's contribution to the development of the region will increase even more, since European investments and markets are essential for the well-being and development of the Central Asian economies.</w:t>
      </w:r>
    </w:p>
    <w:p w14:paraId="54738AF4" w14:textId="77777777" w:rsidR="00DD07CF" w:rsidRDefault="00DD07CF" w:rsidP="0087145E">
      <w:pPr>
        <w:pStyle w:val="af"/>
        <w:shd w:val="clear" w:color="auto" w:fill="FFFFFF" w:themeFill="background1"/>
        <w:spacing w:after="0" w:line="240" w:lineRule="auto"/>
        <w:ind w:firstLine="709"/>
        <w:jc w:val="both"/>
        <w:rPr>
          <w:rFonts w:eastAsia="Times New Roman"/>
          <w:sz w:val="28"/>
          <w:szCs w:val="28"/>
          <w:lang w:val="en-US" w:eastAsia="ru-RU"/>
        </w:rPr>
      </w:pPr>
    </w:p>
    <w:p w14:paraId="46ABBD8F" w14:textId="77777777" w:rsidR="00DD07CF" w:rsidRDefault="00DD07CF" w:rsidP="0087145E">
      <w:pPr>
        <w:pStyle w:val="af"/>
        <w:shd w:val="clear" w:color="auto" w:fill="FFFFFF" w:themeFill="background1"/>
        <w:spacing w:after="0" w:line="240" w:lineRule="auto"/>
        <w:ind w:firstLine="709"/>
        <w:jc w:val="both"/>
        <w:rPr>
          <w:rFonts w:eastAsia="Times New Roman"/>
          <w:sz w:val="28"/>
          <w:szCs w:val="28"/>
          <w:lang w:val="en-US" w:eastAsia="ru-RU"/>
        </w:rPr>
      </w:pPr>
    </w:p>
    <w:p w14:paraId="06BBA33E" w14:textId="77777777" w:rsidR="00DD07CF" w:rsidRDefault="00DD07CF" w:rsidP="0087145E">
      <w:pPr>
        <w:pStyle w:val="af"/>
        <w:shd w:val="clear" w:color="auto" w:fill="FFFFFF" w:themeFill="background1"/>
        <w:spacing w:after="0" w:line="240" w:lineRule="auto"/>
        <w:ind w:firstLine="709"/>
        <w:jc w:val="both"/>
        <w:rPr>
          <w:rFonts w:eastAsia="Times New Roman"/>
          <w:sz w:val="28"/>
          <w:szCs w:val="28"/>
          <w:lang w:val="en-US" w:eastAsia="ru-RU"/>
        </w:rPr>
      </w:pPr>
    </w:p>
    <w:p w14:paraId="464FCBC1" w14:textId="77777777" w:rsidR="00DD07CF" w:rsidRDefault="00DD07CF" w:rsidP="0087145E">
      <w:pPr>
        <w:pStyle w:val="af"/>
        <w:shd w:val="clear" w:color="auto" w:fill="FFFFFF" w:themeFill="background1"/>
        <w:spacing w:after="0" w:line="240" w:lineRule="auto"/>
        <w:ind w:firstLine="709"/>
        <w:jc w:val="both"/>
        <w:rPr>
          <w:rFonts w:eastAsia="Times New Roman"/>
          <w:sz w:val="28"/>
          <w:szCs w:val="28"/>
          <w:lang w:val="en-US" w:eastAsia="ru-RU"/>
        </w:rPr>
      </w:pPr>
    </w:p>
    <w:p w14:paraId="5C8C6B09" w14:textId="77777777" w:rsidR="00DD07CF" w:rsidRDefault="00DD07CF" w:rsidP="0087145E">
      <w:pPr>
        <w:pStyle w:val="af"/>
        <w:shd w:val="clear" w:color="auto" w:fill="FFFFFF" w:themeFill="background1"/>
        <w:spacing w:after="0" w:line="240" w:lineRule="auto"/>
        <w:ind w:firstLine="709"/>
        <w:jc w:val="both"/>
        <w:rPr>
          <w:rFonts w:eastAsia="Times New Roman"/>
          <w:sz w:val="28"/>
          <w:szCs w:val="28"/>
          <w:lang w:val="en-US" w:eastAsia="ru-RU"/>
        </w:rPr>
      </w:pPr>
    </w:p>
    <w:p w14:paraId="3382A365" w14:textId="77777777" w:rsidR="7315D5B6" w:rsidRDefault="7315D5B6" w:rsidP="7315D5B6">
      <w:pPr>
        <w:pStyle w:val="af"/>
        <w:shd w:val="clear" w:color="auto" w:fill="FFFFFF" w:themeFill="background1"/>
        <w:spacing w:after="0" w:line="240" w:lineRule="auto"/>
        <w:jc w:val="both"/>
        <w:rPr>
          <w:rFonts w:eastAsia="Times New Roman"/>
          <w:b/>
          <w:bCs/>
          <w:sz w:val="28"/>
          <w:szCs w:val="28"/>
          <w:lang w:val="en-US" w:eastAsia="ru-RU"/>
        </w:rPr>
      </w:pPr>
    </w:p>
    <w:p w14:paraId="5C71F136" w14:textId="77777777" w:rsidR="7315D5B6" w:rsidRDefault="7315D5B6" w:rsidP="7315D5B6">
      <w:pPr>
        <w:pStyle w:val="af"/>
        <w:shd w:val="clear" w:color="auto" w:fill="FFFFFF" w:themeFill="background1"/>
        <w:spacing w:after="0" w:line="240" w:lineRule="auto"/>
        <w:jc w:val="both"/>
        <w:rPr>
          <w:rFonts w:eastAsia="Times New Roman"/>
          <w:b/>
          <w:bCs/>
          <w:sz w:val="28"/>
          <w:szCs w:val="28"/>
          <w:lang w:val="en-US" w:eastAsia="ru-RU"/>
        </w:rPr>
      </w:pPr>
    </w:p>
    <w:p w14:paraId="62199465" w14:textId="77777777" w:rsidR="7315D5B6" w:rsidRDefault="7315D5B6" w:rsidP="7315D5B6">
      <w:pPr>
        <w:pStyle w:val="af"/>
        <w:shd w:val="clear" w:color="auto" w:fill="FFFFFF" w:themeFill="background1"/>
        <w:spacing w:after="0" w:line="240" w:lineRule="auto"/>
        <w:jc w:val="both"/>
        <w:rPr>
          <w:rFonts w:eastAsia="Times New Roman"/>
          <w:b/>
          <w:bCs/>
          <w:sz w:val="28"/>
          <w:szCs w:val="28"/>
          <w:lang w:val="en-US" w:eastAsia="ru-RU"/>
        </w:rPr>
      </w:pPr>
    </w:p>
    <w:p w14:paraId="0DA123B1" w14:textId="77777777" w:rsidR="7315D5B6" w:rsidRDefault="7315D5B6" w:rsidP="7315D5B6">
      <w:pPr>
        <w:pStyle w:val="af"/>
        <w:shd w:val="clear" w:color="auto" w:fill="FFFFFF" w:themeFill="background1"/>
        <w:spacing w:after="0" w:line="240" w:lineRule="auto"/>
        <w:jc w:val="both"/>
        <w:rPr>
          <w:rFonts w:eastAsia="Times New Roman"/>
          <w:b/>
          <w:bCs/>
          <w:sz w:val="28"/>
          <w:szCs w:val="28"/>
          <w:lang w:val="en-US" w:eastAsia="ru-RU"/>
        </w:rPr>
      </w:pPr>
    </w:p>
    <w:p w14:paraId="4C4CEA3D" w14:textId="77777777" w:rsidR="7315D5B6" w:rsidRDefault="7315D5B6" w:rsidP="7315D5B6">
      <w:pPr>
        <w:pStyle w:val="af"/>
        <w:shd w:val="clear" w:color="auto" w:fill="FFFFFF" w:themeFill="background1"/>
        <w:spacing w:after="0" w:line="240" w:lineRule="auto"/>
        <w:jc w:val="both"/>
        <w:rPr>
          <w:rFonts w:eastAsia="Times New Roman"/>
          <w:b/>
          <w:bCs/>
          <w:sz w:val="28"/>
          <w:szCs w:val="28"/>
          <w:lang w:val="en-US" w:eastAsia="ru-RU"/>
        </w:rPr>
      </w:pPr>
    </w:p>
    <w:p w14:paraId="50895670" w14:textId="77777777" w:rsidR="7315D5B6" w:rsidRDefault="7315D5B6" w:rsidP="7315D5B6">
      <w:pPr>
        <w:pStyle w:val="af"/>
        <w:shd w:val="clear" w:color="auto" w:fill="FFFFFF" w:themeFill="background1"/>
        <w:spacing w:after="0" w:line="240" w:lineRule="auto"/>
        <w:jc w:val="both"/>
        <w:rPr>
          <w:rFonts w:eastAsia="Times New Roman"/>
          <w:b/>
          <w:bCs/>
          <w:sz w:val="28"/>
          <w:szCs w:val="28"/>
          <w:lang w:val="en-US" w:eastAsia="ru-RU"/>
        </w:rPr>
      </w:pPr>
    </w:p>
    <w:p w14:paraId="38C1F859" w14:textId="77777777" w:rsidR="7315D5B6" w:rsidRDefault="7315D5B6" w:rsidP="7315D5B6">
      <w:pPr>
        <w:pStyle w:val="af"/>
        <w:shd w:val="clear" w:color="auto" w:fill="FFFFFF" w:themeFill="background1"/>
        <w:spacing w:after="0" w:line="240" w:lineRule="auto"/>
        <w:jc w:val="both"/>
        <w:rPr>
          <w:rFonts w:eastAsia="Times New Roman"/>
          <w:b/>
          <w:bCs/>
          <w:sz w:val="28"/>
          <w:szCs w:val="28"/>
          <w:lang w:val="en-US" w:eastAsia="ru-RU"/>
        </w:rPr>
      </w:pPr>
    </w:p>
    <w:p w14:paraId="0C8FE7CE" w14:textId="77777777" w:rsidR="7315D5B6" w:rsidRDefault="7315D5B6" w:rsidP="7315D5B6">
      <w:pPr>
        <w:pStyle w:val="af"/>
        <w:shd w:val="clear" w:color="auto" w:fill="FFFFFF" w:themeFill="background1"/>
        <w:spacing w:after="0" w:line="240" w:lineRule="auto"/>
        <w:jc w:val="both"/>
        <w:rPr>
          <w:rFonts w:eastAsia="Times New Roman"/>
          <w:b/>
          <w:bCs/>
          <w:sz w:val="28"/>
          <w:szCs w:val="28"/>
          <w:lang w:val="en-US" w:eastAsia="ru-RU"/>
        </w:rPr>
      </w:pPr>
    </w:p>
    <w:p w14:paraId="41004F19" w14:textId="77777777" w:rsidR="7315D5B6" w:rsidRDefault="7315D5B6" w:rsidP="7315D5B6">
      <w:pPr>
        <w:pStyle w:val="af"/>
        <w:shd w:val="clear" w:color="auto" w:fill="FFFFFF" w:themeFill="background1"/>
        <w:spacing w:after="0" w:line="240" w:lineRule="auto"/>
        <w:jc w:val="both"/>
        <w:rPr>
          <w:rFonts w:eastAsia="Times New Roman"/>
          <w:b/>
          <w:bCs/>
          <w:sz w:val="28"/>
          <w:szCs w:val="28"/>
          <w:lang w:val="en-US" w:eastAsia="ru-RU"/>
        </w:rPr>
      </w:pPr>
    </w:p>
    <w:p w14:paraId="67C0C651" w14:textId="77777777" w:rsidR="7315D5B6" w:rsidRDefault="7315D5B6" w:rsidP="7315D5B6">
      <w:pPr>
        <w:pStyle w:val="af"/>
        <w:shd w:val="clear" w:color="auto" w:fill="FFFFFF" w:themeFill="background1"/>
        <w:spacing w:after="0" w:line="240" w:lineRule="auto"/>
        <w:jc w:val="both"/>
        <w:rPr>
          <w:rFonts w:eastAsia="Times New Roman"/>
          <w:b/>
          <w:bCs/>
          <w:sz w:val="28"/>
          <w:szCs w:val="28"/>
          <w:lang w:val="en-US" w:eastAsia="ru-RU"/>
        </w:rPr>
      </w:pPr>
    </w:p>
    <w:p w14:paraId="308D56CC" w14:textId="77777777" w:rsidR="7315D5B6" w:rsidRDefault="7315D5B6" w:rsidP="7315D5B6">
      <w:pPr>
        <w:pStyle w:val="af"/>
        <w:shd w:val="clear" w:color="auto" w:fill="FFFFFF" w:themeFill="background1"/>
        <w:spacing w:after="0" w:line="240" w:lineRule="auto"/>
        <w:jc w:val="both"/>
        <w:rPr>
          <w:rFonts w:eastAsia="Times New Roman"/>
          <w:b/>
          <w:bCs/>
          <w:sz w:val="28"/>
          <w:szCs w:val="28"/>
          <w:lang w:val="en-US" w:eastAsia="ru-RU"/>
        </w:rPr>
      </w:pPr>
    </w:p>
    <w:p w14:paraId="797E50C6" w14:textId="77777777" w:rsidR="00DA28EA" w:rsidRDefault="00DA28EA" w:rsidP="7315D5B6">
      <w:pPr>
        <w:pStyle w:val="af"/>
        <w:shd w:val="clear" w:color="auto" w:fill="FFFFFF" w:themeFill="background1"/>
        <w:spacing w:after="0" w:line="240" w:lineRule="auto"/>
        <w:jc w:val="both"/>
        <w:rPr>
          <w:rFonts w:eastAsia="Times New Roman"/>
          <w:b/>
          <w:bCs/>
          <w:sz w:val="28"/>
          <w:szCs w:val="28"/>
          <w:lang w:val="en-US" w:eastAsia="ru-RU"/>
        </w:rPr>
      </w:pPr>
    </w:p>
    <w:p w14:paraId="7B04FA47" w14:textId="77777777" w:rsidR="00DA28EA" w:rsidRDefault="00DA28EA" w:rsidP="7315D5B6">
      <w:pPr>
        <w:pStyle w:val="af"/>
        <w:shd w:val="clear" w:color="auto" w:fill="FFFFFF" w:themeFill="background1"/>
        <w:spacing w:after="0" w:line="240" w:lineRule="auto"/>
        <w:jc w:val="both"/>
        <w:rPr>
          <w:rFonts w:eastAsia="Times New Roman"/>
          <w:b/>
          <w:bCs/>
          <w:sz w:val="28"/>
          <w:szCs w:val="28"/>
          <w:lang w:val="en-US" w:eastAsia="ru-RU"/>
        </w:rPr>
      </w:pPr>
    </w:p>
    <w:p w14:paraId="568C698B" w14:textId="77777777" w:rsidR="00DA28EA" w:rsidRDefault="00DA28EA" w:rsidP="7315D5B6">
      <w:pPr>
        <w:pStyle w:val="af"/>
        <w:shd w:val="clear" w:color="auto" w:fill="FFFFFF" w:themeFill="background1"/>
        <w:spacing w:after="0" w:line="240" w:lineRule="auto"/>
        <w:jc w:val="both"/>
        <w:rPr>
          <w:rFonts w:eastAsia="Times New Roman"/>
          <w:b/>
          <w:bCs/>
          <w:sz w:val="28"/>
          <w:szCs w:val="28"/>
          <w:lang w:val="en-US" w:eastAsia="ru-RU"/>
        </w:rPr>
      </w:pPr>
    </w:p>
    <w:p w14:paraId="1A939487" w14:textId="77777777" w:rsidR="00DA28EA" w:rsidRDefault="00DA28EA" w:rsidP="7315D5B6">
      <w:pPr>
        <w:pStyle w:val="af"/>
        <w:shd w:val="clear" w:color="auto" w:fill="FFFFFF" w:themeFill="background1"/>
        <w:spacing w:after="0" w:line="240" w:lineRule="auto"/>
        <w:jc w:val="both"/>
        <w:rPr>
          <w:rFonts w:eastAsia="Times New Roman"/>
          <w:b/>
          <w:bCs/>
          <w:sz w:val="28"/>
          <w:szCs w:val="28"/>
          <w:lang w:val="en-US" w:eastAsia="ru-RU"/>
        </w:rPr>
      </w:pPr>
    </w:p>
    <w:p w14:paraId="6AA258D8" w14:textId="77777777" w:rsidR="00DA28EA" w:rsidRDefault="00DA28EA" w:rsidP="7315D5B6">
      <w:pPr>
        <w:pStyle w:val="af"/>
        <w:shd w:val="clear" w:color="auto" w:fill="FFFFFF" w:themeFill="background1"/>
        <w:spacing w:after="0" w:line="240" w:lineRule="auto"/>
        <w:jc w:val="both"/>
        <w:rPr>
          <w:rFonts w:eastAsia="Times New Roman"/>
          <w:b/>
          <w:bCs/>
          <w:sz w:val="28"/>
          <w:szCs w:val="28"/>
          <w:lang w:val="en-US" w:eastAsia="ru-RU"/>
        </w:rPr>
      </w:pPr>
    </w:p>
    <w:p w14:paraId="6FFBD3EC" w14:textId="77777777" w:rsidR="00DA28EA" w:rsidRDefault="00DA28EA" w:rsidP="7315D5B6">
      <w:pPr>
        <w:pStyle w:val="af"/>
        <w:shd w:val="clear" w:color="auto" w:fill="FFFFFF" w:themeFill="background1"/>
        <w:spacing w:after="0" w:line="240" w:lineRule="auto"/>
        <w:jc w:val="both"/>
        <w:rPr>
          <w:rFonts w:eastAsia="Times New Roman"/>
          <w:b/>
          <w:bCs/>
          <w:sz w:val="28"/>
          <w:szCs w:val="28"/>
          <w:lang w:val="en-US" w:eastAsia="ru-RU"/>
        </w:rPr>
      </w:pPr>
    </w:p>
    <w:p w14:paraId="30DCCCAD" w14:textId="77777777" w:rsidR="00DA28EA" w:rsidRDefault="00DA28EA" w:rsidP="7315D5B6">
      <w:pPr>
        <w:pStyle w:val="af"/>
        <w:shd w:val="clear" w:color="auto" w:fill="FFFFFF" w:themeFill="background1"/>
        <w:spacing w:after="0" w:line="240" w:lineRule="auto"/>
        <w:jc w:val="both"/>
        <w:rPr>
          <w:rFonts w:eastAsia="Times New Roman"/>
          <w:b/>
          <w:bCs/>
          <w:sz w:val="28"/>
          <w:szCs w:val="28"/>
          <w:lang w:val="en-US" w:eastAsia="ru-RU"/>
        </w:rPr>
      </w:pPr>
    </w:p>
    <w:p w14:paraId="36AF6883" w14:textId="77777777" w:rsidR="00DA28EA" w:rsidRDefault="00DA28EA" w:rsidP="7315D5B6">
      <w:pPr>
        <w:pStyle w:val="af"/>
        <w:shd w:val="clear" w:color="auto" w:fill="FFFFFF" w:themeFill="background1"/>
        <w:spacing w:after="0" w:line="240" w:lineRule="auto"/>
        <w:jc w:val="both"/>
        <w:rPr>
          <w:rFonts w:eastAsia="Times New Roman"/>
          <w:b/>
          <w:bCs/>
          <w:sz w:val="28"/>
          <w:szCs w:val="28"/>
          <w:lang w:val="en-US" w:eastAsia="ru-RU"/>
        </w:rPr>
      </w:pPr>
    </w:p>
    <w:p w14:paraId="54C529ED" w14:textId="77777777" w:rsidR="00DA28EA" w:rsidRPr="00FC6AE4" w:rsidRDefault="00DA28EA" w:rsidP="7315D5B6">
      <w:pPr>
        <w:pStyle w:val="af"/>
        <w:shd w:val="clear" w:color="auto" w:fill="FFFFFF" w:themeFill="background1"/>
        <w:spacing w:after="0" w:line="240" w:lineRule="auto"/>
        <w:jc w:val="both"/>
        <w:rPr>
          <w:rFonts w:eastAsia="Times New Roman"/>
          <w:b/>
          <w:bCs/>
          <w:sz w:val="28"/>
          <w:szCs w:val="28"/>
          <w:lang w:eastAsia="ru-RU"/>
        </w:rPr>
      </w:pPr>
    </w:p>
    <w:p w14:paraId="1C0157D6" w14:textId="77777777" w:rsidR="00DA28EA" w:rsidRDefault="00DA28EA" w:rsidP="7315D5B6">
      <w:pPr>
        <w:pStyle w:val="af"/>
        <w:shd w:val="clear" w:color="auto" w:fill="FFFFFF" w:themeFill="background1"/>
        <w:spacing w:after="0" w:line="240" w:lineRule="auto"/>
        <w:jc w:val="both"/>
        <w:rPr>
          <w:rFonts w:eastAsia="Times New Roman"/>
          <w:b/>
          <w:bCs/>
          <w:sz w:val="28"/>
          <w:szCs w:val="28"/>
          <w:lang w:val="en-US" w:eastAsia="ru-RU"/>
        </w:rPr>
      </w:pPr>
    </w:p>
    <w:p w14:paraId="515318F8" w14:textId="77777777" w:rsidR="00DD07CF" w:rsidRDefault="0087145E" w:rsidP="7315D5B6">
      <w:pPr>
        <w:pStyle w:val="af"/>
        <w:shd w:val="clear" w:color="auto" w:fill="FFFFFF" w:themeFill="background1"/>
        <w:spacing w:after="0" w:line="240" w:lineRule="auto"/>
        <w:jc w:val="both"/>
        <w:rPr>
          <w:rFonts w:eastAsia="Times New Roman"/>
          <w:b/>
          <w:bCs/>
          <w:sz w:val="28"/>
          <w:szCs w:val="28"/>
          <w:lang w:val="en-US" w:eastAsia="ru-RU"/>
        </w:rPr>
      </w:pPr>
      <w:r w:rsidRPr="7315D5B6">
        <w:rPr>
          <w:rFonts w:eastAsia="Times New Roman"/>
          <w:b/>
          <w:bCs/>
          <w:sz w:val="28"/>
          <w:szCs w:val="28"/>
          <w:lang w:val="en-US" w:eastAsia="ru-RU"/>
        </w:rPr>
        <w:t>3.</w:t>
      </w:r>
      <w:r w:rsidR="0BE2D7A4" w:rsidRPr="7315D5B6">
        <w:rPr>
          <w:rFonts w:eastAsia="Times New Roman"/>
          <w:b/>
          <w:bCs/>
          <w:sz w:val="28"/>
          <w:szCs w:val="28"/>
          <w:lang w:val="en-US" w:eastAsia="ru-RU"/>
        </w:rPr>
        <w:t xml:space="preserve"> THE ROLE OF THE CENTRAL ASIAN STATES IN THE FORMATION AND DEVELOPMENT OF THE EUROPEAN POLICY TOWARDS THE REGION</w:t>
      </w:r>
    </w:p>
    <w:p w14:paraId="3691E7B2" w14:textId="77777777" w:rsidR="00DD07CF" w:rsidRDefault="00DD07CF" w:rsidP="0BE2D7A4">
      <w:pPr>
        <w:pStyle w:val="af"/>
        <w:shd w:val="clear" w:color="auto" w:fill="FFFFFF" w:themeFill="background1"/>
        <w:spacing w:after="0" w:line="240" w:lineRule="auto"/>
        <w:ind w:firstLine="708"/>
        <w:jc w:val="both"/>
        <w:rPr>
          <w:rFonts w:eastAsia="Times New Roman"/>
          <w:sz w:val="28"/>
          <w:szCs w:val="28"/>
          <w:lang w:val="en-US" w:eastAsia="ru-RU"/>
        </w:rPr>
      </w:pPr>
    </w:p>
    <w:p w14:paraId="1A58ED0C" w14:textId="77777777" w:rsidR="0087145E" w:rsidRPr="00FC6AE4" w:rsidRDefault="0087145E" w:rsidP="00FC6AE4">
      <w:pPr>
        <w:pStyle w:val="af"/>
        <w:shd w:val="clear" w:color="auto" w:fill="FFFFFF" w:themeFill="background1"/>
        <w:spacing w:after="0" w:line="240" w:lineRule="auto"/>
        <w:jc w:val="both"/>
        <w:rPr>
          <w:rFonts w:eastAsia="Times New Roman"/>
          <w:b/>
          <w:bCs/>
          <w:sz w:val="28"/>
          <w:szCs w:val="28"/>
          <w:lang w:val="en-US" w:eastAsia="ru-RU"/>
        </w:rPr>
      </w:pPr>
      <w:r>
        <w:rPr>
          <w:rFonts w:eastAsia="Times New Roman"/>
          <w:b/>
          <w:bCs/>
          <w:sz w:val="28"/>
          <w:szCs w:val="28"/>
          <w:lang w:val="en-US" w:eastAsia="ru-RU"/>
        </w:rPr>
        <w:t xml:space="preserve">          </w:t>
      </w:r>
      <w:r w:rsidR="0BE2D7A4" w:rsidRPr="0BE2D7A4">
        <w:rPr>
          <w:rFonts w:eastAsia="Times New Roman"/>
          <w:b/>
          <w:bCs/>
          <w:sz w:val="28"/>
          <w:szCs w:val="28"/>
          <w:lang w:val="en-US" w:eastAsia="ru-RU"/>
        </w:rPr>
        <w:t xml:space="preserve">3.1. Kazakhstan’s role in EU policy for Central Asia </w:t>
      </w:r>
    </w:p>
    <w:p w14:paraId="2367C86E"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Since independence, Kazakhstan began to actively interact in the economic sphere with the countries of the European Union. Astana's  interests were and are in attracting European capital to improve the economy and solve social and environmental problems based on the experience of the EU, as well as in expanding trade and economic ties.</w:t>
      </w:r>
    </w:p>
    <w:p w14:paraId="00471368"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Kazakhstan was the first of the Central Asian countries in February 1993 to establish diplomatic relations with the European Union. Here, in November 1994, the first Delegation of the European Union in the region was opened.</w:t>
      </w:r>
    </w:p>
    <w:p w14:paraId="4EAEAD91"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dynamics of Kazakh-European relations is clearly demonstrated by the number of contacts at the highest level between the leadership of Kazakhstan and the European Union. Thus, the First President of the Republic of Kazakhstan N. Nazarbayev made nine visits to Brussels (4 official visits in 1993, 2000, 2002, 2010 and 5 working visits in 2006, 2010, 2014, 2016, 2018).</w:t>
      </w:r>
    </w:p>
    <w:p w14:paraId="005D46BA"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On November 25-26, 2021, the first official visit of the President of the Republic of Kazakhstan K. Tokayev to Brussels took place, during which meetings were held with the President of the European Council Ch. Michel and the President of the European Commission U. von der Leyen.</w:t>
      </w:r>
    </w:p>
    <w:p w14:paraId="43932B94"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parties noted the importance of strengthening multifaceted cooperation within the framework of the Enhanced Partnership and Cooperation Agreement and the EU Strategy for Central Asia, and discussed in detail issues related to the post-pandemic economic recovery, green energy, climate change and the development of the transport sector. At the same time, the need to find new niches for cooperation in the framework of the European Green Deal, which covers a wide range of issues, including energy, transport, digitalization and agriculture, was noted.</w:t>
      </w:r>
    </w:p>
    <w:p w14:paraId="5340D738"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Along with this, the development of transit and transport communications has been designated as one of the priority areas of bilateral cooperation.</w:t>
      </w:r>
    </w:p>
    <w:p w14:paraId="71B522FF"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EU views Central Asia as a strategic and important regional partner. At the same time, the temporary deployment of the UN Mission in Afghanistan in Kazakhstan and the creation of an international humanitarian hub in Almaty allows Kazakhstan to play a particularly important role in strengthening regional security in coordination with the EU.</w:t>
      </w:r>
    </w:p>
    <w:p w14:paraId="51E291E9"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Kazakhstan, in turn, was visited twice by the Presidents of the European Council (H. Van Rompuy in 2010 and D. Tusk in 2019) and once by the President of the European Commission (J.M. Barroso in 2013).</w:t>
      </w:r>
    </w:p>
    <w:p w14:paraId="496B5122"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Currently, such major European energy companies as Total, Agip, ENI, Shell, British Gas, British Petroleum operate in Kazakhstan. Over time, if the economic presence of these companies in the Kazakh economy expands (which is already very large), there will be a general strengthening of the EU's position in the country and in the Central Asian region as a whole.</w:t>
      </w:r>
    </w:p>
    <w:p w14:paraId="082B20E5"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One of the main European companies that has been operating in the Kazakhstani oil and gas market for many years is the Italian concern ENI. ENI, together with the British company British Gas, is involved in the production of oil, gas and condensate at Karachaganak. In accordance with the production sharing agreement, the development of this field will be carried out by a consortium of four companies (ENI, British Gas, Texaco and Russian LUKOIL) for 40 years. ENI's activity in the Kazakhstani market shows an example of active (and quite flexible - up to cooperation with Russian companies) penetration into the traditionally Russian sphere of influence. </w:t>
      </w:r>
    </w:p>
    <w:p w14:paraId="0449A106"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2008, Kazakhstan came up with a new foreign policy initiative, which had no analogue before. Specialists of the Ministry of Foreign Affairs of the Republic of Kazakhstan, on behalf of the Head of State, developed the State Program of the Republic of Kazakhstan "The Way to Europe", which consisted of 10 priorities for the development of the main areas of cooperation with the European Union.</w:t>
      </w:r>
    </w:p>
    <w:p w14:paraId="4111C92D"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 set of measures was envisaged to develop cooperation with the European Union in the field of technological and energy cooperation, in the field of transport, in the field of technical regulation and metrology, to develop trade and economic relations, cooperation in the development of small and medium-sized businesses, cooperation in the field of quality of life, in humanitarian measurement. It was also supposed to improve the Kazakh institutional and legal framework using the positive European experience. Along with this, it was planned to create conditions for the successful chairmanship of the Republic of Kazakhstan in the OSCE in 2010 [119].</w:t>
      </w:r>
    </w:p>
    <w:p w14:paraId="35B91E3D"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Thanks, among other things, to the clearly formulated tasks and directions of the state program "The Path to Europe", Kazakhstan received the trust of the world community and began to chair the OSCE with a solid baggage of developments in all three dimensions of this organization: political-military, economic and environmental, as well as human (human rights, democracy, election monitoring).</w:t>
      </w:r>
    </w:p>
    <w:p w14:paraId="7FD65F00"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experience of successful chairmanship in such an authoritative international structure contributed to the consolidation of confidence in Kazakhstan and formed a precedent for promoting the interests of Central Asia at such a level, which, in turn, was successfully applied on the scale of membership in the UN Security Council in 2017-2018.</w:t>
      </w:r>
    </w:p>
    <w:p w14:paraId="20F8A2EC" w14:textId="7408D9B9" w:rsidR="00DD07CF" w:rsidRDefault="0BE2D7A4">
      <w:pPr>
        <w:pStyle w:val="af"/>
        <w:spacing w:after="0" w:line="240" w:lineRule="auto"/>
        <w:ind w:firstLine="708"/>
        <w:jc w:val="both"/>
        <w:rPr>
          <w:rFonts w:eastAsia="Times New Roman"/>
          <w:sz w:val="28"/>
          <w:szCs w:val="28"/>
          <w:lang w:val="en-US" w:eastAsia="ru-RU"/>
        </w:rPr>
      </w:pPr>
      <w:r w:rsidRPr="607F5231">
        <w:rPr>
          <w:rFonts w:eastAsia="Times New Roman"/>
          <w:sz w:val="28"/>
          <w:szCs w:val="28"/>
          <w:lang w:val="en-US" w:eastAsia="ru-RU"/>
        </w:rPr>
        <w:t xml:space="preserve">The question of the need for a new Agreement with the European Union was raised by the Kazakh side at almost all bilateral meetings. The negotiations held in Brussels in December 2006 between the first President of the Republic of Kazakhstan N. Nazarbayev and the President of the European Commission </w:t>
      </w:r>
      <w:r w:rsidR="12DE38C5" w:rsidRPr="607F5231">
        <w:rPr>
          <w:rFonts w:eastAsia="Times New Roman"/>
          <w:sz w:val="28"/>
          <w:szCs w:val="28"/>
          <w:lang w:val="en-US" w:eastAsia="ru-RU"/>
        </w:rPr>
        <w:t>J.</w:t>
      </w:r>
      <w:r w:rsidRPr="607F5231">
        <w:rPr>
          <w:rFonts w:eastAsia="Times New Roman"/>
          <w:sz w:val="28"/>
          <w:szCs w:val="28"/>
          <w:lang w:val="en-US" w:eastAsia="ru-RU"/>
        </w:rPr>
        <w:t>Barroso, who spoke about the growing intensity of Kazakh-European cooperation and the need for further development of its potential.</w:t>
      </w:r>
    </w:p>
    <w:p w14:paraId="707B7967"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issue of preparing a new agreement acquired particular urgency with the start of the implementation of the previously mentioned State Program "The Path to Europe", thanks to which Kazakhstan identified for itself the most priority areas of interaction with the European Union.</w:t>
      </w:r>
    </w:p>
    <w:p w14:paraId="26889A51"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At the end of 2008, specialists from the Ministry of Foreign Affairs of the Republic of Kazakhstan began work on the preparation of the Concept of this document. During this period, appropriate consultations were held in a number of foreign ministries of states that had different levels of cooperation with the EU (Russia, Ukraine and Israel). At the beginning of 2009, the Concept of the new agreement was prepared and submitted to all foreign policy departments of the EU countries, as well as to the European Commission. The Concept includes the main provisions of the state program of the Republic of Kazakhstan "Path to Europe", designed for 2009-2011, as well as the Strategy for a new partnership of the European Union with the countries of Central Asia for 2007-2013. It was no coincidence, since both of these documents, as the head of the EU Delegation to Kazakhstan N. Justen noted at the time, had “significant points of contact”.</w:t>
      </w:r>
    </w:p>
    <w:p w14:paraId="5CB40239"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November 2009, a Joint Political Statement was adopted to initiate the development of a new Agreement. Since October 2011, 8 rounds of official negotiations and about 40 videoconferences have been held. During the working visit of the President of the Republic of Kazakhstan N. Nazarbayev to Brussels on October 9, 2014, a Joint Statement was signed on the completion of the negotiation process on the Agreement [120].</w:t>
      </w:r>
    </w:p>
    <w:p w14:paraId="26FAEB64"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On December 21, 2015 in Astana, the Enhanced Partnership and Cooperation Agreement between the Republic of Kazakhstan, on the one hand, and the European Union and its Member States, on the other hand, was signed by the Minister of Foreign Affairs of the Republic of Kazakhstan E. Idrisov and the High Representative of the European Union for Foreign Affairs and security policy of F. Mogherini [120]. The Agreement entered into full force on March 1, 2020 after its ratification by the Republic of Kazakhstan, as well as by all Member States of the European Union and the European Parliament.</w:t>
      </w:r>
    </w:p>
    <w:p w14:paraId="4C6D31D5"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This document covers the widest range of issues and contains 9 sections (287 articles in total), 7 annexes (to the chapters on services, public procurement, intellectual property, trade section) and the Protocol on Mutual Administrative Assistance in Customs Affairs.</w:t>
      </w:r>
    </w:p>
    <w:p w14:paraId="1E7C18E8" w14:textId="2114E2CE" w:rsidR="00DD07CF" w:rsidRDefault="0BE2D7A4">
      <w:pPr>
        <w:pStyle w:val="af"/>
        <w:spacing w:after="0" w:line="240" w:lineRule="auto"/>
        <w:ind w:firstLine="708"/>
        <w:jc w:val="both"/>
        <w:rPr>
          <w:rFonts w:eastAsia="Times New Roman"/>
          <w:sz w:val="28"/>
          <w:szCs w:val="28"/>
          <w:lang w:val="en-US" w:eastAsia="ru-RU"/>
        </w:rPr>
      </w:pPr>
      <w:r w:rsidRPr="02F3055D">
        <w:rPr>
          <w:rFonts w:eastAsia="Times New Roman"/>
          <w:sz w:val="28"/>
          <w:szCs w:val="28"/>
          <w:lang w:val="en-US" w:eastAsia="ru-RU"/>
        </w:rPr>
        <w:t>The agreement, which has entered into force, marks an important milestone in the EU-Kazakhstan relationship, which has a history spanning nearly three decades.</w:t>
      </w:r>
      <w:r w:rsidR="2DFF7619" w:rsidRPr="02F3055D">
        <w:rPr>
          <w:rFonts w:eastAsia="Times New Roman"/>
          <w:sz w:val="28"/>
          <w:szCs w:val="28"/>
          <w:lang w:val="en-US" w:eastAsia="ru-RU"/>
        </w:rPr>
        <w:t xml:space="preserve"> </w:t>
      </w:r>
      <w:r w:rsidRPr="02F3055D">
        <w:rPr>
          <w:rFonts w:eastAsia="Times New Roman"/>
          <w:sz w:val="28"/>
          <w:szCs w:val="28"/>
          <w:lang w:val="en-US" w:eastAsia="ru-RU"/>
        </w:rPr>
        <w:t>Josep Borrell</w:t>
      </w:r>
      <w:r w:rsidR="310177A0" w:rsidRPr="02F3055D">
        <w:rPr>
          <w:rFonts w:eastAsia="Times New Roman"/>
          <w:sz w:val="28"/>
          <w:szCs w:val="28"/>
          <w:lang w:val="en-US" w:eastAsia="ru-RU"/>
        </w:rPr>
        <w:t xml:space="preserve"> highlights </w:t>
      </w:r>
      <w:r w:rsidRPr="02F3055D">
        <w:rPr>
          <w:rFonts w:eastAsia="Times New Roman"/>
          <w:sz w:val="28"/>
          <w:szCs w:val="28"/>
          <w:lang w:val="en-US" w:eastAsia="ru-RU"/>
        </w:rPr>
        <w:t xml:space="preserve"> "</w:t>
      </w:r>
      <w:r w:rsidR="51B802F1" w:rsidRPr="02F3055D">
        <w:rPr>
          <w:rFonts w:eastAsia="Times New Roman"/>
          <w:sz w:val="28"/>
          <w:szCs w:val="28"/>
          <w:lang w:val="en-US" w:eastAsia="ru-RU"/>
        </w:rPr>
        <w:t>s</w:t>
      </w:r>
      <w:r w:rsidRPr="02F3055D">
        <w:rPr>
          <w:rFonts w:eastAsia="Times New Roman"/>
          <w:sz w:val="28"/>
          <w:szCs w:val="28"/>
          <w:lang w:val="en-US" w:eastAsia="ru-RU"/>
        </w:rPr>
        <w:t xml:space="preserve">ince Kazakhstan became the first country in Central Asia to sign an Enhanced Partnership and Cooperation Agreement with the European Union, the breadth and depth of our relations have grown significantly." </w:t>
      </w:r>
    </w:p>
    <w:p w14:paraId="51E8EAF8"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One of the key sections of the Agreement is the “Trade and Entrepreneurship” section, which takes into account the obligations of Kazakhstan both within the framework of membership in the World Trade Organization (WTO) and within the framework of membership in the Eurasian Economic Union.</w:t>
      </w:r>
    </w:p>
    <w:p w14:paraId="38D8E7C5"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There is no doubt that the new Agreement is a framework document. However, at the same time, it covers all areas of cooperation between the Republic of Kazakhstan and the European Union, creating a legal basis for in-depth cooperation on a wide range of issues based on reciprocity and respect for the national interests of the parties.</w:t>
      </w:r>
    </w:p>
    <w:p w14:paraId="5850FB06"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Unlike the Association Agreements signed by the European Union with countries aiming to join the EU (Ukraine, Moldova, Georgia), the new Agreement does not contain obligations for political association and economic integration with the European Union, as well as obligations for deep political and economic reforms.</w:t>
      </w:r>
    </w:p>
    <w:p w14:paraId="6AEC0684"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addition, the document does not provide for preferential treatment in trade with the EU, but establishes the most favored nation and national treatment in full compliance with the obligations of the Republic of Kazakhstan within the framework of the World Trade Organization.</w:t>
      </w:r>
    </w:p>
    <w:p w14:paraId="760A26AC"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Thus, the new Agreement does not create economic risks for other foreign trade partners of Kazakhstan. The document once again reaffirms the commitment to comply with general principles - respect for democratic principles, the rule of law and human rights, and its commitment to the principles of a free market economy.</w:t>
      </w:r>
    </w:p>
    <w:p w14:paraId="1C81F906"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particular, the readiness of Kazakhstan and the EU was expressed to promote international and regional peace and stability, economic development and promotion of sustainable development. The parties agreed to cooperate on the principles of dialogue, mutual trust and respect, equal partnership and mutual benefit.</w:t>
      </w:r>
    </w:p>
    <w:p w14:paraId="77433915" w14:textId="759FF6E4" w:rsidR="00DD07CF" w:rsidRDefault="0BE2D7A4">
      <w:pPr>
        <w:pStyle w:val="af"/>
        <w:spacing w:after="0" w:line="240" w:lineRule="auto"/>
        <w:ind w:firstLine="708"/>
        <w:jc w:val="both"/>
        <w:rPr>
          <w:rFonts w:eastAsia="Times New Roman"/>
          <w:sz w:val="28"/>
          <w:szCs w:val="28"/>
          <w:lang w:val="en-US" w:eastAsia="ru-RU"/>
        </w:rPr>
      </w:pPr>
      <w:r w:rsidRPr="770AFFC0">
        <w:rPr>
          <w:rFonts w:eastAsia="Times New Roman"/>
          <w:sz w:val="28"/>
          <w:szCs w:val="28"/>
          <w:lang w:val="en-US" w:eastAsia="ru-RU"/>
        </w:rPr>
        <w:t xml:space="preserve">In October 2014, the President of Kazakhstan N. Nazarbayev published an article in the American magazine The Wall Street Journal, where he touched upon Kazakhstan's relations with the EU. In it, in particular, he pointed out that “Kazakhstan borders on Russia and China, but the EU is our largest trading partner, more than half of foreign direct investment in Kazakhstan comes from EU countries. Kazakhstani companies are increasingly investing in Europe.” He noted that </w:t>
      </w:r>
      <w:r w:rsidR="363489EB" w:rsidRPr="770AFFC0">
        <w:rPr>
          <w:rFonts w:eastAsia="Times New Roman"/>
          <w:sz w:val="28"/>
          <w:szCs w:val="28"/>
          <w:lang w:val="en-US" w:eastAsia="ru-RU"/>
        </w:rPr>
        <w:t>“</w:t>
      </w:r>
      <w:r w:rsidRPr="770AFFC0">
        <w:rPr>
          <w:rFonts w:eastAsia="Times New Roman"/>
          <w:sz w:val="28"/>
          <w:szCs w:val="28"/>
          <w:lang w:val="en-US" w:eastAsia="ru-RU"/>
        </w:rPr>
        <w:t>Kazakhstan is also diversifying its economy and has adopted a new green policy</w:t>
      </w:r>
      <w:r w:rsidR="5958E8E7" w:rsidRPr="770AFFC0">
        <w:rPr>
          <w:rFonts w:eastAsia="Times New Roman"/>
          <w:sz w:val="28"/>
          <w:szCs w:val="28"/>
          <w:lang w:val="en-US" w:eastAsia="ru-RU"/>
        </w:rPr>
        <w:t xml:space="preserve">”. </w:t>
      </w:r>
      <w:r w:rsidRPr="770AFFC0">
        <w:rPr>
          <w:rFonts w:eastAsia="Times New Roman"/>
          <w:sz w:val="28"/>
          <w:szCs w:val="28"/>
          <w:lang w:val="en-US" w:eastAsia="ru-RU"/>
        </w:rPr>
        <w:t>In order to attract and explore the best models and solutions in this area, Kazakhstan is holding the EXPO-2017 exhibition and hopes that European companies will be among its key participants”</w:t>
      </w:r>
      <w:r w:rsidR="4E933FE9" w:rsidRPr="770AFFC0">
        <w:rPr>
          <w:rFonts w:eastAsia="Times New Roman"/>
          <w:sz w:val="28"/>
          <w:szCs w:val="28"/>
          <w:lang w:val="en-US" w:eastAsia="ru-RU"/>
        </w:rPr>
        <w:t>.</w:t>
      </w:r>
      <w:r w:rsidRPr="770AFFC0">
        <w:rPr>
          <w:rFonts w:eastAsia="Times New Roman"/>
          <w:sz w:val="28"/>
          <w:szCs w:val="28"/>
          <w:lang w:val="en-US" w:eastAsia="ru-RU"/>
        </w:rPr>
        <w:t xml:space="preserve"> In connection with the conflict in Ukraine and the sanctions imposed on Russia, N. Nazarbayev specifically pointed out that “we can hope to overcome global problems precisely through dialogue and cooperation, and not through the escalation of sanctions that will not work, but will disrupt economic growth on a larger scale</w:t>
      </w:r>
      <w:r w:rsidR="741D1CB4" w:rsidRPr="770AFFC0">
        <w:rPr>
          <w:rFonts w:eastAsia="Times New Roman"/>
          <w:sz w:val="28"/>
          <w:szCs w:val="28"/>
          <w:lang w:val="en-US" w:eastAsia="ru-RU"/>
        </w:rPr>
        <w:t>”.</w:t>
      </w:r>
      <w:r w:rsidRPr="770AFFC0">
        <w:rPr>
          <w:rFonts w:eastAsia="Times New Roman"/>
          <w:sz w:val="28"/>
          <w:szCs w:val="28"/>
          <w:lang w:val="en-US" w:eastAsia="ru-RU"/>
        </w:rPr>
        <w:t xml:space="preserve"> Thus, official Astana is positioning itself in the conflict between Russia and the EU as a potential peacemaker, which was manifested in a number of mediation initiatives between Moscow and the West.</w:t>
      </w:r>
    </w:p>
    <w:p w14:paraId="6B167F55" w14:textId="7028A8FD" w:rsidR="00DD07CF" w:rsidRDefault="0BE2D7A4">
      <w:pPr>
        <w:pStyle w:val="af"/>
        <w:spacing w:after="0" w:line="240" w:lineRule="auto"/>
        <w:ind w:firstLine="708"/>
        <w:jc w:val="both"/>
        <w:rPr>
          <w:rFonts w:eastAsia="Times New Roman"/>
          <w:sz w:val="28"/>
          <w:szCs w:val="28"/>
          <w:lang w:val="en-US" w:eastAsia="ru-RU"/>
        </w:rPr>
      </w:pPr>
      <w:r w:rsidRPr="770AFFC0">
        <w:rPr>
          <w:rFonts w:eastAsia="Times New Roman"/>
          <w:sz w:val="28"/>
          <w:szCs w:val="28"/>
          <w:lang w:val="en-US" w:eastAsia="ru-RU"/>
        </w:rPr>
        <w:t xml:space="preserve">In the first half of November 2015, the President of Kazakhstan paid a visit to the UK. 24 agreements were signed for a total of $3.8 billion. The agreements provide for cooperation in the fields of energy, ecology, education, space activities, innovation, finance, investment, improvement of civil service and civil aviation. The press service of the President of Kazakhstan indicated that </w:t>
      </w:r>
      <w:r w:rsidR="1D0802C1" w:rsidRPr="770AFFC0">
        <w:rPr>
          <w:rFonts w:eastAsia="Times New Roman"/>
          <w:sz w:val="28"/>
          <w:szCs w:val="28"/>
          <w:lang w:val="en-US" w:eastAsia="ru-RU"/>
        </w:rPr>
        <w:t>“</w:t>
      </w:r>
      <w:r w:rsidRPr="770AFFC0">
        <w:rPr>
          <w:rFonts w:eastAsia="Times New Roman"/>
          <w:sz w:val="28"/>
          <w:szCs w:val="28"/>
          <w:lang w:val="en-US" w:eastAsia="ru-RU"/>
        </w:rPr>
        <w:t>the parties also agreed on mutual cooperation in the oil and gas industry, geology, and subsoil use</w:t>
      </w:r>
      <w:r w:rsidR="74A21CAB" w:rsidRPr="770AFFC0">
        <w:rPr>
          <w:rFonts w:eastAsia="Times New Roman"/>
          <w:sz w:val="28"/>
          <w:szCs w:val="28"/>
          <w:lang w:val="en-US" w:eastAsia="ru-RU"/>
        </w:rPr>
        <w:t>”.</w:t>
      </w:r>
      <w:r w:rsidRPr="770AFFC0">
        <w:rPr>
          <w:rFonts w:eastAsia="Times New Roman"/>
          <w:sz w:val="28"/>
          <w:szCs w:val="28"/>
          <w:lang w:val="en-US" w:eastAsia="ru-RU"/>
        </w:rPr>
        <w:t xml:space="preserve"> It was especially noted that the British confirmed their participation in the upcoming international exhibition Astana Expo-2017. As a result of the negotiations, it was decided that the UK would render all possible assistance to Kazakhstan not only in the creation, but also in the development of the Astana International Financial Center. In addition, the parties reached an understanding on the establishment of the Investment Headquarters.</w:t>
      </w:r>
    </w:p>
    <w:p w14:paraId="26F4BC3E"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European Union continues to be the number one trade and investment partner for Kazakhstan. The EU accounts for about half of Kazakhstan's foreign trade and accumulated foreign investment. Kazakhstan is the largest trade and economic partner of the united Europe in Central Asia.</w:t>
      </w:r>
    </w:p>
    <w:p w14:paraId="49DFD740"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Trade turnover between Kazakhstan and the EU for 2020 amounted to 23.7 billion US dollars, which is 23% lower than in the same period of the previous year (31.4 billion US dollars). However, this is explained by the general trend of the decline in international trade against the backdrop of the COVID-19 pandemic [122].</w:t>
      </w:r>
    </w:p>
    <w:p w14:paraId="6A19A606"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main export goods from Kazakhstan to the EU countries are: crude oil and oil products, natural gas, uranium, copper and copper cathodes, hydrogen, inert gases and other non-metals, ferroalloys, flax seeds, titanium and titanium products. The main imports to the Republic of Kazakhstan from the EU countries are medicines, computers, fittings for pipelines, components made of ferrous metals, dishwashers, equipment for filling and sealing containers, packaging of goods, vaccines, blood serum, blood, car bodies.</w:t>
      </w:r>
    </w:p>
    <w:p w14:paraId="3FF15246"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general, in 2020, 17 billion US dollars of foreign direct investment (FDI) were attracted to the Republic of Kazakhstan, where the share of the EU was 47%. FDI inflows from the European Union for 2020 amounted to 8 billion US dollars. The main investor countries are the Netherlands ($5.1 billion), Belgium ($791 million), France ($693.5 million), Luxembourg ($323.5 million) and Germany ($265.2 million) [123].</w:t>
      </w:r>
    </w:p>
    <w:p w14:paraId="5BC40E8A"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Since 2005, US$160 billion in FDI has been attracted from EU countries, which is 53% of the total capital attracted (US$301.5 billion).</w:t>
      </w:r>
    </w:p>
    <w:p w14:paraId="2BBB44EF"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first meeting of the Economic Forum "EU-Central Asia Partnership for Prosperity Dialogue" was held on December 7, 2020 in a virtual format. The event was attended by EC Vice-Presidents V. Dombrovskis and M. Shefcovic, First Deputy Prime Minister of Tajikistan, Deputy Prime Minister of Kyrgyzstan, Minister of Trade and Integration of Kazakhstan, Deputy Prime Minister - Minister of Investment and Foreign Trade of Uzbekistan, EU Special Representative for Central Asia P. Burian, EIB Vice-President T. Czervinska, as well as representatives of the government circles of the Central Asian countries and heads of foreign organizations.</w:t>
      </w:r>
    </w:p>
    <w:p w14:paraId="35EAB744" w14:textId="2B8063F3" w:rsidR="00DD07CF" w:rsidRDefault="0BE2D7A4">
      <w:pPr>
        <w:pStyle w:val="af"/>
        <w:spacing w:after="0" w:line="240" w:lineRule="auto"/>
        <w:ind w:firstLine="708"/>
        <w:jc w:val="both"/>
        <w:rPr>
          <w:rFonts w:eastAsia="Times New Roman"/>
          <w:sz w:val="28"/>
          <w:szCs w:val="28"/>
          <w:lang w:val="en-US" w:eastAsia="ru-RU"/>
        </w:rPr>
      </w:pPr>
      <w:r w:rsidRPr="770AFFC0">
        <w:rPr>
          <w:rFonts w:eastAsia="Times New Roman"/>
          <w:sz w:val="28"/>
          <w:szCs w:val="28"/>
          <w:lang w:val="en-US" w:eastAsia="ru-RU"/>
        </w:rPr>
        <w:t>During the Forum, the current state and prospects for further strengthening multilateral cooperation in trade, economic, investment, transport and logistics areas were discussed, as well as measures taken by governments of countries aimed at mitigating the economic consequences associated with the pandemic [124]</w:t>
      </w:r>
      <w:r w:rsidR="04ED826E" w:rsidRPr="770AFFC0">
        <w:rPr>
          <w:rFonts w:eastAsia="Times New Roman"/>
          <w:sz w:val="28"/>
          <w:szCs w:val="28"/>
          <w:lang w:val="en-US" w:eastAsia="ru-RU"/>
        </w:rPr>
        <w:t>.</w:t>
      </w:r>
    </w:p>
    <w:p w14:paraId="66828026"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It should be noted that Kazakhstan is also actively promoting cooperation in the field of modernization of the Central Asian states, development of market potential and diversification of economies, creation of a favorable investment climate. Particular attention is paid to the issues of promoting the development of small and medium-sized businesses. The most optimal in this context is the implementation of training programs, trainings to improve skills for representatives of SMEs of the Central Asian states (“capacity building”).</w:t>
      </w:r>
    </w:p>
    <w:p w14:paraId="19419E1F"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It is important to emphasize that Kazakhstan on an ongoing basis makes proposals to improve the EU Strategy for Central Asia, which are reflected both in the adopted documents of the European Union and in the practical plane of interaction.</w:t>
      </w:r>
    </w:p>
    <w:p w14:paraId="0ACEBB68"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 good example of successful cooperation within the framework of the implementation of Kazakhstani initiatives is the program for training Afghan students in higher educational institutions of Kazakhstan and Uzbekistan, the concept of which was proposed by the Republic of Kazakhstan in 2017. The program is designed to train at least 40 students from Afghanistan in Kazakhstan and Uzbekistan. Its duration is 6 years (4 years - bachelor's degree, 2 years - master's degree). The main project manager is UNDP with the support of UN Women, and the sponsor is the European Union. The program budget at the initial stage was 2 million euros. It is planned that the majority of students will study in Kazakhstan, since the Kazakh side initiated this project and has the appropriate base for this. In Kazakhstan, training is provided in the following specialties: applied statistics, agriculture and mining, in Uzbekistan - agriculture. The first group of 30 Afghan women who will receive education in Kazakhstan under this project arrived in Almaty in October 2019 [125].</w:t>
      </w:r>
    </w:p>
    <w:p w14:paraId="3BBEA1B8"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bilateral dialogue on environment and climate change takes place within the framework of the Subcommittee on Energy, Transport, Environment and Climate Change, in accordance with the SRPF.</w:t>
      </w:r>
    </w:p>
    <w:p w14:paraId="1AA368C8"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December 2019, the European Commission launched the European Green Deal, a roadmap to ensure the resilience of the EU economy, turning climate and environmental challenges into opportunities in all policy areas and guaranteeing a just transition for all.</w:t>
      </w:r>
    </w:p>
    <w:p w14:paraId="49C0A161"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2013, Kazakhstan began the transition to a green economy. This decision was motivated by the need to manage more natural resources. As part of its National Strategy for the Transition to a Green Economy, Kazakhstan has achieved positive developments, for example, in terms of waste management, in May 2018, the IGTIC Green Technology Center was opened in Nur-Sultan.</w:t>
      </w:r>
    </w:p>
    <w:p w14:paraId="15206E68"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EU is actively looking for opportunities to support Kazakhstan's national program for the transition to a green economy.</w:t>
      </w:r>
    </w:p>
    <w:p w14:paraId="49824FC7"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EU supports Kazakhstan's efforts to improve water security and the climate. Investments and activities are being supported that will improve water use efficiency and climate change resilience in the Kazakh part of the Aral Sea Basin and restore the critical ecosystem around the North Aral Sea. This should have a positive impact on the environment outside the project area.</w:t>
      </w:r>
    </w:p>
    <w:p w14:paraId="51348690" w14:textId="77777777" w:rsidR="00DD07CF" w:rsidRDefault="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One of the latest bilateral projects between the EU and Kazakhstan to support Kazakhstan's transition to a green economy was successfully completed in 2018. Kazakhstan may also be supported by the Technical Assistance and Information Exchange (TAIEX) program funded under the partnership instrument [126]. </w:t>
      </w:r>
    </w:p>
    <w:p w14:paraId="51400E6B" w14:textId="3674BDEE"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770AFFC0">
        <w:rPr>
          <w:rFonts w:eastAsia="Times New Roman"/>
          <w:sz w:val="28"/>
          <w:szCs w:val="28"/>
          <w:lang w:val="en-US" w:eastAsia="ru-RU"/>
        </w:rPr>
        <w:t>The EU has provided high-level political support and substantial financial support for the establishment of a Low Enriched Uranium Bank (LEUB) in Kazakhstan, owned and controlled by the International Atomic Energy Agency, but managed by the Government of Kazakhstan in accordance with RoK legislation, IAEA safety standards and guidance. The Bank is intended to provide countries implementing programs for the peaceful use of nuclear energy with a guaranteed supply of LEUB in the event that it cannot be obtained on the commercial market or otherwise.</w:t>
      </w:r>
    </w:p>
    <w:p w14:paraId="36A36C4C" w14:textId="77777777" w:rsidR="00DD07CF" w:rsidRDefault="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The EU and Kazakhstan are partners in the Energy Charter. Kazakhstan was also a beneficiary of the EU4Energy technical assistance program on the creation of competitive energy markets, the development of renewable energy sources and their efficient use [127]. </w:t>
      </w:r>
    </w:p>
    <w:p w14:paraId="1047C23F"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general, the support of the European Union has been important for the development of Kazakhstan since the country's independence in 1991. During this time, the EU has funded more than 350 projects worth €180 million, focusing on:</w:t>
      </w:r>
    </w:p>
    <w:p w14:paraId="01D67D74" w14:textId="77777777" w:rsidR="00DD07CF" w:rsidRDefault="0BE2D7A4" w:rsidP="0BE2D7A4">
      <w:pPr>
        <w:pStyle w:val="af"/>
        <w:numPr>
          <w:ilvl w:val="0"/>
          <w:numId w:val="24"/>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strengthening the capacity of regional and local authorities.</w:t>
      </w:r>
    </w:p>
    <w:p w14:paraId="64018689" w14:textId="77777777" w:rsidR="00DD07CF" w:rsidRDefault="0BE2D7A4" w:rsidP="0BE2D7A4">
      <w:pPr>
        <w:pStyle w:val="af"/>
        <w:numPr>
          <w:ilvl w:val="0"/>
          <w:numId w:val="24"/>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support for justice sector reforms.</w:t>
      </w:r>
    </w:p>
    <w:p w14:paraId="0AF7EAF8" w14:textId="77777777" w:rsidR="00DD07CF" w:rsidRDefault="0BE2D7A4" w:rsidP="0BE2D7A4">
      <w:pPr>
        <w:pStyle w:val="af"/>
        <w:numPr>
          <w:ilvl w:val="0"/>
          <w:numId w:val="24"/>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increasing the capacity of the public sector to carry out social and economic reforms.</w:t>
      </w:r>
    </w:p>
    <w:p w14:paraId="50CA0A31"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Moreover, Kazakhstan benefits from several regional programs:</w:t>
      </w:r>
    </w:p>
    <w:p w14:paraId="231177DA" w14:textId="77777777" w:rsidR="00DD07CF" w:rsidRDefault="0BE2D7A4" w:rsidP="0BE2D7A4">
      <w:pPr>
        <w:pStyle w:val="af"/>
        <w:numPr>
          <w:ilvl w:val="0"/>
          <w:numId w:val="25"/>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EU-Central Asia Rule of Law Programme.</w:t>
      </w:r>
    </w:p>
    <w:p w14:paraId="52B9AF0B" w14:textId="77777777" w:rsidR="00DD07CF" w:rsidRDefault="0BE2D7A4" w:rsidP="0BE2D7A4">
      <w:pPr>
        <w:pStyle w:val="af"/>
        <w:numPr>
          <w:ilvl w:val="0"/>
          <w:numId w:val="25"/>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Program "Central Asia Invest".</w:t>
      </w:r>
    </w:p>
    <w:p w14:paraId="59171848" w14:textId="77777777" w:rsidR="00DD07CF" w:rsidRDefault="0BE2D7A4" w:rsidP="0BE2D7A4">
      <w:pPr>
        <w:pStyle w:val="af"/>
        <w:numPr>
          <w:ilvl w:val="0"/>
          <w:numId w:val="25"/>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Program for the Promotion of International Trade in Central Asia.</w:t>
      </w:r>
    </w:p>
    <w:p w14:paraId="53BFFE4C" w14:textId="77777777" w:rsidR="00DD07CF" w:rsidRDefault="0BE2D7A4" w:rsidP="0BE2D7A4">
      <w:pPr>
        <w:pStyle w:val="af"/>
        <w:numPr>
          <w:ilvl w:val="0"/>
          <w:numId w:val="25"/>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SWITCH Asia.</w:t>
      </w:r>
    </w:p>
    <w:p w14:paraId="3FD33CDD"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development of cooperation is also being facilitated by regional programs funded by the EU:</w:t>
      </w:r>
    </w:p>
    <w:p w14:paraId="1A1AEFE0" w14:textId="77777777" w:rsidR="00DD07CF" w:rsidRDefault="0BE2D7A4" w:rsidP="0BE2D7A4">
      <w:pPr>
        <w:pStyle w:val="af"/>
        <w:numPr>
          <w:ilvl w:val="0"/>
          <w:numId w:val="26"/>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EU-Central Asia Policy Dialogue on Environment and Climate Change (WECOOP).</w:t>
      </w:r>
    </w:p>
    <w:p w14:paraId="3AA66978" w14:textId="77777777" w:rsidR="00DD07CF" w:rsidRDefault="0BE2D7A4" w:rsidP="0BE2D7A4">
      <w:pPr>
        <w:pStyle w:val="af"/>
        <w:numPr>
          <w:ilvl w:val="0"/>
          <w:numId w:val="26"/>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Central Asian Water and Energy Program (CAWEP).</w:t>
      </w:r>
    </w:p>
    <w:p w14:paraId="494492D7" w14:textId="77777777" w:rsidR="00DD07CF" w:rsidRDefault="0BE2D7A4">
      <w:pPr>
        <w:pStyle w:val="af"/>
        <w:numPr>
          <w:ilvl w:val="0"/>
          <w:numId w:val="26"/>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 xml:space="preserve">Financial Resilience and Accelerated Disaster Risk Reduction Program. (From assistance to a new partnership [128]. </w:t>
      </w:r>
    </w:p>
    <w:p w14:paraId="42FD83EB"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EU supports ongoing legal reforms in Kazakhstan and the promotion of human rights by offering experience and know-how, in particular through financial and technical cooperation and specific projects funded under the European Instrument for Democracy and Human Rights.</w:t>
      </w:r>
    </w:p>
    <w:p w14:paraId="0ECC5093"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With a budget of €1 million a year, the EU is funding various projects in Kazakhstan that focus on promoting a pluralistic political system while strengthening the role of civil society.</w:t>
      </w:r>
    </w:p>
    <w:p w14:paraId="1E39DA40"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Kazakhstan also benefits from a number of tools and programs:</w:t>
      </w:r>
    </w:p>
    <w:p w14:paraId="50972ACD" w14:textId="77777777" w:rsidR="00DD07CF" w:rsidRDefault="0BE2D7A4" w:rsidP="0BE2D7A4">
      <w:pPr>
        <w:pStyle w:val="af"/>
        <w:numPr>
          <w:ilvl w:val="0"/>
          <w:numId w:val="27"/>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An instrument of cooperation in the field of nuclear safety, contributing to the provision of a high level of nuclear safety, radiation protection and the application of effective and efficient safeguards for nuclear materials in third countries;</w:t>
      </w:r>
    </w:p>
    <w:p w14:paraId="3AD9FECD" w14:textId="77777777" w:rsidR="00DD07CF" w:rsidRDefault="0BE2D7A4" w:rsidP="0BE2D7A4">
      <w:pPr>
        <w:pStyle w:val="af"/>
        <w:numPr>
          <w:ilvl w:val="0"/>
          <w:numId w:val="27"/>
        </w:numPr>
        <w:shd w:val="clear" w:color="auto" w:fill="FFFFFF" w:themeFill="background1"/>
        <w:spacing w:after="0" w:line="240" w:lineRule="auto"/>
        <w:jc w:val="both"/>
        <w:rPr>
          <w:rFonts w:eastAsia="Times New Roman"/>
          <w:sz w:val="28"/>
          <w:szCs w:val="28"/>
          <w:lang w:val="en-US" w:eastAsia="ru-RU"/>
        </w:rPr>
      </w:pPr>
      <w:r w:rsidRPr="0BE2D7A4">
        <w:rPr>
          <w:rFonts w:eastAsia="Times New Roman"/>
          <w:sz w:val="28"/>
          <w:szCs w:val="28"/>
          <w:lang w:val="en-US" w:eastAsia="ru-RU"/>
        </w:rPr>
        <w:t>A tool that promotes stability and peace, targeting crisis response, crisis preparedness and conflict prevention: Central Asia Border Management Program (BOMCA) and Central Asia Counter Narcotics Action Program (CADAP).</w:t>
      </w:r>
    </w:p>
    <w:p w14:paraId="0707A3DC"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The Erasmus+ program aimed at supporting the mobility of students and teachers, as well as capacity building projects. For the period 2014-2020, the EU allocates 454.2 million euros for the implementation of regional cooperation projects in Central Asia, including 115 million euros for the Erasmus + program. As part of the Erasmus + program, more than 2,000 short-term scholarships have already been awarded for Kazakhstani students and teaching staff for study and internships in Europe, and almost 1,000 scholarships for European students to study in Kazakhstan. In addition, 137 Kazakh undergraduates received scholarships for a joint master's program in Europe.</w:t>
      </w:r>
    </w:p>
    <w:p w14:paraId="655E0A6D" w14:textId="77777777" w:rsidR="0087145E"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In 2019, in response to a proposal from the Government of Kazakhstan, the EU launched a €2 million program implemented by UNDP in collaboration with UN Women to support the economic empowerment of Afghan women through education and training in Kazakhstan and Uzbekistan. This project aims to build resilience and support the social and economic empowerment of Afghan women through education and training in Kazakhstan and Uzbekistan. This first tripartite cooperation program between the EU, Afghanistan and Central Asia (Kazakhstan and Uzbekistan) expands the scope of development cooperation between the EU and Kazakhstan.</w:t>
      </w:r>
    </w:p>
    <w:p w14:paraId="428FD4B0" w14:textId="77777777" w:rsidR="0087145E"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The EU and its member states have mobilized €134 million for the countries of Central Asia. In July 2020, the EU launched the €3 million Solidarity Program for Response to the COVID-19 Crisis in Central Asia, with a focus on Kazakhstan and Turkmenistan.</w:t>
      </w:r>
    </w:p>
    <w:p w14:paraId="2867F87E" w14:textId="77777777" w:rsidR="00DD07CF" w:rsidRDefault="0BE2D7A4" w:rsidP="0087145E">
      <w:pPr>
        <w:pStyle w:val="af"/>
        <w:shd w:val="clear" w:color="auto" w:fill="FFFFFF" w:themeFill="background1"/>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 xml:space="preserve">The program, implemented by the World Health Organization, will provide support for two years to mitigate the impact of the current outbreak of the pandemic and contribute to the long-term resilience of national health systems [128]. </w:t>
      </w:r>
    </w:p>
    <w:p w14:paraId="526770CE" w14:textId="77777777" w:rsidR="0087145E" w:rsidRDefault="0087145E" w:rsidP="0087145E">
      <w:pPr>
        <w:pStyle w:val="af"/>
        <w:shd w:val="clear" w:color="auto" w:fill="FFFFFF" w:themeFill="background1"/>
        <w:spacing w:after="0" w:line="240" w:lineRule="auto"/>
        <w:ind w:firstLine="709"/>
        <w:jc w:val="both"/>
        <w:rPr>
          <w:rFonts w:eastAsia="Times New Roman"/>
          <w:sz w:val="28"/>
          <w:szCs w:val="28"/>
          <w:lang w:val="en-US" w:eastAsia="ru-RU"/>
        </w:rPr>
      </w:pPr>
    </w:p>
    <w:p w14:paraId="4F57F22E" w14:textId="77777777" w:rsidR="0087145E" w:rsidRPr="00FC6AE4" w:rsidRDefault="0BE2D7A4" w:rsidP="00FC6AE4">
      <w:pPr>
        <w:pStyle w:val="af"/>
        <w:shd w:val="clear" w:color="auto" w:fill="FFFFFF" w:themeFill="background1"/>
        <w:spacing w:after="0" w:line="240" w:lineRule="auto"/>
        <w:ind w:firstLine="708"/>
        <w:jc w:val="both"/>
        <w:rPr>
          <w:rFonts w:eastAsia="Times New Roman"/>
          <w:b/>
          <w:bCs/>
          <w:sz w:val="28"/>
          <w:szCs w:val="28"/>
          <w:lang w:val="en-US" w:eastAsia="ru-RU"/>
        </w:rPr>
      </w:pPr>
      <w:r w:rsidRPr="50F76268">
        <w:rPr>
          <w:rFonts w:eastAsia="Times New Roman"/>
          <w:b/>
          <w:bCs/>
          <w:sz w:val="28"/>
          <w:szCs w:val="28"/>
          <w:lang w:val="en-US" w:eastAsia="ru-RU"/>
        </w:rPr>
        <w:t xml:space="preserve">3.2. </w:t>
      </w:r>
      <w:r w:rsidR="1D4D99F5" w:rsidRPr="50F76268">
        <w:rPr>
          <w:rFonts w:eastAsia="Times New Roman"/>
          <w:b/>
          <w:bCs/>
          <w:sz w:val="28"/>
          <w:szCs w:val="28"/>
          <w:lang w:val="en-US" w:eastAsia="ru-RU"/>
        </w:rPr>
        <w:t>Dynamics of partnership between the EU and the countries of Central Asia at the present stage</w:t>
      </w:r>
    </w:p>
    <w:p w14:paraId="64D52FC7"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Another key area of ​​EU cooperation with the Central Asian states is assistance in the humanitarian and social sphere, related, among other things, to the promotion of the EU's "soft power" in the region.</w:t>
      </w:r>
    </w:p>
    <w:p w14:paraId="114F79DD"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In November 2014, EU High Commissioner for Foreign Policy K. Ashton was on a visit to Central Asia. During it, it was confirmed that cooperation in the "Central Asia - EU" format in the humanitarian and social areas will continue to develop. </w:t>
      </w:r>
    </w:p>
    <w:p w14:paraId="02480C06"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On October 9, 2014, Head of the Cooperation Section of the Delegation of the European Union to Kyrgyzstan J.S. Madsen said that the European Union allocates to the countries of Central Asia from 2014 to 2020. 1 billion euros for the implementation of various projects in the field of the rule of law, the development of education, the development of rural regions, etc. The funds will be allocated on a bilateral basis to Kyrgyzstan, Tajikistan, Turkmenistan and Uzbekistan. Kazakhstan, on the other hand, can receive assistance through regional cooperation, which will also receive part of the declared funds.</w:t>
      </w:r>
    </w:p>
    <w:p w14:paraId="2CF2A45D" w14:textId="77777777" w:rsidR="00DD07CF" w:rsidRDefault="0BE2D7A4" w:rsidP="0BE2D7A4">
      <w:pPr>
        <w:pStyle w:val="af"/>
        <w:shd w:val="clear" w:color="auto" w:fill="FFFFFF" w:themeFill="background1"/>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previous seven-year period of cooperation between the EU and Central Asia from 2006 to 2013 was designated the amount of 750 million euros. From 1991 to 2004 EU financial assistance to the countries of the Central Asian region amounted to 1.132 billion euros. The funds were used to ensure food security in the form of humanitarian assistance, to fight poverty, support education and the creation of civil society.</w:t>
      </w:r>
    </w:p>
    <w:p w14:paraId="65AD5A99" w14:textId="77777777" w:rsidR="00DD07CF" w:rsidRDefault="0BE2D7A4" w:rsidP="50F76268">
      <w:pPr>
        <w:pStyle w:val="af"/>
        <w:spacing w:after="0" w:line="240" w:lineRule="auto"/>
        <w:ind w:firstLine="708"/>
        <w:jc w:val="both"/>
        <w:rPr>
          <w:rFonts w:eastAsia="Times New Roman"/>
          <w:sz w:val="28"/>
          <w:szCs w:val="28"/>
          <w:lang w:val="en-US" w:eastAsia="ru-RU"/>
        </w:rPr>
      </w:pPr>
      <w:r w:rsidRPr="50F76268">
        <w:rPr>
          <w:rFonts w:eastAsia="Times New Roman"/>
          <w:sz w:val="28"/>
          <w:szCs w:val="28"/>
          <w:lang w:val="en-US" w:eastAsia="ru-RU"/>
        </w:rPr>
        <w:t>J. S. Madsen's speech gives an idea of how this assistance will be distributed among specific programs, using the example of Kyrgyzstan: it will receive 194 million euros directly, and it will additionally receive about a quarter of 1 billion euros from regional programs. There are three key areas to which funds will be allocated - the rule of law, education and integrated rural developmen</w:t>
      </w:r>
      <w:r w:rsidR="33D97435" w:rsidRPr="50F76268">
        <w:rPr>
          <w:rFonts w:eastAsia="Times New Roman"/>
          <w:sz w:val="28"/>
          <w:szCs w:val="28"/>
          <w:lang w:val="en-US" w:eastAsia="ru-RU"/>
        </w:rPr>
        <w:t xml:space="preserve">t [105]. </w:t>
      </w:r>
    </w:p>
    <w:p w14:paraId="26BCC8DF" w14:textId="77777777" w:rsidR="00DD07CF" w:rsidRDefault="0BE2D7A4">
      <w:pPr>
        <w:pStyle w:val="af"/>
        <w:spacing w:after="0" w:line="240" w:lineRule="auto"/>
        <w:ind w:firstLine="708"/>
        <w:jc w:val="both"/>
        <w:rPr>
          <w:rFonts w:eastAsia="Times New Roman"/>
          <w:sz w:val="28"/>
          <w:szCs w:val="28"/>
          <w:lang w:val="en-US" w:eastAsia="ru-RU"/>
        </w:rPr>
      </w:pPr>
      <w:r w:rsidRPr="50F76268">
        <w:rPr>
          <w:rFonts w:eastAsia="Times New Roman"/>
          <w:sz w:val="28"/>
          <w:szCs w:val="28"/>
          <w:lang w:val="en-US" w:eastAsia="ru-RU"/>
        </w:rPr>
        <w:t>Interaction between Western European countries and other states of Central Asia is also developing. Much attention is paid to cooperation with Turkmenistan in the energy sector. Back in 1997, during a visit to Germany by former President of Turkmenistan S. Niyazov and his meetings with representatives of business circles, German business leaders expressed their interest in investing in Turkmenistan's gas projects, in particular, in the construction of export pipelines. However, at that time, the political situation in neighboring Afghanistan (the Afghan route already seemed the most promising at that time) was at least uncertain, and German business took a wait-and-see attitude. After the change in the situation in Afghanistan, in July 2002, a large group of German businessmen arrived in Ashgabat, headed by the Commissioner of the Government of the Federal Republic of Germany for Foreign Trade, State Secretary of the Federal Ministry of Economics and Technology A. Gerlach. President S. Niyazov invited German companies to participate in the construction of the Caspian gas pipeline, and representatives of the German side analyzed the possibilities of their participation in other promising projects in the gas industry [6].</w:t>
      </w:r>
    </w:p>
    <w:p w14:paraId="247438F4" w14:textId="77777777" w:rsidR="00DD07CF" w:rsidRDefault="0BE2D7A4">
      <w:pPr>
        <w:pStyle w:val="af"/>
        <w:spacing w:after="0" w:line="240" w:lineRule="auto"/>
        <w:ind w:firstLine="708"/>
        <w:jc w:val="both"/>
        <w:rPr>
          <w:rFonts w:eastAsia="Times New Roman"/>
          <w:sz w:val="28"/>
          <w:szCs w:val="28"/>
          <w:lang w:val="en-US" w:eastAsia="ru-RU"/>
        </w:rPr>
      </w:pPr>
      <w:r w:rsidRPr="50F76268">
        <w:rPr>
          <w:rFonts w:eastAsia="Times New Roman"/>
          <w:sz w:val="28"/>
          <w:szCs w:val="28"/>
          <w:lang w:val="en-US" w:eastAsia="ru-RU"/>
        </w:rPr>
        <w:t>German companies participated in the reconstruction of the Turkmenbashi complex of oil refineries, which plays a strategic role in the country's economy. The long-standing "special relationship" that links the leadership of Turkmenistan with Deutshe Bank is also well known. It should be noted that after the death of Niyazov and the coming to power of G. Berdimuhamedov, the contacts of German businessmen with the authorities of Turkmenistan have significantly strengthened. In November 2008, during the visit of the new Turkmen president to Germany, the energy theme was the main one. As Minister of Economics and Technology of Germany M. Gloss noted, the results of the first stage of the international audit of the group of Turkmen oil and gas fields South Iolotan - Osman and Yashlar  provide guarantees to potential investors and make the Turkmen market very attractive for Western companies.</w:t>
      </w:r>
    </w:p>
    <w:p w14:paraId="20B0F743"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In April 2009, the government of Turkmenistan signed a long-term memorandum with the German company RWE as a shareholder in the Nabucco gas pipeline project. It was assumed that Turkmen resources could be connected to this transnational communication through the Caspian through the construction of an underwater pipeline to the coast of Azerbaijan. These issues continued to be discussed later, at the Turkmen-German energy symposium in Berlin in 2011, at the Day of the German Economy in Turkmenistan in 2012. As is known, there was no progress on the issue of building a trans-Caspian gas pipeline. At present, Germany is represented in Turkmenistan in the oil and gas industry, the textile industry, healthcare, transport and communications, and the agro-industrial sector. 62 German companies work here, which have implemented such projects as the construction of lubricating oil and paraffin production units, a diesel fuel purification unit from water at an oil refinery in the city of Turkmenbashi, and the construction of a compressor station in Korpej. Cooperation has been established with German companies to provide the healthcare sector of Turkmenistan with the latest types of medical equipment and train specialists.</w:t>
      </w:r>
    </w:p>
    <w:p w14:paraId="4EE83DEF"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Italians are also preparing to enter the Turkmen market in the foreseeable future. During the meeting, which took place back in November 2009 in Rome, the former Italian Prime Minister S. Berlusconi and the former President of Turkmenistan G. Berdimuhamedov signed four major cooperation agreements, including in the energy sector, including an agreement on the joint gas production of ENI and state concern "Turkmengaz". A number of new agreements in continuation of the above were concluded in early May 2015 during the visit of President Berdimuhamedov to Italy.</w:t>
      </w:r>
    </w:p>
    <w:p w14:paraId="4ECFE4BA"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One of the significant moments in the relations of Turkmenistan with the EU can be called the accreditation in February 2020 of the Ambassador of the European Union. Prior to this, European interests in Ashgabat were represented by the head of the EU Contact Office in Turkmenistan. The full-scale Delegation of the European Union in Ashgabat was opened only in the summer of 2019.</w:t>
      </w:r>
    </w:p>
    <w:p w14:paraId="5AB78544"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Thus, based on the decision of Brussels to change the presence in Turkmenistan to a full-fledged representation and appointment of an Ambassador Extraordinary and Plenipotentiary to Ashgabat, one can expect an intensification of cooperation between Turkmenistan and the EU, including in the implementation of the project for the supply of Turkmen gas to Europe [147].</w:t>
      </w:r>
    </w:p>
    <w:p w14:paraId="0E4AAD2D"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Since 2007, the activities of the OSCE Center in Turkmenistan, which previously had only monitoring functions, have expanded.</w:t>
      </w:r>
    </w:p>
    <w:p w14:paraId="7A6CCEE3"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However, even despite the fact that the European Union has to a certain extent entrenched itself in the Turkmen economy, the scale of European influence on the country is still insignificant. The level of trade relations between the EU and Turkmenistan remains at a rather low level. European exports to the country have almost halved from 1.16 billion euros in 2016 to 571 million in 2019. A similar trend is observed with Turkmen exports to the EU, which decreased from 637 million euros in 2016 to 377.2 million euros in 2019. At the same time, in 2018 it showed the lowest historical value, amounting to only 218 million euros [123].</w:t>
      </w:r>
    </w:p>
    <w:p w14:paraId="13716C54"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It should be noted that of all the Central Asian states, Turkmenistan receives the smallest amount of assistance from the EU. This is due both to the rather closed nature of society and the impossibility of carrying out the activities of foreign non-governmental organizations in the country, and to the relatively high level of official per capita income. It is noteworthy that under the assistance program for 2014-2020, the EU provided assistance to Turkmenistan only in the field of education, and then only until 2017.</w:t>
      </w:r>
    </w:p>
    <w:p w14:paraId="4A6818CA"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The weakness of the economic presence of the European Union in Turkmenistan is also due to the fact that European business here is still limited mainly to participation in projects on the Caspian shelf. Given the absence of any prospects for large-scale oil production, European companies are highly likely to leave the shelf. Moreover, in the conditions of low world oil prices, its production in deep water areas is likely to become unprofitable.</w:t>
      </w:r>
    </w:p>
    <w:p w14:paraId="524CFD3D"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European-Turkmen interaction is also complicated by the ongoing disagreements on human rights issues in Turkmenistan, as well as, to a certain extent, a specific external course: formally neutral, but essentially isolationist. And although this course was especially typical for the period of S. Niyazov's rule (1991-2006), during the presidency of G. Berdimuhamedov (since 2007), there were no cardinal changes in the foreign policy of Turkmenistan.</w:t>
      </w:r>
    </w:p>
    <w:p w14:paraId="7A8B50E5"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We consider D. Alexandrov's opinion regarding the disputability of V. Paramonov's, A. Strokov's and Z. Abduganieva's convictions that changes in the political system of Turkmenistan are among the achievements of the EU in Central Asia not groundless. Thus, the work of this group of authors notes “a shift from a de facto totalitarian regime under President S. Niyazov to a milder authoritarianism with formal elements of a democratic state” [148].</w:t>
      </w:r>
    </w:p>
    <w:p w14:paraId="2A9110AB"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From the recent events, we should note the meeting on May 4, 2022. Turkmen leader Serdar Berdimuhamedov met with the EU Special Representative for Central Asia, Teri Hakala. The parties informed each other of their interest in further expanding the established effective cooperation. In this context, mutual readiness to search for better forms and new vectors of interaction, as well as its intensification in the field of politics, economics, the cultural and humanitarian sector and ecology, was noted.</w:t>
      </w:r>
    </w:p>
    <w:p w14:paraId="1590D4B8"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Berdimuhamedov stressed that the development of mutually beneficial ties with the European community has been and remains one of the main aspects of the state's foreign policy aimed at strengthening international partnerships for the benefit of common interests. Along with this, he expressed confidence that the current visit of Hakala will contribute to the further development of relations between Turkmenistan and the EU, as well as give a new impetus to the expansion of the dialogue.</w:t>
      </w:r>
    </w:p>
    <w:p w14:paraId="3C51ED5A" w14:textId="77777777" w:rsidR="00DD07CF" w:rsidRDefault="0BE2D7A4">
      <w:pPr>
        <w:pStyle w:val="af"/>
        <w:spacing w:after="0" w:line="240" w:lineRule="auto"/>
        <w:ind w:firstLine="708"/>
        <w:jc w:val="both"/>
        <w:rPr>
          <w:rFonts w:eastAsia="Times New Roman"/>
          <w:sz w:val="28"/>
          <w:szCs w:val="28"/>
          <w:lang w:val="en-US" w:eastAsia="ru-RU"/>
        </w:rPr>
      </w:pPr>
      <w:r w:rsidRPr="50F76268">
        <w:rPr>
          <w:rFonts w:eastAsia="Times New Roman"/>
          <w:sz w:val="28"/>
          <w:szCs w:val="28"/>
          <w:lang w:val="en-US" w:eastAsia="ru-RU"/>
        </w:rPr>
        <w:t xml:space="preserve">The interlocutors focused on the projects implemented in the state together with the Union in the field of legislation, education, development of information and communication technologies, agro-industrial complex and water management, assistance in the implementation of international conventions on ensuring nature protection, climate change and others. </w:t>
      </w:r>
    </w:p>
    <w:p w14:paraId="49903DD1"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Uzbekistan, having a huge geopolitical importance, plays a somewhat smaller role than Kazakhstan and Turkmenistan in terms of European economic interests. Germany began economic cooperation with Uzbekistan back in 1992. To date, relations between the two states are regulated by more than 100 treaties and agreements on interstate, intergovernmental and interdepartmental levels. Since 1994, intergovernmental agreements “On financial and technical cooperation” have been concluded between the Republic of Uzbekistan and Germany on an annual basis, indicating a list of joint projects planned for implementation by both parties within the framework of German state concessional loans and grants. Germany participates in more than 50 projects implemented in Uzbekistan on the terms of export financing. Total cost of these projects is almost 1 billion US dollars. In 2014, the trade turnover between Uzbekistan and Germany increased by 10% compared to 2013, reaching 461.2 million euros.</w:t>
      </w:r>
    </w:p>
    <w:p w14:paraId="50B15530" w14:textId="77777777" w:rsidR="00DD07CF" w:rsidRDefault="0BE2D7A4" w:rsidP="0087145E">
      <w:pPr>
        <w:pStyle w:val="af"/>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An important role in the development of relations between Uzbekistan and the EU was played by the visit of President I. Karimov to Brussels on January 24, 2011. During it, a Memorandum of Cooperation in the energy sector, a Memorandum on the implementation of financial and technical cooperation projects and an Agreement on the establishment of the EU Delegation in Uzbekistan were signed. Head of the European Commission J.M. Barroso welcomed the signing of these documents, saying that the new memorandums open up great prospects for cooperation between the EU and Uzbekistan in the field of energy, in the modernization of the fuel and energy complex, in the implementation of energy-saving technologies and the development of transport, communication and transit corridors between regions [6].</w:t>
      </w:r>
    </w:p>
    <w:p w14:paraId="3829966D" w14:textId="77777777" w:rsidR="00DD07CF" w:rsidRDefault="0BE2D7A4" w:rsidP="0087145E">
      <w:pPr>
        <w:pStyle w:val="af"/>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Uzbekistan takes an active part in the events held within the framework of the interregional dialogue between the EU and Central Asia at the level of foreign ministers. In this regard, on May 18, 2015, a delegation of Uzbekistan headed by the Minister of Foreign Affairs A. Kamilov visited Brussels to participate in the regular meeting of the EU Cooperation Council - the Republic of Uzbekistan. A Memorandum was signed on the establishment and functioning in Tashkent of the Regional Secretariat of Centers of Excellence for Chemical, Biological, Radiological and Nuclear Materials for Central Asia.</w:t>
      </w:r>
    </w:p>
    <w:p w14:paraId="23D233A4" w14:textId="77777777" w:rsidR="00DD07CF" w:rsidRDefault="0BE2D7A4" w:rsidP="0087145E">
      <w:pPr>
        <w:pStyle w:val="af"/>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On February 9, 1995, the Partnership and Cooperation Agreement between the Kyrgyz Republic and the European Union was signed in Brussels (entered into force on June 1, 1999). The content and text of these agreements are quite similar, so this document can be called a model. Priority in cooperation was given to the economic direction. However, the document also provides for the provision of an appropriate framework for the political dialogue of the parties, the promotion of sustainable development, the strengthening of political and economic freedoms, the support of Kyrgyzstan's efforts to strengthen democracy, the provision of a basis for social and cultural cooperation, and the promotion of activities of mutual interest [120].</w:t>
      </w:r>
    </w:p>
    <w:p w14:paraId="4B3BD07A"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After the entry into force of this Agreement in the early 2000s, interaction began to develop by connecting other areas of cooperation - issues of regional security, energy and water resources, as well as human rights issues.</w:t>
      </w:r>
    </w:p>
    <w:p w14:paraId="0DB3707A"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Within the framework of the basic document, as well as other sectoral agreements, the European Union provided assistance to Kyrgyzstan in a wide range of areas: ecology, development of democratic institutions, human rights, socio-economic, humanitarian and educational reforms, border security, combating drug trafficking, ensuring food security.</w:t>
      </w:r>
    </w:p>
    <w:p w14:paraId="033D248F" w14:textId="77777777" w:rsidR="00DD07CF" w:rsidRDefault="0BE2D7A4" w:rsidP="0087145E">
      <w:pPr>
        <w:pStyle w:val="af"/>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After the “Tulip Revolution” of 2005, Kyrgyzstan was considered by Europe for a long time as an “island of democracy” in Central Asia.</w:t>
      </w:r>
    </w:p>
    <w:p w14:paraId="01116295" w14:textId="77777777" w:rsidR="00DD07CF" w:rsidRDefault="0BE2D7A4" w:rsidP="0087145E">
      <w:pPr>
        <w:pStyle w:val="af"/>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 xml:space="preserve">By developing contacts with the EU, the leadership of Kyrgyzstan hoped to give its foreign policy a more balanced character, balancing the expanding influence of Russia and the declining presence of the United States. </w:t>
      </w:r>
    </w:p>
    <w:p w14:paraId="47CE5B57" w14:textId="77777777" w:rsidR="00DD07CF" w:rsidRDefault="0BE2D7A4" w:rsidP="0087145E">
      <w:pPr>
        <w:pStyle w:val="af"/>
        <w:spacing w:after="0" w:line="240" w:lineRule="auto"/>
        <w:ind w:firstLine="709"/>
        <w:jc w:val="both"/>
        <w:rPr>
          <w:rFonts w:eastAsia="Times New Roman"/>
          <w:sz w:val="28"/>
          <w:szCs w:val="28"/>
          <w:lang w:val="en-US" w:eastAsia="ru-RU"/>
        </w:rPr>
      </w:pPr>
      <w:r w:rsidRPr="0BE2D7A4">
        <w:rPr>
          <w:rFonts w:eastAsia="Times New Roman"/>
          <w:sz w:val="28"/>
          <w:szCs w:val="28"/>
          <w:lang w:val="en-US" w:eastAsia="ru-RU"/>
        </w:rPr>
        <w:t>It should be noted that the European Union has become one of the main donors of Kyrgyzstan in the field of sustainable development and reforms. Between 2014 and 2020, the EU provided the country with €174 million in development grants. Assistance focused primarily on three main areas and measures to support them: integrated rural development, education and the rule of law. More than 70% of EU bilateral assistance to Kyrgyzstan is provided in the form of budgetary support - the funds are transferred to the state budget, and the Kyrgyz authorities are responsible for implementing reforms in accordance with the criteria agreed between the parties [122].</w:t>
      </w:r>
    </w:p>
    <w:p w14:paraId="094D77D3"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It is noteworthy that since 2016, the trade turnover between the EU and Kyrgyzstan has been showing stable growth. If in 2015 it was 320.5 million euros, then in 2018 it reached 917.3 million euros, and in 2019 - 1.15 billion euros.</w:t>
      </w:r>
    </w:p>
    <w:p w14:paraId="5D504D0E"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It should also be noted here that Kyrgyzstan is one of the two Central Asian countries (along with Kazakhstan) with which the European Union has a trade deficit. The dynamics of this deficit was outlined in 2018. While in 2017, exports from the EU to Kyrgyzstan exceeded imports from Kyrgyzstan to the EU by 127 million euros, in 2018 they began to yield to imports by 347.5 million euros, and in 2019 - by 486 million euros [123].</w:t>
      </w:r>
    </w:p>
    <w:p w14:paraId="28215D0F"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At the same time, it is necessary to pay attention to the continuing raw orientation of Kyrgyz exports, which mainly consists of precious metals and gold, agricultural products (raw cotton, tobacco, vegetables, beans, mushrooms and fruits), vehicles and their parts, engines, equipment , waste of ferrous and non-ferrous metals. In turn, machines (industrial equipment, mechanical devices, electrical machines and components), vehicles and their parts, optical instruments and instruments, pharmaceuticals, various food products, mineral oils (lubricants), paper, cardboard and products from them [124].</w:t>
      </w:r>
    </w:p>
    <w:p w14:paraId="5DC7FDCF"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In November 2017, the High Representative of the EU for Foreign Affairs and Security Policy F. Mogherini visited Bishkek, who stated that the European Union is ready to start negotiations on a new agreement on in-depth partnership and cooperation with the Kyrgyz Republic in the near future. She also noted that “in recent years, significant work has been carried out in Kyrgyzstan to improve the electoral process and increase the transparency of elections, which is a good example not only for the republic, but for the entire region of Central Asia” [125]. </w:t>
      </w:r>
    </w:p>
    <w:p w14:paraId="6BBE814C" w14:textId="77777777" w:rsidR="00DD07CF" w:rsidRDefault="0BE2D7A4">
      <w:pPr>
        <w:pStyle w:val="af"/>
        <w:spacing w:after="0" w:line="240" w:lineRule="auto"/>
        <w:ind w:firstLine="708"/>
        <w:jc w:val="both"/>
        <w:rPr>
          <w:rFonts w:eastAsia="Times New Roman"/>
          <w:sz w:val="28"/>
          <w:szCs w:val="28"/>
          <w:lang w:val="en-US" w:eastAsia="ru-RU"/>
        </w:rPr>
      </w:pPr>
      <w:r w:rsidRPr="0BE2D7A4">
        <w:rPr>
          <w:rFonts w:eastAsia="Times New Roman"/>
          <w:sz w:val="28"/>
          <w:szCs w:val="28"/>
          <w:lang w:val="en-US" w:eastAsia="ru-RU"/>
        </w:rPr>
        <w:t xml:space="preserve">Earlier, on October 9, 2017, the Council of the European Union approved a mandate to negotiate a draft new Enhanced Partnership and Cooperation Agreement between the EU and Kyrgyzstan. </w:t>
      </w:r>
      <w:r w:rsidRPr="0BE2D7A4">
        <w:rPr>
          <w:rFonts w:eastAsia="Times New Roman"/>
          <w:sz w:val="28"/>
          <w:szCs w:val="28"/>
          <w:lang w:val="en-US"/>
        </w:rPr>
        <w:t xml:space="preserve">This agreement, which includes eight sections and covers almost all areas of interaction, should become a new framework document aimed at strengthening Kyrgyz-European relations in all areas of cooperation. The first round of negotiations on the new project took place in Brussels on December 19, 2017 [126]. </w:t>
      </w:r>
    </w:p>
    <w:p w14:paraId="5316E84D"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total, five negotiating rounds were held (in December 2017, in March, April, June and October 2018). The negotiations were held within the framework of three joint thematic negotiating groups: 1) common goals, issues of political dialogue and reforms, justice and freedom, human rights and security; 2) trade and investment; 3) sectoral issues, economic and sustainable development, current realities and future prospects [126].</w:t>
      </w:r>
    </w:p>
    <w:p w14:paraId="7BA98C86"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This agreement, which includes eight sections and covers almost all areas of interaction, should become a new framework document aimed at strengthening Kyrgyz-European relations in all areas of cooperation. The first round of negotiations on the new project took place in Brussels on December 19, 2017 [126]. In total, five negotiating rounds were held (in December 2017, in March, April, June and October 2018). </w:t>
      </w:r>
    </w:p>
    <w:p w14:paraId="35E5F3F1" w14:textId="13DF5D48"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During his visit to Brussels on April 11, 2018, the President of Kyrgyzstan S. Jeenbekov noted that the country attaches priority to cooperation with the European Union and moreover, Kyrgyzstan considers the EU as an important partner for sustainable development. He welcomed the launch of negotiations on a new Enhanced Partnership Agreement and praised the assistance provided by the EU aimed at strengthening the principles of democracy and the socio-economic development of the country. In turn, the HR/VP F.Mogherini stated that “the EU fully supports the initiatives of Kyrgyzstan,</w:t>
      </w:r>
      <w:r w:rsidR="6A6B7DA0" w:rsidRPr="607F5231">
        <w:rPr>
          <w:rFonts w:ascii="Times New Roman" w:eastAsia="Times New Roman" w:hAnsi="Times New Roman" w:cs="Times New Roman"/>
          <w:sz w:val="28"/>
          <w:szCs w:val="28"/>
          <w:lang w:val="en-US"/>
        </w:rPr>
        <w:t xml:space="preserve"> </w:t>
      </w:r>
      <w:r w:rsidRPr="607F5231">
        <w:rPr>
          <w:rFonts w:ascii="Times New Roman" w:eastAsia="Times New Roman" w:hAnsi="Times New Roman" w:cs="Times New Roman"/>
          <w:sz w:val="28"/>
          <w:szCs w:val="28"/>
          <w:lang w:val="en-US"/>
        </w:rPr>
        <w:t>and will continue to assist in the implementation of the priority areas for the development of the country voiced by the President of Kyrgyzstan” [127].</w:t>
      </w:r>
    </w:p>
    <w:p w14:paraId="699E2036"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On July 6, 2019, during the visit of F. Mogherini to Kyrgyzstan, the initialing of the new Agreement on Enhanced Partnership and Cooperation between Kyrgyzstan and the European Union took place. In addition, a Financial Agreement was signed on the education program in the amount of 35.76 million euros for 2019-2021, aimed at supporting the Government of Kyrgyzstan in implementing structural reforms in the education sector [130]. </w:t>
      </w:r>
    </w:p>
    <w:p w14:paraId="11458DC5"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Thus, the process of agreeing on a new basic agreement between Kyrgyzstan and the EU took a little more than a year and a half, which can be called a record time for such a document. On the other hand, it should be borne in mind that the text of the agreement itself and the negotiation model used during its discussion were, in fact, borrowed from a similar negotiation process between the EU and Kazakhstan. </w:t>
      </w:r>
    </w:p>
    <w:p w14:paraId="4C094A6E"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Initially, it was assumed that the Agreement would be signed before the end of 2019, but in December the head of the EU Delegation announced that the procedure was postponed until next year, and the spokesman for the Delegation explained that the draft was being studied for consistency with the international obligations of both parties [131].</w:t>
      </w:r>
    </w:p>
    <w:p w14:paraId="35889F76"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However, the Agreement was not signed in 2020 either, which is due, on the one hand, to objective technical reasons caused by the COVID-19 pandemic, and, on the other hand, to the political crisis in Kyrgyzstan that began in October 2020, which resulted in another change of power in the country.</w:t>
      </w:r>
    </w:p>
    <w:p w14:paraId="35759A4F"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 On October 15, 2020, the head of European diplomacy J. Borrell made a statement according to which "the European Union has taken note of the resignation of the President of the Kyrgyz Republic S. Jeenbekov after the recent invalidation of the results of the parliamentary elections." The extreme importance of “that the powers and duties of the President are exercised within the legal framework of the Constitution of the Kyrgyz Republic in compliance with the international obligations of the state, including in the areas of the rule of law, human rights and fundamental freedoms,” was emphasized. It is noted that “the transfer of presidential powers by the Speaker of the Jogorku Kenesh to Prime Minister S. Zhaparov raises serious questions, since the Kyrgyz Republic is a parliamentary democracy in which the separation of powers must be respected and maintained” [132]. </w:t>
      </w:r>
    </w:p>
    <w:p w14:paraId="7B9DB1E6"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Commenting on the results of the presidential elections held on January 10, 2021, the European Union noted that, according to the preliminary findings and conclusions of the OSCE/ODIHR International Election Observation Mission, there were unequal conditions for candidates, the use of administrative resources and violations of campaigning procedures. The EU also called for parliamentary elections to be held in the country as soon as possible [133].</w:t>
      </w:r>
    </w:p>
    <w:p w14:paraId="26C188A2"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In addition, referring to the opinion of the Venice Commission of the Council of Europe and the OSCE/ODIHR, the European Union, in its statement of March 19, 2021, drew attention to their conclusions, according to which “certain provisions of the draft new Constitution threaten the necessary balance of the branches of government, as well as the protection of personal freedoms having essential for democracy and the rule of law”, emphasizing “serious shortcomings in the procedure for the development and adoption of the draft of the new Basic Law submitted to the referendum” [134]. </w:t>
      </w:r>
    </w:p>
    <w:p w14:paraId="61FD1647"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Thus, the European Union has probably decided to postpone the signing of the new Agreement until the final normalization of the situation and assessment of the situation in Kyrgyzstan, which should develop after the constitutional referendum and parliamentary elections. </w:t>
      </w:r>
    </w:p>
    <w:p w14:paraId="354C6A73"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bilateral agenda of EU-Kyrgyzstan relations consists of political issues related to the development of democracy, human rights and the rule of law; economic issues related to the expansion of trade; and bilateral assistance programs in these areas.</w:t>
      </w:r>
    </w:p>
    <w:p w14:paraId="3C461427"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Kyrgyzstan is an active participant in the implementation of the EU regional projects for Central Asia. Priority for the country are such areas as education, BOMCA and CADAP projects, as well as the development of the rule of law [135].</w:t>
      </w:r>
    </w:p>
    <w:p w14:paraId="6CD40ADE"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2014-2020, the EU provided €450 million for regional cooperation projects in Central Asia, including €115 million for the Erasmus+ program aimed at enhancing student and faculty mobility and supporting vital people-to-people contacts. However, not all programs work effectively, corruption and bureaucracy are cited as the reasons.</w:t>
      </w:r>
    </w:p>
    <w:p w14:paraId="24FC97BF"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For thirty years of cooperation, a range of problems has been identified, the urgent solution of which will contribute to the growth of positive dynamics in relations between the EU and Kyrgyzstan.</w:t>
      </w:r>
    </w:p>
    <w:p w14:paraId="2BB1544F"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Periodic tension in relations also raises the issue of problems in the field of building a civil society and observance of human rights in Kyrgyzstan, as well as the unstable political situation in the country as a whole.</w:t>
      </w:r>
    </w:p>
    <w:p w14:paraId="3DD58661"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 The new EU Strategy for Central Asia is important for Kyrgyzstan, as it moves its relations with the EU from the “recipient-donor country” plane to a completely different level, where all Central Asian states are considered as EU partners.</w:t>
      </w:r>
    </w:p>
    <w:p w14:paraId="02ACBC3A"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Thus, it is very important for Kyrgyzstan to use all available potential to establish long-term and promising cooperation with the European Union.</w:t>
      </w:r>
    </w:p>
    <w:p w14:paraId="35D87459"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On the whole, only the deepening of democratization processes and the preservation of political stability in Kyrgyzstan can become the guarantor of successful cooperation between Kyrgyzstan and the European Union and receiving further assistance from the EU.</w:t>
      </w:r>
    </w:p>
    <w:p w14:paraId="65AFE06A"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Tajikistan plays the least role in Central Asia for the European Union, both due to its remoteness from the main trade routes, and due to the lack of significant reserves of mineral energy resources in the country.</w:t>
      </w:r>
    </w:p>
    <w:p w14:paraId="46FB9DA9"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On the other hand, the European Union also does not take first place among the foreign policy priorities of Tajikistan. In the Concept of its foreign policy, adopted in 2015, cooperation with the EU is mentioned only after listing such partners as Russia, the Central Asian states and other CIS countries, China, Afghanistan, Iran and the United States.</w:t>
      </w:r>
    </w:p>
    <w:p w14:paraId="5EDEC07F"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President of Tajikistan E. Rahmon paid an official visit to the headquarters of the European Union four times (in February 2009 in Brussels, in June 2011 in Strasbourg, in April 2013 and December 2015 in Brussels). During the first visit, which took place on February 9-11, 2009, an Agreement on Cooperation between the European Investment Bank and the Republic of Tajikistan was signed. On November 29, 2012, within the framework of business visit to Central Asia, Tajikistan was visited by the EU HR / VP K.Ashton [138].</w:t>
      </w:r>
    </w:p>
    <w:p w14:paraId="48871AEC"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May 2019, as part of his tour of the countries of Central Asia, Dushanbe was visited for the first time by the President of the European Council D. Tusk. As one of the reasons for his visit, he noted the importance of Tajikistan in maintaining the security of the entire region. Having also visited the Tajik-Afghan border, D. Tusk noted that he was impressed by how much Tajikistan is doing to protect it, saying that he would seriously increase his assistance under the Border Management Program in Central Asia [139].</w:t>
      </w:r>
    </w:p>
    <w:p w14:paraId="578C8739"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legal basis for bilateral relations between the EU and Tajikistan is the Partnership and Cooperation Agreement signed on October 11, 2004 and entered into force on January 1, 2010. Thus, Tajikistan became the last country in the region to sign such an agreement with the European Union. At the same time, almost immediately after its entry into force, the European Union opened its full-fledged diplomatic representation in Brussels (the second full-fledged representation in the region).</w:t>
      </w:r>
    </w:p>
    <w:p w14:paraId="119C920C"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The signing of the Agreement was a significant event confirming that Tajikistan has made progress in overcoming its internal problems and reflects the recognition of the European Union in the desire of the republic to cooperate in the fight against terrorism and drug trafficking, as well as international humanitarian assistance in support of Afghanistan [141]. </w:t>
      </w:r>
    </w:p>
    <w:p w14:paraId="06BD3886" w14:textId="77777777" w:rsidR="00DD07CF" w:rsidRDefault="0BE2D7A4" w:rsidP="0BE2D7A4">
      <w:pPr>
        <w:spacing w:after="0" w:line="240" w:lineRule="auto"/>
        <w:ind w:firstLine="708"/>
        <w:jc w:val="both"/>
        <w:rPr>
          <w:sz w:val="28"/>
          <w:szCs w:val="28"/>
          <w:lang w:val="en-US"/>
        </w:rPr>
      </w:pPr>
      <w:r w:rsidRPr="0BE2D7A4">
        <w:rPr>
          <w:rFonts w:ascii="Times New Roman" w:eastAsia="Times New Roman" w:hAnsi="Times New Roman" w:cs="Times New Roman"/>
          <w:sz w:val="28"/>
          <w:szCs w:val="28"/>
          <w:lang w:val="en-US"/>
        </w:rPr>
        <w:t xml:space="preserve">Tajikistan is also a beneficiary country of the EU's Generalized System of Preferences (GSP), through which the EU grants developing countries preferential access to its market by reducing tariffs on their products when they enter the EU market. Currently, Tajikistan and the EU are negotiating the accession of the country to the “European Union Program for Special Promotion of Sustainable Development (GSP+)”. </w:t>
      </w:r>
      <w:r w:rsidRPr="0BE2D7A4">
        <w:rPr>
          <w:sz w:val="28"/>
          <w:szCs w:val="28"/>
          <w:lang w:val="en-US"/>
        </w:rPr>
        <w:t>[142]</w:t>
      </w:r>
    </w:p>
    <w:p w14:paraId="252A940B"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foreign trade turnover of the Republic of Tajikistan with the countries of the European Community is mainly focused on raw materials. In the structure of Tajik exports, the share of industrial raw materials and agricultural crops, cotton and aluminum is high. The EU, in turn, exports mechanical equipment, cars and pharmaceuticals to Tajikistan.</w:t>
      </w:r>
    </w:p>
    <w:p w14:paraId="702C86ED"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At the same time, the trade turnover of Tajikistan with the European Union is the lowest among the countries of Central Asia. In 2019, it amounted to 217.4 million euros, which is 3 million less than in 2018 (220.6 million euros), but 3 million euros more than in 2017 (214.1 million euros). Despite the fact that the bilateral trade turnover has been quite stable over the past three years, this clearly shows the need for comprehensive work to expand Tajik exports to the EU.</w:t>
      </w:r>
    </w:p>
    <w:p w14:paraId="52B643AE"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EU's bilateral development assistance to Tajikistan has increased from about 20 million euros per year in the early 2000s to about 33 million euros per year today.</w:t>
      </w:r>
    </w:p>
    <w:p w14:paraId="0BBFD571"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 In 2014-2020 financial assistance was mainly directed to raising the level of education, health care and the development of rural regions. Thus, 70 million euros were allocated for education reform, which includes improving the quality and relevance of general secondary and vocational education and training in order to better prepare school graduates for work.</w:t>
      </w:r>
    </w:p>
    <w:p w14:paraId="3841FA3D"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 57.2 million euros were allocated for the development of healthcare by strengthening the management and management system in the healthcare sector, increasing the quantity, quality and accessibility of medical services.</w:t>
      </w:r>
    </w:p>
    <w:p w14:paraId="73DEBA3F"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Rural development, which aims to ensure the development of rural communities through inclusive capital formation while promoting the sustainable use and management of natural resources and ecosystems, and building resilience to extreme climate conditions, was funded with €100 million.</w:t>
      </w:r>
      <w:r w:rsidRPr="0BE2D7A4">
        <w:rPr>
          <w:sz w:val="28"/>
          <w:szCs w:val="28"/>
          <w:lang w:val="en-US"/>
        </w:rPr>
        <w:t xml:space="preserve"> </w:t>
      </w:r>
      <w:r w:rsidRPr="0BE2D7A4">
        <w:rPr>
          <w:rFonts w:ascii="Times New Roman" w:eastAsia="Times New Roman" w:hAnsi="Times New Roman" w:cs="Times New Roman"/>
          <w:sz w:val="28"/>
          <w:szCs w:val="28"/>
          <w:lang w:val="en-US"/>
        </w:rPr>
        <w:t xml:space="preserve">As noted by the EU itself in its reference materials on cooperation with Tajikistan, “the main interest of the EU in Central Asia is to support long-term stability and promote gradual economic and political reforms to ensure the prosperity of the region in order to increase the involvement of Afghanistan in these processes” [144]. </w:t>
      </w:r>
    </w:p>
    <w:p w14:paraId="7B68A951"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At the regional level, the EU also provides support in the areas of energy, environment, socio-economic development, education, border management (especially with Afghanistan), drug trafficking and crime. Tajikistan also receives thematic support on migration and asylum through the European Initiative for Democracy and Human Rights, as well as financial support through global initiatives such as the Global Education Partnership and the Nuclear Safety Cooperation Instrument.</w:t>
      </w:r>
    </w:p>
    <w:p w14:paraId="08AEC215"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In addition, the European Union has developed a number of lending and investment programs, the implementation of which began in Tajikistan several years ago. The country received its first loan from the EIB in 2011, and in the same year the EU and Tajikistan signed a Financing Agreement for the Human Development Support Program in health, social protection and public financial management. </w:t>
      </w:r>
    </w:p>
    <w:p w14:paraId="129401B0"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The EU also helped Tajikistan's accession to the WTO, which gave the country the opportunity to integrate into the world economy and is expected to give impetus to the development of its trade and investment ties with Europe. </w:t>
      </w:r>
    </w:p>
    <w:p w14:paraId="3AA84C88"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Another promising area, in which the European Union is beginning to show interest in recent years, is its participation in hydropower projects.</w:t>
      </w:r>
    </w:p>
    <w:p w14:paraId="7D8E95FE"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Thus, in mid-2019, the European Union allocated 20 million euros to Tajikistan for the construction of the Sebzor hydroelectric power station in the Gorno-Badakhshan Autonomous Region. It is noted that by providing electricity, the European Union will help develop the area and improve the well-being of vulnerable segments of the population of Tajikistan. The design capacity of the hydroelectric power plant is 10 megawatts with the generation of 60 million kW/h of electricity [145].</w:t>
      </w:r>
    </w:p>
    <w:p w14:paraId="5431B584" w14:textId="77777777" w:rsidR="00DD07CF" w:rsidRDefault="0BE2D7A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addition, according to the Head of the EU Delegation to Tajikistan, M. Yosefson, another HPP in which the EU is considering investing is Kairakkum, which is twice the size of Sebzor. Discussions are currently underway with the European Investment Bank on the financial aspects of a possible reconstruction of this hydroelectric power plant. At the same time, the agreement was actually signed and is now at the stage of studying the environmental impact, which must be carried out before the start of repair work [146].</w:t>
      </w:r>
    </w:p>
    <w:p w14:paraId="7CBEED82" w14:textId="77777777" w:rsidR="00DD07CF" w:rsidRDefault="00DD07CF" w:rsidP="0087145E">
      <w:pPr>
        <w:spacing w:after="0" w:line="240" w:lineRule="auto"/>
        <w:ind w:firstLine="709"/>
        <w:jc w:val="both"/>
        <w:rPr>
          <w:rFonts w:ascii="Times New Roman" w:eastAsia="Times New Roman" w:hAnsi="Times New Roman" w:cs="Times New Roman"/>
          <w:sz w:val="28"/>
          <w:szCs w:val="28"/>
          <w:lang w:val="en-US"/>
        </w:rPr>
      </w:pPr>
    </w:p>
    <w:p w14:paraId="121A1920" w14:textId="77777777" w:rsidR="0087145E" w:rsidRPr="00FC6AE4" w:rsidRDefault="515B4232" w:rsidP="00FC6AE4">
      <w:pPr>
        <w:spacing w:after="0" w:line="240" w:lineRule="auto"/>
        <w:ind w:firstLine="709"/>
        <w:jc w:val="both"/>
        <w:rPr>
          <w:rFonts w:ascii="Times New Roman" w:eastAsia="Times New Roman" w:hAnsi="Times New Roman" w:cs="Times New Roman"/>
          <w:b/>
          <w:bCs/>
          <w:sz w:val="28"/>
          <w:szCs w:val="28"/>
          <w:lang w:val="en-US"/>
        </w:rPr>
      </w:pPr>
      <w:r w:rsidRPr="0BE2D7A4">
        <w:rPr>
          <w:rFonts w:ascii="Times New Roman" w:eastAsia="Times New Roman" w:hAnsi="Times New Roman" w:cs="Times New Roman"/>
          <w:b/>
          <w:bCs/>
          <w:sz w:val="28"/>
          <w:szCs w:val="28"/>
          <w:lang w:val="en-US"/>
        </w:rPr>
        <w:t>3.3. Barriers and problems of the EU strategy implementation in Central Asia</w:t>
      </w:r>
    </w:p>
    <w:p w14:paraId="2D31B52B" w14:textId="77777777" w:rsidR="00DD07CF" w:rsidRDefault="6840E184" w:rsidP="0087145E">
      <w:pPr>
        <w:spacing w:after="0" w:line="240" w:lineRule="auto"/>
        <w:ind w:firstLine="709"/>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When the first EU Strategy for Central Asia of 2007 came to the end</w:t>
      </w:r>
      <w:r w:rsidR="0E0A4A8F" w:rsidRPr="0BE2D7A4">
        <w:rPr>
          <w:rFonts w:ascii="Times New Roman" w:eastAsia="Times New Roman" w:hAnsi="Times New Roman" w:cs="Times New Roman"/>
          <w:sz w:val="28"/>
          <w:szCs w:val="28"/>
          <w:lang w:val="en-US"/>
        </w:rPr>
        <w:t>, the European Council endorsed its further development in its previous form. As EU ministers concluded, the strategy “has proven its worth and relevance”. Among the achievements, the Council highlighted the expansion of the EU diplomatic presence in the regions since 2007 and the response to the crisis in Kyrgyzstan in 2010. It also noted that the previous objectives of the strategy: the protection of human rights, the establishment of the rule of law, democracy and a healthy governance structure; education and youth work; economic development, trade and investment; cooperation in the energy and transport sectors; environmental protection and rational use of water; сountering global security threats – remain relevant. In addition, issues related to Afghanistan have come to the fore. EU ministers noted the need to set clearer objectives for the strategy and formulate a long list of priorities.</w:t>
      </w:r>
    </w:p>
    <w:p w14:paraId="015DFDC1" w14:textId="77777777" w:rsidR="00DD07CF" w:rsidRDefault="0E0A4A8F" w:rsidP="0BE2D7A4">
      <w:p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 </w:t>
      </w:r>
      <w:r w:rsidRPr="00BE02A5">
        <w:rPr>
          <w:lang w:val="en-US"/>
        </w:rPr>
        <w:tab/>
      </w:r>
      <w:r w:rsidRPr="0BE2D7A4">
        <w:rPr>
          <w:rFonts w:ascii="Times New Roman" w:eastAsia="Times New Roman" w:hAnsi="Times New Roman" w:cs="Times New Roman"/>
          <w:sz w:val="28"/>
          <w:szCs w:val="28"/>
          <w:lang w:val="en-US"/>
        </w:rPr>
        <w:t>Undoubtedly, the initial stage of the Strategy implementation has become a prerequisite for the European Union. However, a closer look at the results achieved over the past five years raises more than just technical questions. The EU’s modest achievements in Central Asia raise questions, in particular, about the objectives and political methods of the EU’s work in the countries. Despite the existence of a strategy and the positive assessment that the EU has given to its own work, Europe remains a minor player in Central Asia and does not use its full potential.</w:t>
      </w:r>
      <w:r w:rsidR="4BFB200E" w:rsidRPr="0BE2D7A4">
        <w:rPr>
          <w:rFonts w:ascii="Times New Roman" w:eastAsia="Times New Roman" w:hAnsi="Times New Roman" w:cs="Times New Roman"/>
          <w:sz w:val="28"/>
          <w:szCs w:val="28"/>
          <w:lang w:val="en-US"/>
        </w:rPr>
        <w:t xml:space="preserve"> A closer look at EU policy in Central Asia since 2007 suggests that the EU Strategy has not achieved its stated objectives. The EU has certainly strengthened its presence. European institutions have developed a better understanding of the region’s specifics, European diplomatic missions have been expanded, and the EU has launched a number of assistance programmes. But all these EU efforts do not add up to a coherent strategy. Five years after the launch of the EU Strategy, the EU’s presence in the region is still low-key and vulnerable. The EU lacks a clear understanding of its geopolitical interests and relative competitive advantages.</w:t>
      </w:r>
    </w:p>
    <w:p w14:paraId="4C89E160" w14:textId="77777777" w:rsidR="7AD52AEA" w:rsidRDefault="7AD52AEA"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With the adoption of the new EU Strategy for Central Asia in 2019</w:t>
      </w:r>
      <w:r w:rsidR="5D43785B" w:rsidRPr="0BE2D7A4">
        <w:rPr>
          <w:rFonts w:ascii="Times New Roman" w:eastAsia="Times New Roman" w:hAnsi="Times New Roman" w:cs="Times New Roman"/>
          <w:sz w:val="28"/>
          <w:szCs w:val="28"/>
          <w:lang w:val="en-US"/>
        </w:rPr>
        <w:t xml:space="preserve">, both regions were waiting for more accurate and detailed document. As we have mentioned above, the first strategy lack of accuracy and had a general nature. </w:t>
      </w:r>
      <w:r w:rsidR="376EFF8E" w:rsidRPr="0BE2D7A4">
        <w:rPr>
          <w:rFonts w:ascii="Times New Roman" w:eastAsia="Times New Roman" w:hAnsi="Times New Roman" w:cs="Times New Roman"/>
          <w:sz w:val="28"/>
          <w:szCs w:val="28"/>
          <w:lang w:val="en-US"/>
        </w:rPr>
        <w:t xml:space="preserve"> The new strategy outlined its strategic interests in the region and proposed to build a stronger and more non-exclusive partnership with the Central Asian states so that the region develops as a more resilient, prosperous and cooperative economic and political space.</w:t>
      </w:r>
    </w:p>
    <w:p w14:paraId="0EF02802" w14:textId="77777777" w:rsidR="376EFF8E" w:rsidRDefault="376EFF8E"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However, since the adoption of the latest Strategy, the world has faced two major crises, which </w:t>
      </w:r>
      <w:r w:rsidR="5CD61DE4" w:rsidRPr="0BE2D7A4">
        <w:rPr>
          <w:rFonts w:ascii="Times New Roman" w:eastAsia="Times New Roman" w:hAnsi="Times New Roman" w:cs="Times New Roman"/>
          <w:sz w:val="28"/>
          <w:szCs w:val="28"/>
          <w:lang w:val="en-US"/>
        </w:rPr>
        <w:t xml:space="preserve">did not leave EU-CA cooperation apart. </w:t>
      </w:r>
      <w:r w:rsidR="7017EBC9" w:rsidRPr="0BE2D7A4">
        <w:rPr>
          <w:rFonts w:ascii="Times New Roman" w:eastAsia="Times New Roman" w:hAnsi="Times New Roman" w:cs="Times New Roman"/>
          <w:sz w:val="28"/>
          <w:szCs w:val="28"/>
          <w:lang w:val="en-US"/>
        </w:rPr>
        <w:t xml:space="preserve">Moreover internal events both in Central Asian and European regions </w:t>
      </w:r>
      <w:r w:rsidR="226D925F" w:rsidRPr="0BE2D7A4">
        <w:rPr>
          <w:rFonts w:ascii="Times New Roman" w:eastAsia="Times New Roman" w:hAnsi="Times New Roman" w:cs="Times New Roman"/>
          <w:sz w:val="28"/>
          <w:szCs w:val="28"/>
          <w:lang w:val="en-US"/>
        </w:rPr>
        <w:t xml:space="preserve">had a huge effect on Strategy implementation, which finally led to </w:t>
      </w:r>
      <w:r w:rsidR="268DA7E0" w:rsidRPr="0BE2D7A4">
        <w:rPr>
          <w:rFonts w:ascii="Times New Roman" w:eastAsia="Times New Roman" w:hAnsi="Times New Roman" w:cs="Times New Roman"/>
          <w:sz w:val="28"/>
          <w:szCs w:val="28"/>
          <w:lang w:val="en-US"/>
        </w:rPr>
        <w:t xml:space="preserve">the revision of the latest strategy. </w:t>
      </w:r>
    </w:p>
    <w:p w14:paraId="16565BB0" w14:textId="77777777" w:rsidR="7017EBC9" w:rsidRDefault="7017EBC9"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The very first crisis </w:t>
      </w:r>
      <w:r w:rsidR="62010D3A" w:rsidRPr="0BE2D7A4">
        <w:rPr>
          <w:rFonts w:ascii="Times New Roman" w:eastAsia="Times New Roman" w:hAnsi="Times New Roman" w:cs="Times New Roman"/>
          <w:sz w:val="28"/>
          <w:szCs w:val="28"/>
          <w:lang w:val="en-US"/>
        </w:rPr>
        <w:t xml:space="preserve">is obviously Covid-19 pandemic. </w:t>
      </w:r>
      <w:r w:rsidR="26196C61" w:rsidRPr="0BE2D7A4">
        <w:rPr>
          <w:rFonts w:ascii="Times New Roman" w:eastAsia="Times New Roman" w:hAnsi="Times New Roman" w:cs="Times New Roman"/>
          <w:sz w:val="28"/>
          <w:szCs w:val="28"/>
          <w:lang w:val="en-US"/>
        </w:rPr>
        <w:t>It is well-known, that stagnation came along with Covid-19.</w:t>
      </w:r>
      <w:r w:rsidR="41860368" w:rsidRPr="0BE2D7A4">
        <w:rPr>
          <w:rFonts w:ascii="Times New Roman" w:eastAsia="Times New Roman" w:hAnsi="Times New Roman" w:cs="Times New Roman"/>
          <w:sz w:val="28"/>
          <w:szCs w:val="28"/>
          <w:lang w:val="en-US"/>
        </w:rPr>
        <w:t xml:space="preserve"> The pandemic has also exacerbated the accumulated problems of economic development in individual regions, including the European and Central Asia regions, including insufficient industrial cooperation between countries, exclusion from production chains, barriers to the movement of capital, services, goods and labor.</w:t>
      </w:r>
    </w:p>
    <w:p w14:paraId="6FF417DF" w14:textId="77777777" w:rsidR="700FE315" w:rsidRDefault="700FE315"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United Nations has said that the shock wave of the COVID-19 pandemic has hit developing countries' economies much harder than the global financial crisis of 2008-2009, as the fallout from the coronavirus has hit these countries hard in the form of capital outflows, higher borrowing costs, currency depreciations and loss of export earnings due to the collapse of commodity prices [32].</w:t>
      </w:r>
    </w:p>
    <w:p w14:paraId="29C777FA" w14:textId="77777777" w:rsidR="06CE83F8" w:rsidRDefault="06CE83F8"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2020 was a difficult year for the Central Asian states in all respects, as the coronavirus pandemic led to a slowdown in development. Kyrgyzstan experienced the largest drop in GDP - at 8.6%, followed by Kazakhstan - 2.6% [30]. Such a significant drop in GDP in Kyrgyzstan and Kazakhstan was facilitated by quarantine measures, expressed in the restriction of business activity due to the introduction of lockdowns. In Kyrgyzstan, the GDP level was much lower due to the fact that the country's economy is import-dependent and undiversified, and a significant part of the country's GDP is provided by the service sector, which was effectively suspended in the spring-summer period of 2020. The pandemic and the subsequent restrictions also hit the tourism industry of Kyrgyzstan hard [19, p. 10]. Kyrgyzstan is still experiencing the consequences of Covid restrictions; the country's economy has not yet reached the pre-pandemic 2019 level. Although in the last months of 2021, there has been positive growth in the country's GDP [7].</w:t>
      </w:r>
    </w:p>
    <w:p w14:paraId="6E99BFC3" w14:textId="77777777" w:rsidR="1C7138A1" w:rsidRDefault="1C7138A1"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It is also important to note the EU’s assistance during this period. </w:t>
      </w:r>
      <w:r w:rsidR="15F9C30E" w:rsidRPr="0BE2D7A4">
        <w:rPr>
          <w:rFonts w:ascii="Times New Roman" w:eastAsia="Times New Roman" w:hAnsi="Times New Roman" w:cs="Times New Roman"/>
          <w:sz w:val="28"/>
          <w:szCs w:val="28"/>
          <w:lang w:val="en-US"/>
        </w:rPr>
        <w:t>The EU has mobilized €123 million for the region hit hard by COVID-19 through its Team Europe pandemic response initiative. The assistance aims to mitigate the immediate and long-term health, social and economic challenges caused by the pandemic.</w:t>
      </w:r>
    </w:p>
    <w:p w14:paraId="48FB6179" w14:textId="77777777" w:rsidR="15F9C30E" w:rsidRDefault="15F9C30E"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July 2020, the EU launched a comprehensive €3 million COVID-19 Solidarity Response Programme for the Central Asian region, focusing on Kazakhstan and Turkmenistan. The programme provides support to mitigate the impact of the pandemic and contributes to the long-term resilience of national health systems.</w:t>
      </w:r>
    </w:p>
    <w:p w14:paraId="508BD454" w14:textId="77777777" w:rsidR="15F9C30E" w:rsidRDefault="15F9C30E"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European Investment Bank (EIB) has also mobilized a significant COVID lending package for the region.</w:t>
      </w:r>
    </w:p>
    <w:p w14:paraId="41643E64" w14:textId="77777777" w:rsidR="15F9C30E" w:rsidRDefault="15F9C30E"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Moreover, in 2021 the EU supported Central Asian countries through the COVAX programme, delivering vaccines to the Kyrgyz Republic, Tajikistan and Uzbekistan.</w:t>
      </w:r>
    </w:p>
    <w:p w14:paraId="571DC821" w14:textId="77777777" w:rsidR="7AE89C9A" w:rsidRDefault="7AE89C9A"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Another world crisis that </w:t>
      </w:r>
      <w:r w:rsidR="13D9821E" w:rsidRPr="0BE2D7A4">
        <w:rPr>
          <w:rFonts w:ascii="Times New Roman" w:eastAsia="Times New Roman" w:hAnsi="Times New Roman" w:cs="Times New Roman"/>
          <w:sz w:val="28"/>
          <w:szCs w:val="28"/>
          <w:lang w:val="en-US"/>
        </w:rPr>
        <w:t xml:space="preserve">has shaken </w:t>
      </w:r>
      <w:r w:rsidRPr="0BE2D7A4">
        <w:rPr>
          <w:rFonts w:ascii="Times New Roman" w:eastAsia="Times New Roman" w:hAnsi="Times New Roman" w:cs="Times New Roman"/>
          <w:sz w:val="28"/>
          <w:szCs w:val="28"/>
          <w:lang w:val="en-US"/>
        </w:rPr>
        <w:t xml:space="preserve">the EU-CA cooperation was Ukrainian crisis. </w:t>
      </w:r>
      <w:r w:rsidR="59630413" w:rsidRPr="0BE2D7A4">
        <w:rPr>
          <w:rFonts w:ascii="Times New Roman" w:eastAsia="Times New Roman" w:hAnsi="Times New Roman" w:cs="Times New Roman"/>
          <w:sz w:val="28"/>
          <w:szCs w:val="28"/>
          <w:lang w:val="en-US"/>
        </w:rPr>
        <w:t xml:space="preserve">There is no doubt that </w:t>
      </w:r>
      <w:r w:rsidR="552FC61D" w:rsidRPr="0BE2D7A4">
        <w:rPr>
          <w:rFonts w:ascii="Times New Roman" w:eastAsia="Times New Roman" w:hAnsi="Times New Roman" w:cs="Times New Roman"/>
          <w:sz w:val="28"/>
          <w:szCs w:val="28"/>
          <w:lang w:val="en-US"/>
        </w:rPr>
        <w:t>Russia’s invasion of Ukraine has changed the European Union’s approach to Central Asia. Over the last two years, it has become more important for the EU to maintain this region’s stability and harness its potential in energy and transportation. During this period, both sides have developed a model of regular political contacts at the highest level, updated their strategy for cooperation and launched new economic projects. These moves have been reinforced by complementary steps of the EU’s individual member states, mainly Germany and France. EU-Central Asia relations have been deepening despite the EU’s consistent criticism of the authoritarian nature of Central Asian governments.</w:t>
      </w:r>
    </w:p>
    <w:p w14:paraId="6E5F990A" w14:textId="77777777" w:rsidR="354CA618" w:rsidRDefault="354CA618"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These closer relations have presented the Central Asian states with an opportunity to avoid marginalisation in the wake of the war in Ukraine. They have perceived this as an attractive initiative in economic terms and, to some extent, in political terms, as a way of strengthening the region. Cooperation with the EU has complemented, but not replaced or undermined, Central Asia’s strong ties with Russia and China. These two countries have made it clear that they want to maintain their dominance over this region, but so far they have not made any clearly hostile moves against the EU’s cooperation projects and have even recognised some aspects of these projects as beneficial to themselves.</w:t>
      </w:r>
    </w:p>
    <w:p w14:paraId="7AD82281" w14:textId="77777777" w:rsidR="354CA618" w:rsidRDefault="354CA618"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Under the current conditions, there is scope for the EU and the Central Asian states to further deepen their cooperation. This will depend on international developments, including the outcome of Russia’s invasion of Ukraine, the level of determination of the EU and the regional countries, and on Russia’s and China’s decisions on whether to maintain their restrained attitude.</w:t>
      </w:r>
      <w:r w:rsidR="4FA3747E" w:rsidRPr="0BE2D7A4">
        <w:rPr>
          <w:rFonts w:ascii="Times New Roman" w:eastAsia="Times New Roman" w:hAnsi="Times New Roman" w:cs="Times New Roman"/>
          <w:sz w:val="28"/>
          <w:szCs w:val="28"/>
          <w:lang w:val="en-US"/>
        </w:rPr>
        <w:t xml:space="preserve"> These plans have been reflected in intensive political dialogue (including visits by high-ranking EU politicians), in efforts to find optimal forms of cooperation and in the launches of new projects. Over time, it has become an important goal for the EU to convince the Central Asian states to comply with its sanctions regime against Russia, as Central Asia is a convenient channel for circumventing these restrictions. The EU has also been working with these countries to develop transport initiatives bypassing Russia.</w:t>
      </w:r>
    </w:p>
    <w:p w14:paraId="6EB1117D" w14:textId="77777777" w:rsidR="4FA3747E" w:rsidRDefault="4FA3747E"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Almost two years of work on a new approach to the region culminated in October 2023 when the Council of the European Union adopted the Joint Roadmap for Deepening Ties between the EU and Central Asia, which envisages enhanced cooperation in five key areas. </w:t>
      </w:r>
    </w:p>
    <w:p w14:paraId="38357713" w14:textId="77777777" w:rsidR="4FA3747E" w:rsidRDefault="4FA3747E"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fact, it is an update to the 2019 strategy that reflects the interests of both sides. Before it was drafted, the EU and Central Asia had raised their political dialogue to a higher level. Notably, they held two unprecedented ‘high-level meetings’ with the participation of the President of the European Council, Charles Michel, and most of the region’s leaders.</w:t>
      </w:r>
    </w:p>
    <w:p w14:paraId="743E8758" w14:textId="77777777" w:rsidR="4FA3747E" w:rsidRDefault="4FA3747E"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Economic issues, which are strongly linked to energy, climate/environmental and transport cooperation, feature prominently in the Joint Roadmap. At present, they can be regarded as the most important aspects of mutual relations, and may also be considered as the forward-oriented ‘vehicles’ of EU-Central Asia cooperation. The ties in these areas are those which have been strengthened the most. In November 2022, the EU launched two flagship initiatives for Central Asia as part of the Global Gateway: the Team Europe Initiative on Water, Energy and Climate and the Team Europe Initiative on Digital Connectivity.</w:t>
      </w:r>
    </w:p>
    <w:p w14:paraId="33B2C71A" w14:textId="77777777" w:rsidR="4FA3747E" w:rsidRDefault="4FA3747E"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another important step, in late January 2024 the EU committed to provide €10 billion using various financial instruments to develop the Trans-Caspian International Transport Route (TITR, the so-called Middle Corridor), which connects Europe to China via Central Asia, the Caspian Sea and the Caucasus or Turkey, bypassing Russia.</w:t>
      </w:r>
    </w:p>
    <w:p w14:paraId="3E682DB4" w14:textId="77777777" w:rsidR="4FA3747E" w:rsidRDefault="4FA3747E"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November 2022, the EU signed an agreement with Kazakhstan on a strategic partnership in the area of critical raw materials, batteries and renewable hydrogen; more recently, in April 2024, it reached a similar agreement with Uzbekistan in the field of critical raw materials. These steps have been part of the EU’s efforts to implement its Action Plan on Critical Raw Materials, which was adopted in 2020.</w:t>
      </w:r>
    </w:p>
    <w:p w14:paraId="528D5BEE" w14:textId="77777777" w:rsidR="27D91A2E" w:rsidRDefault="27D91A2E"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Thus, based on the above, the following SWOT analysis can be presented for the implementation of the EU strategy in Central Asia, as well as the development of bilateral relations in general:</w:t>
      </w:r>
    </w:p>
    <w:p w14:paraId="6E36661F" w14:textId="77777777" w:rsidR="0BE2D7A4" w:rsidRDefault="0BE2D7A4" w:rsidP="0BE2D7A4">
      <w:pPr>
        <w:spacing w:after="0" w:line="240" w:lineRule="auto"/>
        <w:ind w:firstLine="708"/>
        <w:jc w:val="both"/>
        <w:rPr>
          <w:rFonts w:ascii="Times New Roman" w:eastAsia="Times New Roman" w:hAnsi="Times New Roman" w:cs="Times New Roman"/>
          <w:sz w:val="28"/>
          <w:szCs w:val="28"/>
          <w:lang w:val="en-US"/>
        </w:rPr>
      </w:pPr>
    </w:p>
    <w:tbl>
      <w:tblPr>
        <w:tblStyle w:val="af0"/>
        <w:tblW w:w="0" w:type="auto"/>
        <w:tblLayout w:type="fixed"/>
        <w:tblLook w:val="06A0" w:firstRow="1" w:lastRow="0" w:firstColumn="1" w:lastColumn="0" w:noHBand="1" w:noVBand="1"/>
      </w:tblPr>
      <w:tblGrid>
        <w:gridCol w:w="4508"/>
        <w:gridCol w:w="4508"/>
      </w:tblGrid>
      <w:tr w:rsidR="0BE2D7A4" w:rsidRPr="008E6865" w14:paraId="707E3957" w14:textId="77777777" w:rsidTr="60ECF5C7">
        <w:trPr>
          <w:trHeight w:val="300"/>
        </w:trPr>
        <w:tc>
          <w:tcPr>
            <w:tcW w:w="4508" w:type="dxa"/>
          </w:tcPr>
          <w:p w14:paraId="6274EEF3" w14:textId="77777777" w:rsidR="48105205" w:rsidRDefault="48105205" w:rsidP="0BE2D7A4">
            <w:pPr>
              <w:spacing w:after="0" w:line="240" w:lineRule="auto"/>
              <w:ind w:firstLine="708"/>
              <w:jc w:val="both"/>
              <w:rPr>
                <w:rFonts w:ascii="Times New Roman" w:eastAsia="Times New Roman" w:hAnsi="Times New Roman" w:cs="Times New Roman"/>
                <w:b/>
                <w:bCs/>
                <w:sz w:val="28"/>
                <w:szCs w:val="28"/>
                <w:lang w:val="en-US"/>
              </w:rPr>
            </w:pPr>
            <w:r w:rsidRPr="0BE2D7A4">
              <w:rPr>
                <w:rFonts w:ascii="Times New Roman" w:eastAsia="Times New Roman" w:hAnsi="Times New Roman" w:cs="Times New Roman"/>
                <w:b/>
                <w:bCs/>
                <w:sz w:val="28"/>
                <w:szCs w:val="28"/>
                <w:lang w:val="en-US"/>
              </w:rPr>
              <w:t xml:space="preserve">Strengths (S): </w:t>
            </w:r>
          </w:p>
          <w:p w14:paraId="49925FA2" w14:textId="77777777" w:rsidR="48105205" w:rsidRDefault="48105205" w:rsidP="0BE2D7A4">
            <w:pPr>
              <w:pStyle w:val="ae"/>
              <w:numPr>
                <w:ilvl w:val="0"/>
                <w:numId w:val="15"/>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 broad and multifaceted range of priority areas of cooperation;</w:t>
            </w:r>
          </w:p>
          <w:p w14:paraId="6D127A94" w14:textId="77777777" w:rsidR="48105205" w:rsidRDefault="48105205" w:rsidP="0BE2D7A4">
            <w:pPr>
              <w:pStyle w:val="ae"/>
              <w:numPr>
                <w:ilvl w:val="0"/>
                <w:numId w:val="15"/>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Common interests of both regions;</w:t>
            </w:r>
          </w:p>
          <w:p w14:paraId="7A32BED0" w14:textId="77777777" w:rsidR="48105205" w:rsidRDefault="48105205" w:rsidP="0BE2D7A4">
            <w:pPr>
              <w:pStyle w:val="ae"/>
              <w:numPr>
                <w:ilvl w:val="0"/>
                <w:numId w:val="15"/>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Focus on promoting liberal values in the Central Asian region;</w:t>
            </w:r>
          </w:p>
          <w:p w14:paraId="32AFDA89" w14:textId="77777777" w:rsidR="48105205" w:rsidRDefault="48105205" w:rsidP="0BE2D7A4">
            <w:pPr>
              <w:pStyle w:val="ae"/>
              <w:numPr>
                <w:ilvl w:val="0"/>
                <w:numId w:val="15"/>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Frequent ministerial and head of states meetings, summits;</w:t>
            </w:r>
          </w:p>
          <w:p w14:paraId="201C6CFE" w14:textId="77777777" w:rsidR="48105205" w:rsidRDefault="48105205" w:rsidP="0BE2D7A4">
            <w:pPr>
              <w:pStyle w:val="ae"/>
              <w:numPr>
                <w:ilvl w:val="0"/>
                <w:numId w:val="15"/>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Regular events to promote human rights and good governance in the countries of the region; </w:t>
            </w:r>
          </w:p>
          <w:p w14:paraId="4D87673A" w14:textId="77777777" w:rsidR="48105205" w:rsidRDefault="48105205" w:rsidP="0BE2D7A4">
            <w:pPr>
              <w:pStyle w:val="ae"/>
              <w:numPr>
                <w:ilvl w:val="0"/>
                <w:numId w:val="15"/>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Promoting the development and deepening of integration processes; </w:t>
            </w:r>
          </w:p>
          <w:p w14:paraId="10DFFE3A" w14:textId="77777777" w:rsidR="48105205" w:rsidRPr="008E6865" w:rsidRDefault="48105205" w:rsidP="60ECF5C7">
            <w:pPr>
              <w:pStyle w:val="ae"/>
              <w:numPr>
                <w:ilvl w:val="0"/>
                <w:numId w:val="15"/>
              </w:numPr>
              <w:spacing w:after="0" w:line="240" w:lineRule="auto"/>
              <w:jc w:val="both"/>
              <w:rPr>
                <w:rFonts w:ascii="Times New Roman" w:eastAsia="Times New Roman" w:hAnsi="Times New Roman" w:cs="Times New Roman"/>
                <w:sz w:val="28"/>
                <w:szCs w:val="28"/>
                <w:lang w:val="en-US"/>
              </w:rPr>
            </w:pPr>
            <w:r w:rsidRPr="008E6865">
              <w:rPr>
                <w:rFonts w:ascii="Times New Roman" w:eastAsia="Times New Roman" w:hAnsi="Times New Roman" w:cs="Times New Roman"/>
                <w:sz w:val="28"/>
                <w:szCs w:val="28"/>
                <w:lang w:val="en-US"/>
              </w:rPr>
              <w:t xml:space="preserve">EU initiatives and programmes in various fields (security, energy, education etc) ; </w:t>
            </w:r>
          </w:p>
          <w:p w14:paraId="14A7F464" w14:textId="77777777" w:rsidR="48105205" w:rsidRDefault="48105205" w:rsidP="0BE2D7A4">
            <w:pPr>
              <w:pStyle w:val="ae"/>
              <w:numPr>
                <w:ilvl w:val="0"/>
                <w:numId w:val="15"/>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Developed trade relations.</w:t>
            </w:r>
          </w:p>
          <w:p w14:paraId="38645DC7" w14:textId="77777777" w:rsidR="0BE2D7A4" w:rsidRDefault="0BE2D7A4" w:rsidP="0BE2D7A4">
            <w:pPr>
              <w:rPr>
                <w:rFonts w:ascii="Times New Roman" w:eastAsia="Times New Roman" w:hAnsi="Times New Roman" w:cs="Times New Roman"/>
                <w:sz w:val="28"/>
                <w:szCs w:val="28"/>
                <w:lang w:val="en-US"/>
              </w:rPr>
            </w:pPr>
          </w:p>
        </w:tc>
        <w:tc>
          <w:tcPr>
            <w:tcW w:w="4508" w:type="dxa"/>
          </w:tcPr>
          <w:p w14:paraId="3515299C" w14:textId="77777777" w:rsidR="48105205" w:rsidRDefault="48105205" w:rsidP="0BE2D7A4">
            <w:pPr>
              <w:spacing w:after="0" w:line="240" w:lineRule="auto"/>
              <w:jc w:val="both"/>
              <w:rPr>
                <w:rFonts w:ascii="Times New Roman" w:eastAsia="Times New Roman" w:hAnsi="Times New Roman" w:cs="Times New Roman"/>
                <w:b/>
                <w:bCs/>
                <w:sz w:val="28"/>
                <w:szCs w:val="28"/>
                <w:lang w:val="en-US"/>
              </w:rPr>
            </w:pPr>
            <w:r w:rsidRPr="0BE2D7A4">
              <w:rPr>
                <w:rFonts w:ascii="Times New Roman" w:eastAsia="Times New Roman" w:hAnsi="Times New Roman" w:cs="Times New Roman"/>
                <w:b/>
                <w:bCs/>
                <w:sz w:val="28"/>
                <w:szCs w:val="28"/>
                <w:lang w:val="en-US"/>
              </w:rPr>
              <w:t>Weaknesses (W):</w:t>
            </w:r>
          </w:p>
          <w:p w14:paraId="6CD4E065" w14:textId="77777777" w:rsidR="48105205" w:rsidRDefault="48105205" w:rsidP="0BE2D7A4">
            <w:pPr>
              <w:pStyle w:val="ae"/>
              <w:numPr>
                <w:ilvl w:val="0"/>
                <w:numId w:val="14"/>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complexity of implementing the Strategy, partly due to its comprehensive nature;</w:t>
            </w:r>
          </w:p>
          <w:p w14:paraId="1925C55A" w14:textId="77777777" w:rsidR="48105205" w:rsidRDefault="48105205" w:rsidP="0BE2D7A4">
            <w:pPr>
              <w:pStyle w:val="ae"/>
              <w:numPr>
                <w:ilvl w:val="0"/>
                <w:numId w:val="14"/>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Insufficiently broad scale and coverage of the projects and programs being implemented;</w:t>
            </w:r>
          </w:p>
          <w:p w14:paraId="48A2BC1C" w14:textId="77777777" w:rsidR="48105205" w:rsidRDefault="48105205" w:rsidP="0BE2D7A4">
            <w:pPr>
              <w:pStyle w:val="ae"/>
              <w:numPr>
                <w:ilvl w:val="0"/>
                <w:numId w:val="14"/>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Limited funding; </w:t>
            </w:r>
          </w:p>
          <w:p w14:paraId="20933155" w14:textId="77777777" w:rsidR="48105205" w:rsidRDefault="48105205" w:rsidP="0BE2D7A4">
            <w:pPr>
              <w:pStyle w:val="ae"/>
              <w:numPr>
                <w:ilvl w:val="0"/>
                <w:numId w:val="14"/>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Lack of operational mechanisms to ensure security and stabilize the situation in the region;</w:t>
            </w:r>
          </w:p>
          <w:p w14:paraId="5CD1AB7E" w14:textId="77777777" w:rsidR="48105205" w:rsidRDefault="48105205" w:rsidP="0BE2D7A4">
            <w:pPr>
              <w:pStyle w:val="ae"/>
              <w:numPr>
                <w:ilvl w:val="0"/>
                <w:numId w:val="14"/>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Different historical background and other factors, which could be seen as a barrier for successful implementation of the strategy; </w:t>
            </w:r>
          </w:p>
          <w:p w14:paraId="2201A245" w14:textId="77777777" w:rsidR="48105205" w:rsidRDefault="48105205" w:rsidP="0BE2D7A4">
            <w:pPr>
              <w:pStyle w:val="ae"/>
              <w:numPr>
                <w:ilvl w:val="0"/>
                <w:numId w:val="14"/>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Internal and external factors, leading to problems of the strategy implementation.</w:t>
            </w:r>
          </w:p>
          <w:p w14:paraId="135E58C4" w14:textId="77777777" w:rsidR="0BE2D7A4" w:rsidRDefault="0BE2D7A4" w:rsidP="0BE2D7A4">
            <w:pPr>
              <w:rPr>
                <w:rFonts w:ascii="Times New Roman" w:eastAsia="Times New Roman" w:hAnsi="Times New Roman" w:cs="Times New Roman"/>
                <w:sz w:val="28"/>
                <w:szCs w:val="28"/>
                <w:lang w:val="en-US"/>
              </w:rPr>
            </w:pPr>
          </w:p>
        </w:tc>
      </w:tr>
      <w:tr w:rsidR="0BE2D7A4" w:rsidRPr="008E6865" w14:paraId="31C07A98" w14:textId="77777777" w:rsidTr="60ECF5C7">
        <w:trPr>
          <w:trHeight w:val="300"/>
        </w:trPr>
        <w:tc>
          <w:tcPr>
            <w:tcW w:w="4508" w:type="dxa"/>
          </w:tcPr>
          <w:p w14:paraId="2B119710" w14:textId="77777777" w:rsidR="48105205" w:rsidRDefault="48105205" w:rsidP="0BE2D7A4">
            <w:pPr>
              <w:spacing w:after="0" w:line="240" w:lineRule="auto"/>
              <w:jc w:val="both"/>
              <w:rPr>
                <w:rFonts w:ascii="Times New Roman" w:eastAsia="Times New Roman" w:hAnsi="Times New Roman" w:cs="Times New Roman"/>
                <w:b/>
                <w:bCs/>
                <w:sz w:val="28"/>
                <w:szCs w:val="28"/>
                <w:lang w:val="en-US"/>
              </w:rPr>
            </w:pPr>
            <w:r w:rsidRPr="0BE2D7A4">
              <w:rPr>
                <w:rFonts w:ascii="Times New Roman" w:eastAsia="Times New Roman" w:hAnsi="Times New Roman" w:cs="Times New Roman"/>
                <w:b/>
                <w:bCs/>
                <w:sz w:val="28"/>
                <w:szCs w:val="28"/>
                <w:lang w:val="en-US"/>
              </w:rPr>
              <w:t xml:space="preserve">Opportunities (O): </w:t>
            </w:r>
          </w:p>
          <w:p w14:paraId="3B6D2265" w14:textId="77777777" w:rsidR="48105205" w:rsidRDefault="48105205" w:rsidP="0BE2D7A4">
            <w:pPr>
              <w:pStyle w:val="ae"/>
              <w:numPr>
                <w:ilvl w:val="0"/>
                <w:numId w:val="13"/>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Strengthening the role of the EU as an actor in international relations;</w:t>
            </w:r>
          </w:p>
          <w:p w14:paraId="0B5040C2" w14:textId="77777777" w:rsidR="48105205" w:rsidRDefault="48105205" w:rsidP="0BE2D7A4">
            <w:pPr>
              <w:pStyle w:val="ae"/>
              <w:numPr>
                <w:ilvl w:val="0"/>
                <w:numId w:val="13"/>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EU may use Ukrainian crisis as an opportunity to strengthen its ties in Central Asia;</w:t>
            </w:r>
          </w:p>
          <w:p w14:paraId="7F290001" w14:textId="77777777" w:rsidR="48105205" w:rsidRDefault="48105205" w:rsidP="0BE2D7A4">
            <w:pPr>
              <w:pStyle w:val="ae"/>
              <w:numPr>
                <w:ilvl w:val="0"/>
                <w:numId w:val="13"/>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Favorable conditions for deepening intraregional integration in Central Asia;</w:t>
            </w:r>
          </w:p>
          <w:p w14:paraId="6AE584E3" w14:textId="77777777" w:rsidR="48105205" w:rsidRDefault="48105205" w:rsidP="0BE2D7A4">
            <w:pPr>
              <w:pStyle w:val="ae"/>
              <w:numPr>
                <w:ilvl w:val="0"/>
                <w:numId w:val="13"/>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EU participation in regional integration associations;</w:t>
            </w:r>
          </w:p>
          <w:p w14:paraId="47B244E8" w14:textId="77777777" w:rsidR="48105205" w:rsidRDefault="48105205" w:rsidP="0BE2D7A4">
            <w:pPr>
              <w:pStyle w:val="ae"/>
              <w:numPr>
                <w:ilvl w:val="0"/>
                <w:numId w:val="13"/>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Successful development of democratization processes in the region;</w:t>
            </w:r>
          </w:p>
          <w:p w14:paraId="62CEB6B5" w14:textId="77777777" w:rsidR="48105205" w:rsidRDefault="48105205" w:rsidP="0BE2D7A4">
            <w:pPr>
              <w:pStyle w:val="ae"/>
              <w:numPr>
                <w:ilvl w:val="0"/>
                <w:numId w:val="13"/>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Successful initiatives and programmes in the region.</w:t>
            </w:r>
          </w:p>
          <w:p w14:paraId="28EC388C" w14:textId="77777777" w:rsidR="48105205" w:rsidRDefault="48105205" w:rsidP="0BE2D7A4">
            <w:pPr>
              <w:pStyle w:val="ae"/>
              <w:numPr>
                <w:ilvl w:val="0"/>
                <w:numId w:val="13"/>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Economic growth in Central Asia; </w:t>
            </w:r>
          </w:p>
          <w:p w14:paraId="62EBF9A1" w14:textId="77777777" w:rsidR="0BE2D7A4" w:rsidRDefault="0BE2D7A4" w:rsidP="0BE2D7A4">
            <w:pPr>
              <w:spacing w:after="0" w:line="240" w:lineRule="auto"/>
              <w:jc w:val="both"/>
              <w:rPr>
                <w:rFonts w:ascii="Times New Roman" w:eastAsia="Times New Roman" w:hAnsi="Times New Roman" w:cs="Times New Roman"/>
                <w:sz w:val="28"/>
                <w:szCs w:val="28"/>
                <w:lang w:val="en-US"/>
              </w:rPr>
            </w:pPr>
          </w:p>
          <w:p w14:paraId="0C6C2CD5" w14:textId="77777777" w:rsidR="0BE2D7A4" w:rsidRDefault="0BE2D7A4" w:rsidP="0BE2D7A4">
            <w:pPr>
              <w:rPr>
                <w:rFonts w:ascii="Times New Roman" w:eastAsia="Times New Roman" w:hAnsi="Times New Roman" w:cs="Times New Roman"/>
                <w:sz w:val="28"/>
                <w:szCs w:val="28"/>
                <w:lang w:val="en-US"/>
              </w:rPr>
            </w:pPr>
          </w:p>
        </w:tc>
        <w:tc>
          <w:tcPr>
            <w:tcW w:w="4508" w:type="dxa"/>
          </w:tcPr>
          <w:p w14:paraId="03234AF5" w14:textId="77777777" w:rsidR="48105205" w:rsidRDefault="48105205" w:rsidP="0BE2D7A4">
            <w:pPr>
              <w:spacing w:after="0" w:line="240" w:lineRule="auto"/>
              <w:jc w:val="both"/>
              <w:rPr>
                <w:rFonts w:ascii="Times New Roman" w:eastAsia="Times New Roman" w:hAnsi="Times New Roman" w:cs="Times New Roman"/>
                <w:b/>
                <w:bCs/>
                <w:sz w:val="28"/>
                <w:szCs w:val="28"/>
                <w:lang w:val="en-US"/>
              </w:rPr>
            </w:pPr>
            <w:r w:rsidRPr="0BE2D7A4">
              <w:rPr>
                <w:rFonts w:ascii="Times New Roman" w:eastAsia="Times New Roman" w:hAnsi="Times New Roman" w:cs="Times New Roman"/>
                <w:b/>
                <w:bCs/>
                <w:sz w:val="28"/>
                <w:szCs w:val="28"/>
                <w:lang w:val="en-US"/>
              </w:rPr>
              <w:t xml:space="preserve">Threats (T): </w:t>
            </w:r>
          </w:p>
          <w:p w14:paraId="36F7D916" w14:textId="77777777" w:rsidR="48105205" w:rsidRDefault="48105205" w:rsidP="0BE2D7A4">
            <w:pPr>
              <w:pStyle w:val="ae"/>
              <w:numPr>
                <w:ilvl w:val="0"/>
                <w:numId w:val="12"/>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Presence and competition of strong actors in the region;</w:t>
            </w:r>
          </w:p>
          <w:p w14:paraId="0B1406CD" w14:textId="77777777" w:rsidR="48105205" w:rsidRDefault="48105205" w:rsidP="0BE2D7A4">
            <w:pPr>
              <w:pStyle w:val="ae"/>
              <w:numPr>
                <w:ilvl w:val="0"/>
                <w:numId w:val="12"/>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Interstate contradictions between countries in the region;</w:t>
            </w:r>
          </w:p>
          <w:p w14:paraId="2574A3C5" w14:textId="77777777" w:rsidR="48105205" w:rsidRDefault="48105205" w:rsidP="0BE2D7A4">
            <w:pPr>
              <w:pStyle w:val="ae"/>
              <w:numPr>
                <w:ilvl w:val="0"/>
                <w:numId w:val="12"/>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Limited funding;</w:t>
            </w:r>
          </w:p>
          <w:p w14:paraId="00EB7BA0" w14:textId="77777777" w:rsidR="48105205" w:rsidRDefault="48105205" w:rsidP="0BE2D7A4">
            <w:pPr>
              <w:pStyle w:val="ae"/>
              <w:numPr>
                <w:ilvl w:val="0"/>
                <w:numId w:val="12"/>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Lack of a unified approach among EU member states;</w:t>
            </w:r>
          </w:p>
          <w:p w14:paraId="3374E278" w14:textId="77777777" w:rsidR="48105205" w:rsidRDefault="48105205" w:rsidP="0BE2D7A4">
            <w:pPr>
              <w:pStyle w:val="ae"/>
              <w:numPr>
                <w:ilvl w:val="0"/>
                <w:numId w:val="12"/>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Contradictions between EU member states;</w:t>
            </w:r>
          </w:p>
          <w:p w14:paraId="6C0C312D" w14:textId="77777777" w:rsidR="48105205" w:rsidRDefault="48105205" w:rsidP="0BE2D7A4">
            <w:pPr>
              <w:pStyle w:val="ae"/>
              <w:numPr>
                <w:ilvl w:val="0"/>
                <w:numId w:val="12"/>
              </w:numPr>
              <w:spacing w:after="0" w:line="240" w:lineRule="auto"/>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Insufficient activity, particularly in the energy sector</w:t>
            </w:r>
          </w:p>
          <w:p w14:paraId="709E88E4" w14:textId="77777777" w:rsidR="0BE2D7A4" w:rsidRDefault="0BE2D7A4" w:rsidP="0BE2D7A4">
            <w:pPr>
              <w:rPr>
                <w:rFonts w:ascii="Times New Roman" w:eastAsia="Times New Roman" w:hAnsi="Times New Roman" w:cs="Times New Roman"/>
                <w:sz w:val="28"/>
                <w:szCs w:val="28"/>
                <w:lang w:val="en-US"/>
              </w:rPr>
            </w:pPr>
          </w:p>
        </w:tc>
      </w:tr>
      <w:tr w:rsidR="60ECF5C7" w:rsidRPr="008E6865" w14:paraId="501FB5CB" w14:textId="77777777" w:rsidTr="00FC6AE4">
        <w:trPr>
          <w:trHeight w:val="319"/>
        </w:trPr>
        <w:tc>
          <w:tcPr>
            <w:tcW w:w="9016" w:type="dxa"/>
            <w:gridSpan w:val="2"/>
          </w:tcPr>
          <w:p w14:paraId="3DA00CB1" w14:textId="77777777" w:rsidR="7FD52871" w:rsidRDefault="7FD52871" w:rsidP="60ECF5C7">
            <w:pPr>
              <w:spacing w:line="240" w:lineRule="auto"/>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sz w:val="28"/>
                <w:szCs w:val="28"/>
                <w:lang w:val="en-US"/>
              </w:rPr>
              <w:t>Source: author’s own compilation based on literature review</w:t>
            </w:r>
          </w:p>
        </w:tc>
      </w:tr>
    </w:tbl>
    <w:p w14:paraId="508C98E9" w14:textId="77777777" w:rsidR="0BE2D7A4" w:rsidRDefault="0BE2D7A4" w:rsidP="0BE2D7A4">
      <w:pPr>
        <w:spacing w:after="0" w:line="240" w:lineRule="auto"/>
        <w:ind w:firstLine="708"/>
        <w:jc w:val="both"/>
        <w:rPr>
          <w:rFonts w:ascii="Times New Roman" w:eastAsia="Times New Roman" w:hAnsi="Times New Roman" w:cs="Times New Roman"/>
          <w:sz w:val="28"/>
          <w:szCs w:val="28"/>
          <w:lang w:val="en-US"/>
        </w:rPr>
      </w:pPr>
    </w:p>
    <w:p w14:paraId="6F155C90" w14:textId="77777777" w:rsidR="48105205" w:rsidRDefault="48105205"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To sum up the analyses, both EU strategies played a vital role </w:t>
      </w:r>
      <w:r w:rsidR="0FE6CDD3" w:rsidRPr="0BE2D7A4">
        <w:rPr>
          <w:rFonts w:ascii="Times New Roman" w:eastAsia="Times New Roman" w:hAnsi="Times New Roman" w:cs="Times New Roman"/>
          <w:sz w:val="28"/>
          <w:szCs w:val="28"/>
          <w:lang w:val="en-US"/>
        </w:rPr>
        <w:t xml:space="preserve">in formation and development of EU-CA regional cooperation. We agree that </w:t>
      </w:r>
      <w:r w:rsidR="245D6D05" w:rsidRPr="0BE2D7A4">
        <w:rPr>
          <w:rFonts w:ascii="Times New Roman" w:eastAsia="Times New Roman" w:hAnsi="Times New Roman" w:cs="Times New Roman"/>
          <w:sz w:val="28"/>
          <w:szCs w:val="28"/>
          <w:lang w:val="en-US"/>
        </w:rPr>
        <w:t>there are a number of successfully implemented initiatives and programmes.</w:t>
      </w:r>
      <w:r w:rsidR="47E842E6" w:rsidRPr="0BE2D7A4">
        <w:rPr>
          <w:rFonts w:ascii="Times New Roman" w:eastAsia="Times New Roman" w:hAnsi="Times New Roman" w:cs="Times New Roman"/>
          <w:sz w:val="28"/>
          <w:szCs w:val="28"/>
          <w:lang w:val="en-US"/>
        </w:rPr>
        <w:t xml:space="preserve"> Moreover, the ministerial meeting</w:t>
      </w:r>
      <w:r w:rsidR="478F16E4" w:rsidRPr="0BE2D7A4">
        <w:rPr>
          <w:rFonts w:ascii="Times New Roman" w:eastAsia="Times New Roman" w:hAnsi="Times New Roman" w:cs="Times New Roman"/>
          <w:sz w:val="28"/>
          <w:szCs w:val="28"/>
          <w:lang w:val="en-US"/>
        </w:rPr>
        <w:t xml:space="preserve">, summits and cooperation itself between two regions improved. </w:t>
      </w:r>
      <w:r w:rsidR="245D6D05" w:rsidRPr="0BE2D7A4">
        <w:rPr>
          <w:rFonts w:ascii="Times New Roman" w:eastAsia="Times New Roman" w:hAnsi="Times New Roman" w:cs="Times New Roman"/>
          <w:sz w:val="28"/>
          <w:szCs w:val="28"/>
          <w:lang w:val="en-US"/>
        </w:rPr>
        <w:t xml:space="preserve">However, due to the presence of other </w:t>
      </w:r>
      <w:r w:rsidR="605D0611" w:rsidRPr="0BE2D7A4">
        <w:rPr>
          <w:rFonts w:ascii="Times New Roman" w:eastAsia="Times New Roman" w:hAnsi="Times New Roman" w:cs="Times New Roman"/>
          <w:sz w:val="28"/>
          <w:szCs w:val="28"/>
          <w:lang w:val="en-US"/>
        </w:rPr>
        <w:t xml:space="preserve">dominating </w:t>
      </w:r>
      <w:r w:rsidR="245D6D05" w:rsidRPr="0BE2D7A4">
        <w:rPr>
          <w:rFonts w:ascii="Times New Roman" w:eastAsia="Times New Roman" w:hAnsi="Times New Roman" w:cs="Times New Roman"/>
          <w:sz w:val="28"/>
          <w:szCs w:val="28"/>
          <w:lang w:val="en-US"/>
        </w:rPr>
        <w:t>international actors in Central Asia</w:t>
      </w:r>
      <w:r w:rsidR="74C18C1B" w:rsidRPr="0BE2D7A4">
        <w:rPr>
          <w:rFonts w:ascii="Times New Roman" w:eastAsia="Times New Roman" w:hAnsi="Times New Roman" w:cs="Times New Roman"/>
          <w:sz w:val="28"/>
          <w:szCs w:val="28"/>
          <w:lang w:val="en-US"/>
        </w:rPr>
        <w:t xml:space="preserve"> and due to </w:t>
      </w:r>
      <w:r w:rsidR="3BE9E89D" w:rsidRPr="0BE2D7A4">
        <w:rPr>
          <w:rFonts w:ascii="Times New Roman" w:eastAsia="Times New Roman" w:hAnsi="Times New Roman" w:cs="Times New Roman"/>
          <w:sz w:val="28"/>
          <w:szCs w:val="28"/>
          <w:lang w:val="en-US"/>
        </w:rPr>
        <w:t xml:space="preserve">lack of operational mechanisms and insufficiently broad scale and coverage of the projects and programs being implemented, the strategy </w:t>
      </w:r>
      <w:r w:rsidR="79C69914" w:rsidRPr="0BE2D7A4">
        <w:rPr>
          <w:rFonts w:ascii="Times New Roman" w:eastAsia="Times New Roman" w:hAnsi="Times New Roman" w:cs="Times New Roman"/>
          <w:sz w:val="28"/>
          <w:szCs w:val="28"/>
          <w:lang w:val="en-US"/>
        </w:rPr>
        <w:t xml:space="preserve">faced numerous barriers for its implementation. </w:t>
      </w:r>
    </w:p>
    <w:p w14:paraId="779F8E76" w14:textId="77777777" w:rsidR="0BE2D7A4" w:rsidRDefault="0BE2D7A4" w:rsidP="0BE2D7A4">
      <w:pPr>
        <w:spacing w:after="0" w:line="240" w:lineRule="auto"/>
        <w:jc w:val="both"/>
        <w:rPr>
          <w:rFonts w:ascii="Times New Roman" w:eastAsia="Times New Roman" w:hAnsi="Times New Roman" w:cs="Times New Roman"/>
          <w:sz w:val="28"/>
          <w:szCs w:val="28"/>
          <w:lang w:val="en-US"/>
        </w:rPr>
      </w:pPr>
    </w:p>
    <w:p w14:paraId="29D6B04F" w14:textId="77777777" w:rsidR="7D745C63" w:rsidRDefault="7D745C63"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xml:space="preserve"> </w:t>
      </w:r>
    </w:p>
    <w:p w14:paraId="7818863E" w14:textId="77777777" w:rsidR="00DD07CF" w:rsidRDefault="00DD07CF" w:rsidP="0BE2D7A4">
      <w:pPr>
        <w:spacing w:line="240" w:lineRule="auto"/>
        <w:ind w:firstLine="708"/>
        <w:jc w:val="both"/>
        <w:rPr>
          <w:rFonts w:ascii="Times New Roman" w:eastAsia="Times New Roman" w:hAnsi="Times New Roman" w:cs="Times New Roman"/>
          <w:sz w:val="28"/>
          <w:szCs w:val="28"/>
          <w:lang w:val="en-US"/>
        </w:rPr>
      </w:pPr>
    </w:p>
    <w:p w14:paraId="44F69B9A" w14:textId="77777777" w:rsidR="7315D5B6" w:rsidRDefault="7315D5B6" w:rsidP="7315D5B6">
      <w:pPr>
        <w:spacing w:line="240" w:lineRule="auto"/>
        <w:ind w:firstLine="708"/>
        <w:jc w:val="both"/>
        <w:rPr>
          <w:rFonts w:ascii="Times New Roman" w:eastAsia="Times New Roman" w:hAnsi="Times New Roman" w:cs="Times New Roman"/>
          <w:sz w:val="28"/>
          <w:szCs w:val="28"/>
          <w:lang w:val="en-US"/>
        </w:rPr>
      </w:pPr>
    </w:p>
    <w:p w14:paraId="5F07D11E" w14:textId="77777777" w:rsidR="7315D5B6" w:rsidRDefault="7315D5B6" w:rsidP="7315D5B6">
      <w:pPr>
        <w:spacing w:line="240" w:lineRule="auto"/>
        <w:ind w:firstLine="708"/>
        <w:jc w:val="both"/>
        <w:rPr>
          <w:rFonts w:ascii="Times New Roman" w:eastAsia="Times New Roman" w:hAnsi="Times New Roman" w:cs="Times New Roman"/>
          <w:sz w:val="28"/>
          <w:szCs w:val="28"/>
          <w:lang w:val="en-US"/>
        </w:rPr>
      </w:pPr>
    </w:p>
    <w:p w14:paraId="41508A3C" w14:textId="77777777" w:rsidR="00DA28EA" w:rsidRDefault="00DA28EA" w:rsidP="7315D5B6">
      <w:pPr>
        <w:spacing w:line="240" w:lineRule="auto"/>
        <w:ind w:firstLine="708"/>
        <w:jc w:val="both"/>
        <w:rPr>
          <w:rFonts w:ascii="Times New Roman" w:eastAsia="Times New Roman" w:hAnsi="Times New Roman" w:cs="Times New Roman"/>
          <w:sz w:val="28"/>
          <w:szCs w:val="28"/>
          <w:lang w:val="en-US"/>
        </w:rPr>
      </w:pPr>
    </w:p>
    <w:p w14:paraId="43D6B1D6" w14:textId="77777777" w:rsidR="00DA28EA" w:rsidRDefault="00DA28EA" w:rsidP="7315D5B6">
      <w:pPr>
        <w:spacing w:line="240" w:lineRule="auto"/>
        <w:ind w:firstLine="708"/>
        <w:jc w:val="both"/>
        <w:rPr>
          <w:rFonts w:ascii="Times New Roman" w:eastAsia="Times New Roman" w:hAnsi="Times New Roman" w:cs="Times New Roman"/>
          <w:sz w:val="28"/>
          <w:szCs w:val="28"/>
          <w:lang w:val="en-US"/>
        </w:rPr>
      </w:pPr>
    </w:p>
    <w:p w14:paraId="17DBC151" w14:textId="77777777" w:rsidR="00DA28EA" w:rsidRDefault="00DA28EA" w:rsidP="7315D5B6">
      <w:pPr>
        <w:spacing w:line="240" w:lineRule="auto"/>
        <w:ind w:firstLine="708"/>
        <w:jc w:val="both"/>
        <w:rPr>
          <w:rFonts w:ascii="Times New Roman" w:eastAsia="Times New Roman" w:hAnsi="Times New Roman" w:cs="Times New Roman"/>
          <w:sz w:val="28"/>
          <w:szCs w:val="28"/>
          <w:lang w:val="en-US"/>
        </w:rPr>
      </w:pPr>
    </w:p>
    <w:p w14:paraId="6F8BD81B" w14:textId="77777777" w:rsidR="00DA28EA" w:rsidRDefault="00DA28EA" w:rsidP="7315D5B6">
      <w:pPr>
        <w:spacing w:line="240" w:lineRule="auto"/>
        <w:ind w:firstLine="708"/>
        <w:jc w:val="both"/>
        <w:rPr>
          <w:rFonts w:ascii="Times New Roman" w:eastAsia="Times New Roman" w:hAnsi="Times New Roman" w:cs="Times New Roman"/>
          <w:sz w:val="28"/>
          <w:szCs w:val="28"/>
          <w:lang w:val="en-US"/>
        </w:rPr>
      </w:pPr>
    </w:p>
    <w:p w14:paraId="2613E9C1" w14:textId="77777777" w:rsidR="00DA28EA" w:rsidRDefault="00DA28EA" w:rsidP="7315D5B6">
      <w:pPr>
        <w:spacing w:line="240" w:lineRule="auto"/>
        <w:ind w:firstLine="708"/>
        <w:jc w:val="both"/>
        <w:rPr>
          <w:rFonts w:ascii="Times New Roman" w:eastAsia="Times New Roman" w:hAnsi="Times New Roman" w:cs="Times New Roman"/>
          <w:sz w:val="28"/>
          <w:szCs w:val="28"/>
          <w:lang w:val="en-US"/>
        </w:rPr>
      </w:pPr>
    </w:p>
    <w:p w14:paraId="1037B8A3" w14:textId="77777777" w:rsidR="00DA28EA" w:rsidRDefault="00DA28EA" w:rsidP="7315D5B6">
      <w:pPr>
        <w:spacing w:line="240" w:lineRule="auto"/>
        <w:ind w:firstLine="708"/>
        <w:jc w:val="both"/>
        <w:rPr>
          <w:rFonts w:ascii="Times New Roman" w:eastAsia="Times New Roman" w:hAnsi="Times New Roman" w:cs="Times New Roman"/>
          <w:sz w:val="28"/>
          <w:szCs w:val="28"/>
          <w:lang w:val="en-US"/>
        </w:rPr>
      </w:pPr>
    </w:p>
    <w:p w14:paraId="687C6DE0" w14:textId="77777777" w:rsidR="00DA28EA" w:rsidRDefault="00DA28EA" w:rsidP="00FC6AE4">
      <w:pPr>
        <w:spacing w:line="240" w:lineRule="auto"/>
        <w:jc w:val="both"/>
        <w:rPr>
          <w:rFonts w:ascii="Times New Roman" w:eastAsia="Times New Roman" w:hAnsi="Times New Roman" w:cs="Times New Roman"/>
          <w:sz w:val="28"/>
          <w:szCs w:val="28"/>
        </w:rPr>
      </w:pPr>
    </w:p>
    <w:p w14:paraId="5B2F9378" w14:textId="77777777" w:rsidR="00FC6AE4" w:rsidRPr="00FC6AE4" w:rsidRDefault="00FC6AE4" w:rsidP="00FC6AE4">
      <w:pPr>
        <w:spacing w:line="240" w:lineRule="auto"/>
        <w:jc w:val="both"/>
        <w:rPr>
          <w:rFonts w:ascii="Times New Roman" w:eastAsia="Times New Roman" w:hAnsi="Times New Roman" w:cs="Times New Roman"/>
          <w:sz w:val="28"/>
          <w:szCs w:val="28"/>
        </w:rPr>
      </w:pPr>
    </w:p>
    <w:p w14:paraId="5982921E" w14:textId="77777777" w:rsidR="00DD07CF" w:rsidRDefault="0BE2D7A4" w:rsidP="0BE2D7A4">
      <w:pPr>
        <w:spacing w:line="240" w:lineRule="auto"/>
        <w:ind w:firstLine="708"/>
        <w:jc w:val="center"/>
        <w:rPr>
          <w:rFonts w:ascii="Times New Roman" w:eastAsia="Times New Roman" w:hAnsi="Times New Roman" w:cs="Times New Roman"/>
          <w:b/>
          <w:bCs/>
          <w:sz w:val="28"/>
          <w:szCs w:val="28"/>
          <w:lang w:val="en-US"/>
        </w:rPr>
      </w:pPr>
      <w:r w:rsidRPr="0BE2D7A4">
        <w:rPr>
          <w:rFonts w:ascii="Times New Roman" w:eastAsia="Times New Roman" w:hAnsi="Times New Roman" w:cs="Times New Roman"/>
          <w:b/>
          <w:bCs/>
          <w:sz w:val="28"/>
          <w:szCs w:val="28"/>
          <w:lang w:val="en-US"/>
        </w:rPr>
        <w:t>CONCLUSION</w:t>
      </w:r>
    </w:p>
    <w:p w14:paraId="425E87D4" w14:textId="268EB6C9" w:rsidR="00DD07CF" w:rsidRDefault="1EC1588A" w:rsidP="77D3D596">
      <w:pPr>
        <w:spacing w:after="0" w:line="240" w:lineRule="auto"/>
        <w:ind w:firstLine="708"/>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 xml:space="preserve">Having analyzed </w:t>
      </w:r>
      <w:r w:rsidR="322919C7" w:rsidRPr="607F5231">
        <w:rPr>
          <w:rFonts w:ascii="Times New Roman" w:eastAsia="Times New Roman" w:hAnsi="Times New Roman" w:cs="Times New Roman"/>
          <w:sz w:val="28"/>
          <w:szCs w:val="28"/>
          <w:lang w:val="en-US"/>
        </w:rPr>
        <w:t xml:space="preserve">the </w:t>
      </w:r>
      <w:r w:rsidR="3E0EB2A8" w:rsidRPr="607F5231">
        <w:rPr>
          <w:rFonts w:ascii="Times New Roman" w:eastAsia="Times New Roman" w:hAnsi="Times New Roman" w:cs="Times New Roman"/>
          <w:sz w:val="28"/>
          <w:szCs w:val="28"/>
          <w:lang w:val="en-US"/>
        </w:rPr>
        <w:t xml:space="preserve">cooperation between the EU and Central Asia, we </w:t>
      </w:r>
      <w:r w:rsidR="52C2AA41" w:rsidRPr="607F5231">
        <w:rPr>
          <w:rFonts w:ascii="Times New Roman" w:eastAsia="Times New Roman" w:hAnsi="Times New Roman" w:cs="Times New Roman"/>
          <w:sz w:val="28"/>
          <w:szCs w:val="28"/>
          <w:lang w:val="en-US"/>
        </w:rPr>
        <w:t xml:space="preserve">can </w:t>
      </w:r>
      <w:r w:rsidR="32A88019" w:rsidRPr="607F5231">
        <w:rPr>
          <w:rFonts w:ascii="Times New Roman" w:eastAsia="Times New Roman" w:hAnsi="Times New Roman" w:cs="Times New Roman"/>
          <w:sz w:val="28"/>
          <w:szCs w:val="28"/>
          <w:lang w:val="en-US"/>
        </w:rPr>
        <w:t>claim that EU Strategy of 2019 for Central Asia is</w:t>
      </w:r>
      <w:r w:rsidR="17D29AC1" w:rsidRPr="607F5231">
        <w:rPr>
          <w:rFonts w:ascii="Times New Roman" w:eastAsia="Times New Roman" w:hAnsi="Times New Roman" w:cs="Times New Roman"/>
          <w:sz w:val="28"/>
          <w:szCs w:val="28"/>
          <w:lang w:val="en-US"/>
        </w:rPr>
        <w:t xml:space="preserve"> </w:t>
      </w:r>
      <w:r w:rsidR="7C545C8F" w:rsidRPr="607F5231">
        <w:rPr>
          <w:rFonts w:ascii="Times New Roman" w:eastAsia="Times New Roman" w:hAnsi="Times New Roman" w:cs="Times New Roman"/>
          <w:sz w:val="28"/>
          <w:szCs w:val="28"/>
          <w:lang w:val="en-US"/>
        </w:rPr>
        <w:t xml:space="preserve">considered as </w:t>
      </w:r>
      <w:r w:rsidR="17D29AC1" w:rsidRPr="607F5231">
        <w:rPr>
          <w:rFonts w:ascii="Times New Roman" w:eastAsia="Times New Roman" w:hAnsi="Times New Roman" w:cs="Times New Roman"/>
          <w:sz w:val="28"/>
          <w:szCs w:val="28"/>
          <w:lang w:val="en-US"/>
        </w:rPr>
        <w:t>an</w:t>
      </w:r>
      <w:r w:rsidR="32A88019" w:rsidRPr="607F5231">
        <w:rPr>
          <w:rFonts w:ascii="Times New Roman" w:eastAsia="Times New Roman" w:hAnsi="Times New Roman" w:cs="Times New Roman"/>
          <w:sz w:val="28"/>
          <w:szCs w:val="28"/>
          <w:lang w:val="en-US"/>
        </w:rPr>
        <w:t xml:space="preserve"> </w:t>
      </w:r>
      <w:r w:rsidR="0A40BF7D" w:rsidRPr="607F5231">
        <w:rPr>
          <w:rFonts w:ascii="Times New Roman" w:eastAsia="Times New Roman" w:hAnsi="Times New Roman" w:cs="Times New Roman"/>
          <w:sz w:val="28"/>
          <w:szCs w:val="28"/>
          <w:lang w:val="en-US"/>
        </w:rPr>
        <w:t>integral part</w:t>
      </w:r>
      <w:r w:rsidR="0BE2D7A4" w:rsidRPr="607F5231">
        <w:rPr>
          <w:rFonts w:ascii="Times New Roman" w:eastAsia="Times New Roman" w:hAnsi="Times New Roman" w:cs="Times New Roman"/>
          <w:sz w:val="28"/>
          <w:szCs w:val="28"/>
          <w:lang w:val="en-US"/>
        </w:rPr>
        <w:t xml:space="preserve"> </w:t>
      </w:r>
      <w:r w:rsidR="2FDEF68E" w:rsidRPr="607F5231">
        <w:rPr>
          <w:rFonts w:ascii="Times New Roman" w:eastAsia="Times New Roman" w:hAnsi="Times New Roman" w:cs="Times New Roman"/>
          <w:sz w:val="28"/>
          <w:szCs w:val="28"/>
          <w:lang w:val="en-US"/>
        </w:rPr>
        <w:t>of EU’s foreign policy in Cen</w:t>
      </w:r>
      <w:r w:rsidR="4868B082" w:rsidRPr="607F5231">
        <w:rPr>
          <w:rFonts w:ascii="Times New Roman" w:eastAsia="Times New Roman" w:hAnsi="Times New Roman" w:cs="Times New Roman"/>
          <w:sz w:val="28"/>
          <w:szCs w:val="28"/>
          <w:lang w:val="en-US"/>
        </w:rPr>
        <w:t>t</w:t>
      </w:r>
      <w:r w:rsidR="2FDEF68E" w:rsidRPr="607F5231">
        <w:rPr>
          <w:rFonts w:ascii="Times New Roman" w:eastAsia="Times New Roman" w:hAnsi="Times New Roman" w:cs="Times New Roman"/>
          <w:sz w:val="28"/>
          <w:szCs w:val="28"/>
          <w:lang w:val="en-US"/>
        </w:rPr>
        <w:t>ral Asia</w:t>
      </w:r>
      <w:r w:rsidR="6CD498A8" w:rsidRPr="607F5231">
        <w:rPr>
          <w:rFonts w:ascii="Times New Roman" w:eastAsia="Times New Roman" w:hAnsi="Times New Roman" w:cs="Times New Roman"/>
          <w:sz w:val="28"/>
          <w:szCs w:val="28"/>
          <w:lang w:val="en-US"/>
        </w:rPr>
        <w:t>n region</w:t>
      </w:r>
      <w:r w:rsidR="256C1056" w:rsidRPr="607F5231">
        <w:rPr>
          <w:rFonts w:ascii="Times New Roman" w:eastAsia="Times New Roman" w:hAnsi="Times New Roman" w:cs="Times New Roman"/>
          <w:sz w:val="28"/>
          <w:szCs w:val="28"/>
          <w:lang w:val="en-US"/>
        </w:rPr>
        <w:t>.</w:t>
      </w:r>
      <w:r w:rsidR="6CD498A8" w:rsidRPr="607F5231">
        <w:rPr>
          <w:rFonts w:ascii="Times New Roman" w:eastAsia="Times New Roman" w:hAnsi="Times New Roman" w:cs="Times New Roman"/>
          <w:sz w:val="28"/>
          <w:szCs w:val="28"/>
          <w:lang w:val="en-US"/>
        </w:rPr>
        <w:t xml:space="preserve"> </w:t>
      </w:r>
      <w:r w:rsidR="602E84EE" w:rsidRPr="607F5231">
        <w:rPr>
          <w:rFonts w:ascii="Times New Roman" w:eastAsia="Times New Roman" w:hAnsi="Times New Roman" w:cs="Times New Roman"/>
          <w:sz w:val="28"/>
          <w:szCs w:val="28"/>
          <w:lang w:val="en-US"/>
        </w:rPr>
        <w:t>No doubt, that EU</w:t>
      </w:r>
      <w:r w:rsidR="0BE2D7A4" w:rsidRPr="607F5231">
        <w:rPr>
          <w:rFonts w:ascii="Times New Roman" w:eastAsia="Times New Roman" w:hAnsi="Times New Roman" w:cs="Times New Roman"/>
          <w:sz w:val="28"/>
          <w:szCs w:val="28"/>
          <w:lang w:val="en-US"/>
        </w:rPr>
        <w:t xml:space="preserve"> continues to be one of the world's leading players and a benchmark for global stability and development. In this regard, the strengthening of its geopolitical position and influence on the Central Asian region through the intensification of economic, political and institutional interaction should be considered in a positive way.</w:t>
      </w:r>
      <w:r w:rsidR="09B5E7CC" w:rsidRPr="607F5231">
        <w:rPr>
          <w:rFonts w:ascii="Times New Roman" w:eastAsia="Times New Roman" w:hAnsi="Times New Roman" w:cs="Times New Roman"/>
          <w:sz w:val="28"/>
          <w:szCs w:val="28"/>
          <w:lang w:val="en-US"/>
        </w:rPr>
        <w:t xml:space="preserve"> </w:t>
      </w:r>
      <w:r w:rsidR="04322B93" w:rsidRPr="607F5231">
        <w:rPr>
          <w:rFonts w:ascii="Times New Roman" w:eastAsia="Times New Roman" w:hAnsi="Times New Roman" w:cs="Times New Roman"/>
          <w:sz w:val="28"/>
          <w:szCs w:val="28"/>
          <w:lang w:val="en-US"/>
        </w:rPr>
        <w:t xml:space="preserve">Moreover, the Strategy is an essential instrument </w:t>
      </w:r>
      <w:r w:rsidR="40DC013A" w:rsidRPr="607F5231">
        <w:rPr>
          <w:rFonts w:ascii="Times New Roman" w:eastAsia="Times New Roman" w:hAnsi="Times New Roman" w:cs="Times New Roman"/>
          <w:sz w:val="28"/>
          <w:szCs w:val="28"/>
          <w:lang w:val="en-US"/>
        </w:rPr>
        <w:t xml:space="preserve">which fosters </w:t>
      </w:r>
      <w:r w:rsidR="742542BD" w:rsidRPr="607F5231">
        <w:rPr>
          <w:rFonts w:ascii="Times New Roman" w:eastAsia="Times New Roman" w:hAnsi="Times New Roman" w:cs="Times New Roman"/>
          <w:sz w:val="28"/>
          <w:szCs w:val="28"/>
          <w:lang w:val="en-US"/>
        </w:rPr>
        <w:t>the cooperation between two regions.</w:t>
      </w:r>
    </w:p>
    <w:p w14:paraId="37AF6F17" w14:textId="39A9521C" w:rsidR="00DD07CF" w:rsidRDefault="57913B71" w:rsidP="77D3D596">
      <w:pPr>
        <w:spacing w:after="0" w:line="240" w:lineRule="auto"/>
        <w:ind w:firstLine="708"/>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 xml:space="preserve">The research is structured around nine precise tasks </w:t>
      </w:r>
      <w:r w:rsidR="6224AF9E" w:rsidRPr="607F5231">
        <w:rPr>
          <w:rFonts w:ascii="Times New Roman" w:eastAsia="Times New Roman" w:hAnsi="Times New Roman" w:cs="Times New Roman"/>
          <w:sz w:val="28"/>
          <w:szCs w:val="28"/>
          <w:lang w:val="en-US"/>
        </w:rPr>
        <w:t xml:space="preserve">and main goal, which have been successfully achieved. </w:t>
      </w:r>
      <w:r w:rsidR="2487064B" w:rsidRPr="607F5231">
        <w:rPr>
          <w:rFonts w:ascii="Times New Roman" w:eastAsia="Times New Roman" w:hAnsi="Times New Roman" w:cs="Times New Roman"/>
          <w:sz w:val="28"/>
          <w:szCs w:val="28"/>
          <w:lang w:val="en-US"/>
        </w:rPr>
        <w:t>Furthermore, the study attempts to accomplish its main goal</w:t>
      </w:r>
      <w:r w:rsidR="25EC409B" w:rsidRPr="607F5231">
        <w:rPr>
          <w:rFonts w:ascii="Times New Roman" w:eastAsia="Times New Roman" w:hAnsi="Times New Roman" w:cs="Times New Roman"/>
          <w:sz w:val="28"/>
          <w:szCs w:val="28"/>
          <w:lang w:val="en-US"/>
        </w:rPr>
        <w:t xml:space="preserve">: </w:t>
      </w:r>
      <w:r w:rsidR="25EC409B" w:rsidRPr="607F5231">
        <w:rPr>
          <w:rFonts w:ascii="Times New Roman" w:eastAsia="Times New Roman" w:hAnsi="Times New Roman" w:cs="Times New Roman"/>
          <w:color w:val="000000" w:themeColor="text1"/>
          <w:sz w:val="28"/>
          <w:szCs w:val="28"/>
          <w:lang w:val="en-US"/>
        </w:rPr>
        <w:t>to analyze the factors of cohesion in the EU-Central Asia cooperation under the framework of the new EU Strategy for Central Asia (2019), focusing on how these factors contribute to the strengthening and deepening of relations between the EU and the Central Asian states.</w:t>
      </w:r>
      <w:r w:rsidR="5EA3BECB" w:rsidRPr="607F5231">
        <w:rPr>
          <w:rFonts w:ascii="Times New Roman" w:eastAsia="Times New Roman" w:hAnsi="Times New Roman" w:cs="Times New Roman"/>
          <w:color w:val="000000" w:themeColor="text1"/>
          <w:sz w:val="28"/>
          <w:szCs w:val="28"/>
          <w:lang w:val="en-US"/>
        </w:rPr>
        <w:t xml:space="preserve"> </w:t>
      </w:r>
      <w:r w:rsidR="5EA3BECB" w:rsidRPr="607F5231">
        <w:rPr>
          <w:rFonts w:ascii="Times New Roman" w:eastAsia="Times New Roman" w:hAnsi="Times New Roman" w:cs="Times New Roman"/>
          <w:sz w:val="28"/>
          <w:szCs w:val="28"/>
          <w:lang w:val="en-US"/>
        </w:rPr>
        <w:t>Within this goal</w:t>
      </w:r>
      <w:r w:rsidR="04EA670E" w:rsidRPr="607F5231">
        <w:rPr>
          <w:rFonts w:ascii="Times New Roman" w:eastAsia="Times New Roman" w:hAnsi="Times New Roman" w:cs="Times New Roman"/>
          <w:sz w:val="28"/>
          <w:szCs w:val="28"/>
          <w:lang w:val="en-US"/>
        </w:rPr>
        <w:t>, it can be noted that the European Union is making increasing efforts to strengthen its strategic autonomy in key areas of development – from the sustainability of the energy system and the security of external borders to support for high-tech production. Against the backdrop of growing international instability and increasing challenges in the global economy, raising the level of relations with Central Asia to a strategic partnership is becoming an important part of Brussels’ foreign policy. This is a way to strengthen its presence in the region, a step towards diversifying trade routes, and a tool for increasing its own energy sustainability.</w:t>
      </w:r>
      <w:r w:rsidR="2DE6FB22" w:rsidRPr="607F5231">
        <w:rPr>
          <w:rFonts w:ascii="Times New Roman" w:eastAsia="Times New Roman" w:hAnsi="Times New Roman" w:cs="Times New Roman"/>
          <w:sz w:val="28"/>
          <w:szCs w:val="28"/>
          <w:lang w:val="en-US"/>
        </w:rPr>
        <w:t xml:space="preserve"> </w:t>
      </w:r>
    </w:p>
    <w:p w14:paraId="169D6CAE" w14:textId="5AE7EA0C" w:rsidR="00DD07CF" w:rsidRDefault="2DE6FB22" w:rsidP="77D3D596">
      <w:pPr>
        <w:tabs>
          <w:tab w:val="left" w:pos="5966"/>
        </w:tabs>
        <w:spacing w:after="0" w:line="240" w:lineRule="auto"/>
        <w:ind w:firstLine="708"/>
        <w:jc w:val="both"/>
        <w:rPr>
          <w:rFonts w:ascii="Times New Roman" w:eastAsia="Times New Roman" w:hAnsi="Times New Roman" w:cs="Times New Roman"/>
          <w:sz w:val="28"/>
          <w:szCs w:val="28"/>
          <w:lang w:val="en-US"/>
        </w:rPr>
      </w:pPr>
      <w:r w:rsidRPr="77D3D596">
        <w:rPr>
          <w:rFonts w:ascii="Times New Roman" w:eastAsia="Times New Roman" w:hAnsi="Times New Roman" w:cs="Times New Roman"/>
          <w:sz w:val="28"/>
          <w:szCs w:val="28"/>
          <w:lang w:val="en-US"/>
        </w:rPr>
        <w:t xml:space="preserve">Moreover, </w:t>
      </w:r>
      <w:r w:rsidR="5859C85C" w:rsidRPr="77D3D596">
        <w:rPr>
          <w:rFonts w:ascii="Times New Roman" w:eastAsia="Times New Roman" w:hAnsi="Times New Roman" w:cs="Times New Roman"/>
          <w:sz w:val="28"/>
          <w:szCs w:val="28"/>
          <w:lang w:val="en-US"/>
        </w:rPr>
        <w:t>h</w:t>
      </w:r>
      <w:r w:rsidR="5859C85C" w:rsidRPr="77D3D596">
        <w:rPr>
          <w:rFonts w:ascii="Times New Roman" w:eastAsia="Times New Roman" w:hAnsi="Times New Roman" w:cs="Times New Roman"/>
          <w:color w:val="000000" w:themeColor="text1"/>
          <w:sz w:val="28"/>
          <w:szCs w:val="28"/>
          <w:lang w:val="en-US"/>
        </w:rPr>
        <w:t xml:space="preserve">aving analyzed the evolution and transformation of EU’s foreign policy in Central Asia during the thirty four year period, </w:t>
      </w:r>
      <w:r w:rsidRPr="77D3D596">
        <w:rPr>
          <w:rFonts w:ascii="Times New Roman" w:eastAsia="Times New Roman" w:hAnsi="Times New Roman" w:cs="Times New Roman"/>
          <w:color w:val="000000" w:themeColor="text1"/>
          <w:sz w:val="28"/>
          <w:szCs w:val="28"/>
          <w:lang w:val="en-US"/>
        </w:rPr>
        <w:t xml:space="preserve">the research </w:t>
      </w:r>
      <w:r w:rsidR="4017EB0B" w:rsidRPr="77D3D596">
        <w:rPr>
          <w:rFonts w:ascii="Times New Roman" w:eastAsia="Times New Roman" w:hAnsi="Times New Roman" w:cs="Times New Roman"/>
          <w:color w:val="000000" w:themeColor="text1"/>
          <w:sz w:val="28"/>
          <w:szCs w:val="28"/>
          <w:lang w:val="en-US"/>
        </w:rPr>
        <w:t>provided</w:t>
      </w:r>
      <w:r w:rsidRPr="77D3D596">
        <w:rPr>
          <w:rFonts w:ascii="Times New Roman" w:eastAsia="Times New Roman" w:hAnsi="Times New Roman" w:cs="Times New Roman"/>
          <w:color w:val="000000" w:themeColor="text1"/>
          <w:sz w:val="28"/>
          <w:szCs w:val="28"/>
          <w:lang w:val="en-US"/>
        </w:rPr>
        <w:t xml:space="preserve"> a comprehensive understanding of the strategic priorities of the EU in Central Asia, the role of regional cooperation, and the factors that determine the effectiveness and sustainability of partnership in the context of geopolitical, economic, and security dynamics.</w:t>
      </w:r>
    </w:p>
    <w:p w14:paraId="79F803DC" w14:textId="7C403DAC" w:rsidR="00DD07CF" w:rsidRDefault="2754DE57" w:rsidP="77D3D596">
      <w:pPr>
        <w:spacing w:after="0" w:line="240" w:lineRule="auto"/>
        <w:ind w:firstLine="708"/>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Within the goal of the research, the following tasks were achieved:</w:t>
      </w:r>
    </w:p>
    <w:p w14:paraId="0CD5AF90" w14:textId="1A503BB3" w:rsidR="00DD07CF" w:rsidRDefault="2754DE57" w:rsidP="607F5231">
      <w:pPr>
        <w:pStyle w:val="ae"/>
        <w:numPr>
          <w:ilvl w:val="0"/>
          <w:numId w:val="6"/>
        </w:numPr>
        <w:spacing w:after="0" w:line="240" w:lineRule="auto"/>
        <w:jc w:val="both"/>
        <w:rPr>
          <w:lang w:val="en-US"/>
        </w:rPr>
      </w:pPr>
      <w:r w:rsidRPr="607F5231">
        <w:rPr>
          <w:rFonts w:ascii="Times New Roman" w:eastAsia="Times New Roman" w:hAnsi="Times New Roman" w:cs="Times New Roman"/>
          <w:color w:val="000000" w:themeColor="text1"/>
          <w:sz w:val="28"/>
          <w:szCs w:val="28"/>
          <w:lang w:val="en-US"/>
        </w:rPr>
        <w:t>the theoretical foundations of the foreign policy of the European Union were compared and the key trends in the contemporary foreign policy of the European Union were analyzed;</w:t>
      </w:r>
    </w:p>
    <w:p w14:paraId="471BBCD2" w14:textId="19633CD4" w:rsidR="00DD07CF" w:rsidRDefault="77E11DAA" w:rsidP="607F5231">
      <w:pPr>
        <w:pStyle w:val="ae"/>
        <w:numPr>
          <w:ilvl w:val="0"/>
          <w:numId w:val="6"/>
        </w:numPr>
        <w:spacing w:after="0" w:line="240" w:lineRule="auto"/>
        <w:jc w:val="both"/>
        <w:rPr>
          <w:lang w:val="en-US"/>
        </w:rPr>
      </w:pPr>
      <w:r w:rsidRPr="607F5231">
        <w:rPr>
          <w:rFonts w:ascii="Times New Roman" w:eastAsia="Times New Roman" w:hAnsi="Times New Roman" w:cs="Times New Roman"/>
          <w:color w:val="000000" w:themeColor="text1"/>
          <w:sz w:val="28"/>
          <w:szCs w:val="28"/>
          <w:lang w:val="en-US"/>
        </w:rPr>
        <w:t>the process of diversification of the EU foreign policy approaches to Central Asia w</w:t>
      </w:r>
      <w:r w:rsidR="20A802A8" w:rsidRPr="607F5231">
        <w:rPr>
          <w:rFonts w:ascii="Times New Roman" w:eastAsia="Times New Roman" w:hAnsi="Times New Roman" w:cs="Times New Roman"/>
          <w:color w:val="000000" w:themeColor="text1"/>
          <w:sz w:val="28"/>
          <w:szCs w:val="28"/>
          <w:lang w:val="en-US"/>
        </w:rPr>
        <w:t>as</w:t>
      </w:r>
      <w:r w:rsidRPr="607F5231">
        <w:rPr>
          <w:rFonts w:ascii="Times New Roman" w:eastAsia="Times New Roman" w:hAnsi="Times New Roman" w:cs="Times New Roman"/>
          <w:color w:val="000000" w:themeColor="text1"/>
          <w:sz w:val="28"/>
          <w:szCs w:val="28"/>
          <w:lang w:val="en-US"/>
        </w:rPr>
        <w:t xml:space="preserve"> examined; </w:t>
      </w:r>
    </w:p>
    <w:p w14:paraId="5F2D1D76" w14:textId="7DE97BF0" w:rsidR="00DD07CF" w:rsidRDefault="77E11DAA" w:rsidP="607F5231">
      <w:pPr>
        <w:pStyle w:val="ae"/>
        <w:numPr>
          <w:ilvl w:val="0"/>
          <w:numId w:val="6"/>
        </w:numPr>
        <w:spacing w:after="0" w:line="240" w:lineRule="auto"/>
        <w:jc w:val="both"/>
        <w:rPr>
          <w:rFonts w:ascii="Times New Roman" w:eastAsia="Times New Roman" w:hAnsi="Times New Roman" w:cs="Times New Roman"/>
          <w:color w:val="000000" w:themeColor="text1"/>
          <w:sz w:val="28"/>
          <w:szCs w:val="28"/>
          <w:lang w:val="en-US"/>
        </w:rPr>
      </w:pPr>
      <w:r w:rsidRPr="607F5231">
        <w:rPr>
          <w:rFonts w:ascii="Times New Roman" w:eastAsia="Times New Roman" w:hAnsi="Times New Roman" w:cs="Times New Roman"/>
          <w:color w:val="000000" w:themeColor="text1"/>
          <w:sz w:val="28"/>
          <w:szCs w:val="28"/>
          <w:lang w:val="en-US"/>
        </w:rPr>
        <w:t xml:space="preserve">a comparative analysis of the EU strategies in Central Asia and the main results of their implementation (including intermediate stages) was conducted. The research focused on </w:t>
      </w:r>
      <w:r w:rsidR="23794C37" w:rsidRPr="607F5231">
        <w:rPr>
          <w:rFonts w:ascii="Times New Roman" w:eastAsia="Times New Roman" w:hAnsi="Times New Roman" w:cs="Times New Roman"/>
          <w:color w:val="000000" w:themeColor="text1"/>
          <w:sz w:val="28"/>
          <w:szCs w:val="28"/>
          <w:lang w:val="en-US"/>
        </w:rPr>
        <w:t xml:space="preserve">successes and fails of the previous Strategy (2007) and </w:t>
      </w:r>
      <w:r w:rsidR="42D28534" w:rsidRPr="607F5231">
        <w:rPr>
          <w:rFonts w:ascii="Times New Roman" w:eastAsia="Times New Roman" w:hAnsi="Times New Roman" w:cs="Times New Roman"/>
          <w:color w:val="000000" w:themeColor="text1"/>
          <w:sz w:val="28"/>
          <w:szCs w:val="28"/>
          <w:lang w:val="en-US"/>
        </w:rPr>
        <w:t xml:space="preserve">the differences between both strategies. </w:t>
      </w:r>
    </w:p>
    <w:p w14:paraId="12EE3726" w14:textId="44B07A91" w:rsidR="00DD07CF" w:rsidRDefault="42D28534" w:rsidP="607F5231">
      <w:pPr>
        <w:pStyle w:val="ae"/>
        <w:numPr>
          <w:ilvl w:val="0"/>
          <w:numId w:val="6"/>
        </w:numPr>
        <w:spacing w:after="0" w:line="240" w:lineRule="auto"/>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color w:val="000000" w:themeColor="text1"/>
          <w:sz w:val="28"/>
          <w:szCs w:val="28"/>
          <w:lang w:val="en-US"/>
        </w:rPr>
        <w:t>the process of implementation of the EU Strategy for Central Asia of 2019 including Covid period till 2024 was examined.</w:t>
      </w:r>
      <w:r w:rsidR="62054D38" w:rsidRPr="607F5231">
        <w:rPr>
          <w:rFonts w:ascii="Times New Roman" w:eastAsia="Times New Roman" w:hAnsi="Times New Roman" w:cs="Times New Roman"/>
          <w:color w:val="000000" w:themeColor="text1"/>
          <w:sz w:val="28"/>
          <w:szCs w:val="28"/>
          <w:lang w:val="en-US"/>
        </w:rPr>
        <w:t xml:space="preserve"> The Covid period</w:t>
      </w:r>
      <w:r w:rsidR="0BE2D7A4" w:rsidRPr="607F5231">
        <w:rPr>
          <w:rFonts w:ascii="Times New Roman" w:eastAsia="Times New Roman" w:hAnsi="Times New Roman" w:cs="Times New Roman"/>
          <w:sz w:val="28"/>
          <w:szCs w:val="28"/>
          <w:lang w:val="en-US"/>
        </w:rPr>
        <w:t xml:space="preserve"> brought significant changes to global politics. </w:t>
      </w:r>
      <w:r w:rsidR="1F3000C9" w:rsidRPr="607F5231">
        <w:rPr>
          <w:rFonts w:ascii="Times New Roman" w:eastAsia="Times New Roman" w:hAnsi="Times New Roman" w:cs="Times New Roman"/>
          <w:sz w:val="28"/>
          <w:szCs w:val="28"/>
          <w:lang w:val="en-US"/>
        </w:rPr>
        <w:t>Thus</w:t>
      </w:r>
      <w:r w:rsidR="13FC14D0" w:rsidRPr="607F5231">
        <w:rPr>
          <w:rFonts w:ascii="Times New Roman" w:eastAsia="Times New Roman" w:hAnsi="Times New Roman" w:cs="Times New Roman"/>
          <w:sz w:val="28"/>
          <w:szCs w:val="28"/>
          <w:lang w:val="en-US"/>
        </w:rPr>
        <w:t xml:space="preserve">, </w:t>
      </w:r>
      <w:r w:rsidR="1F3000C9" w:rsidRPr="607F5231">
        <w:rPr>
          <w:rFonts w:ascii="Times New Roman" w:eastAsia="Times New Roman" w:hAnsi="Times New Roman" w:cs="Times New Roman"/>
          <w:sz w:val="28"/>
          <w:szCs w:val="28"/>
          <w:lang w:val="en-US"/>
        </w:rPr>
        <w:t>the research focuses on coop</w:t>
      </w:r>
      <w:r w:rsidR="24FC29C2" w:rsidRPr="607F5231">
        <w:rPr>
          <w:rFonts w:ascii="Times New Roman" w:eastAsia="Times New Roman" w:hAnsi="Times New Roman" w:cs="Times New Roman"/>
          <w:sz w:val="28"/>
          <w:szCs w:val="28"/>
          <w:lang w:val="en-US"/>
        </w:rPr>
        <w:t xml:space="preserve">eration between the regions </w:t>
      </w:r>
      <w:r w:rsidR="2BA2C84D" w:rsidRPr="607F5231">
        <w:rPr>
          <w:rFonts w:ascii="Times New Roman" w:eastAsia="Times New Roman" w:hAnsi="Times New Roman" w:cs="Times New Roman"/>
          <w:sz w:val="28"/>
          <w:szCs w:val="28"/>
          <w:lang w:val="en-US"/>
        </w:rPr>
        <w:t xml:space="preserve">during Covid and post-covid periods. </w:t>
      </w:r>
    </w:p>
    <w:p w14:paraId="4CB0CE75" w14:textId="1008415C" w:rsidR="00DD07CF" w:rsidRDefault="2BA2C84D" w:rsidP="607F5231">
      <w:pPr>
        <w:pStyle w:val="ae"/>
        <w:numPr>
          <w:ilvl w:val="0"/>
          <w:numId w:val="6"/>
        </w:numPr>
        <w:spacing w:after="0" w:line="240" w:lineRule="auto"/>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color w:val="000000" w:themeColor="text1"/>
          <w:sz w:val="28"/>
          <w:szCs w:val="28"/>
          <w:lang w:val="en-US"/>
        </w:rPr>
        <w:t xml:space="preserve">factors of Central Asia cohesion under the new EU Strategy for Central Asia were analyzed and a SWOT-analysis of the Strategy was conducted. </w:t>
      </w:r>
      <w:r w:rsidR="0A40097B" w:rsidRPr="607F5231">
        <w:rPr>
          <w:rFonts w:ascii="Times New Roman" w:eastAsia="Times New Roman" w:hAnsi="Times New Roman" w:cs="Times New Roman"/>
          <w:color w:val="000000" w:themeColor="text1"/>
          <w:sz w:val="28"/>
          <w:szCs w:val="28"/>
          <w:lang w:val="en-US"/>
        </w:rPr>
        <w:t>Undoubtedly, the Strategy brought the region together</w:t>
      </w:r>
      <w:r w:rsidR="2D7689EC" w:rsidRPr="607F5231">
        <w:rPr>
          <w:rFonts w:ascii="Times New Roman" w:eastAsia="Times New Roman" w:hAnsi="Times New Roman" w:cs="Times New Roman"/>
          <w:color w:val="000000" w:themeColor="text1"/>
          <w:sz w:val="28"/>
          <w:szCs w:val="28"/>
          <w:lang w:val="en-US"/>
        </w:rPr>
        <w:t>.</w:t>
      </w:r>
      <w:r w:rsidR="2A76B119" w:rsidRPr="607F5231">
        <w:rPr>
          <w:rFonts w:ascii="Times New Roman" w:eastAsia="Times New Roman" w:hAnsi="Times New Roman" w:cs="Times New Roman"/>
          <w:color w:val="000000" w:themeColor="text1"/>
          <w:sz w:val="28"/>
          <w:szCs w:val="28"/>
          <w:lang w:val="en-US"/>
        </w:rPr>
        <w:t xml:space="preserve"> </w:t>
      </w:r>
      <w:r w:rsidR="2A76B119" w:rsidRPr="607F5231">
        <w:rPr>
          <w:rFonts w:ascii="Times New Roman" w:eastAsia="Times New Roman" w:hAnsi="Times New Roman" w:cs="Times New Roman"/>
          <w:sz w:val="28"/>
          <w:szCs w:val="28"/>
          <w:lang w:val="en-US"/>
        </w:rPr>
        <w:t>Frequent meetings of Central Asian leaders, increased bilateral and multilateral interactions, increased attention to domestic politics in Central Asia, and attempts to diversify partnership networks indicate the growing importance of Central Asia.</w:t>
      </w:r>
      <w:r w:rsidR="2D7689EC" w:rsidRPr="607F5231">
        <w:rPr>
          <w:rFonts w:ascii="Times New Roman" w:eastAsia="Times New Roman" w:hAnsi="Times New Roman" w:cs="Times New Roman"/>
          <w:color w:val="000000" w:themeColor="text1"/>
          <w:sz w:val="28"/>
          <w:szCs w:val="28"/>
          <w:lang w:val="en-US"/>
        </w:rPr>
        <w:t xml:space="preserve"> Moreover, </w:t>
      </w:r>
      <w:r w:rsidR="474C58A8" w:rsidRPr="607F5231">
        <w:rPr>
          <w:rFonts w:ascii="Times New Roman" w:eastAsia="Times New Roman" w:hAnsi="Times New Roman" w:cs="Times New Roman"/>
          <w:color w:val="000000" w:themeColor="text1"/>
          <w:sz w:val="28"/>
          <w:szCs w:val="28"/>
          <w:lang w:val="en-US"/>
        </w:rPr>
        <w:t xml:space="preserve">we believe that </w:t>
      </w:r>
      <w:r w:rsidR="2D7689EC" w:rsidRPr="607F5231">
        <w:rPr>
          <w:rFonts w:ascii="Times New Roman" w:eastAsia="Times New Roman" w:hAnsi="Times New Roman" w:cs="Times New Roman"/>
          <w:color w:val="000000" w:themeColor="text1"/>
          <w:sz w:val="28"/>
          <w:szCs w:val="28"/>
          <w:lang w:val="en-US"/>
        </w:rPr>
        <w:t>the EU is a unique example of successful integration</w:t>
      </w:r>
      <w:r w:rsidR="230D643F" w:rsidRPr="607F5231">
        <w:rPr>
          <w:rFonts w:ascii="Times New Roman" w:eastAsia="Times New Roman" w:hAnsi="Times New Roman" w:cs="Times New Roman"/>
          <w:color w:val="000000" w:themeColor="text1"/>
          <w:sz w:val="28"/>
          <w:szCs w:val="28"/>
          <w:lang w:val="en-US"/>
        </w:rPr>
        <w:t xml:space="preserve"> and</w:t>
      </w:r>
      <w:r w:rsidR="2B3AFF1E" w:rsidRPr="607F5231">
        <w:rPr>
          <w:rFonts w:ascii="Times New Roman" w:eastAsia="Times New Roman" w:hAnsi="Times New Roman" w:cs="Times New Roman"/>
          <w:color w:val="000000" w:themeColor="text1"/>
          <w:sz w:val="28"/>
          <w:szCs w:val="28"/>
          <w:lang w:val="en-US"/>
        </w:rPr>
        <w:t xml:space="preserve"> EU’s role in Central Asian integration is crucial.</w:t>
      </w:r>
      <w:r w:rsidR="32919C67" w:rsidRPr="607F5231">
        <w:rPr>
          <w:rFonts w:ascii="Times New Roman" w:eastAsia="Times New Roman" w:hAnsi="Times New Roman" w:cs="Times New Roman"/>
          <w:color w:val="000000" w:themeColor="text1"/>
          <w:sz w:val="28"/>
          <w:szCs w:val="28"/>
          <w:lang w:val="en-US"/>
        </w:rPr>
        <w:t xml:space="preserve"> </w:t>
      </w:r>
      <w:r w:rsidR="0FE323E1" w:rsidRPr="607F5231">
        <w:rPr>
          <w:rFonts w:ascii="Times New Roman" w:eastAsia="Times New Roman" w:hAnsi="Times New Roman" w:cs="Times New Roman"/>
          <w:sz w:val="28"/>
          <w:szCs w:val="28"/>
          <w:lang w:val="en-US"/>
        </w:rPr>
        <w:t>As a successful model of regional integration, the European Union can offer the CA countries many proven mechanisms (legal, economic, and others) for their regional convergence. The most important priority of the EU - promoting the deepening of regional cooperation is fully correlated with the goals and objectives of the Central Asian states in this direction. In this context, one cannot fail to note the EU's constant search for a balance between regional and bilateral interaction formats.</w:t>
      </w:r>
    </w:p>
    <w:p w14:paraId="5DD80537" w14:textId="35F5621D" w:rsidR="00DD07CF" w:rsidRDefault="32919C67" w:rsidP="607F5231">
      <w:pPr>
        <w:pStyle w:val="ae"/>
        <w:numPr>
          <w:ilvl w:val="0"/>
          <w:numId w:val="6"/>
        </w:numPr>
        <w:spacing w:after="0" w:line="240" w:lineRule="auto"/>
        <w:jc w:val="both"/>
        <w:rPr>
          <w:rFonts w:ascii="Times New Roman" w:eastAsia="Times New Roman" w:hAnsi="Times New Roman" w:cs="Times New Roman"/>
          <w:color w:val="000000" w:themeColor="text1"/>
          <w:lang w:val="en-US"/>
        </w:rPr>
      </w:pPr>
      <w:r w:rsidRPr="607F5231">
        <w:rPr>
          <w:rFonts w:ascii="Times New Roman" w:eastAsia="Times New Roman" w:hAnsi="Times New Roman" w:cs="Times New Roman"/>
          <w:color w:val="000000" w:themeColor="text1"/>
          <w:sz w:val="28"/>
          <w:szCs w:val="28"/>
          <w:lang w:val="en-US"/>
        </w:rPr>
        <w:t>By conducting SWOT-analysis,</w:t>
      </w:r>
      <w:r w:rsidR="2B3AFF1E" w:rsidRPr="607F5231">
        <w:rPr>
          <w:rFonts w:ascii="Times New Roman" w:eastAsia="Times New Roman" w:hAnsi="Times New Roman" w:cs="Times New Roman"/>
          <w:color w:val="000000" w:themeColor="text1"/>
          <w:sz w:val="28"/>
          <w:szCs w:val="28"/>
          <w:lang w:val="en-US"/>
        </w:rPr>
        <w:t xml:space="preserve"> </w:t>
      </w:r>
      <w:r w:rsidR="627963DB" w:rsidRPr="607F5231">
        <w:rPr>
          <w:rFonts w:ascii="Times New Roman" w:eastAsia="Times New Roman" w:hAnsi="Times New Roman" w:cs="Times New Roman"/>
          <w:color w:val="000000" w:themeColor="text1"/>
          <w:sz w:val="28"/>
          <w:szCs w:val="28"/>
          <w:lang w:val="en-US"/>
        </w:rPr>
        <w:t>t</w:t>
      </w:r>
      <w:r w:rsidR="2B3AFF1E" w:rsidRPr="607F5231">
        <w:rPr>
          <w:rFonts w:ascii="Times New Roman" w:eastAsia="Times New Roman" w:hAnsi="Times New Roman" w:cs="Times New Roman"/>
          <w:color w:val="000000" w:themeColor="text1"/>
          <w:sz w:val="28"/>
          <w:szCs w:val="28"/>
          <w:lang w:val="en-US"/>
        </w:rPr>
        <w:t xml:space="preserve">he study also </w:t>
      </w:r>
      <w:r w:rsidR="0489C18B" w:rsidRPr="607F5231">
        <w:rPr>
          <w:rFonts w:ascii="Times New Roman" w:eastAsia="Times New Roman" w:hAnsi="Times New Roman" w:cs="Times New Roman"/>
          <w:color w:val="000000" w:themeColor="text1"/>
          <w:sz w:val="28"/>
          <w:szCs w:val="28"/>
          <w:lang w:val="en-US"/>
        </w:rPr>
        <w:t>identified the strong and weak points</w:t>
      </w:r>
      <w:r w:rsidR="7FB48980" w:rsidRPr="607F5231">
        <w:rPr>
          <w:rFonts w:ascii="Times New Roman" w:eastAsia="Times New Roman" w:hAnsi="Times New Roman" w:cs="Times New Roman"/>
          <w:color w:val="000000" w:themeColor="text1"/>
          <w:sz w:val="28"/>
          <w:szCs w:val="28"/>
          <w:lang w:val="en-US"/>
        </w:rPr>
        <w:t>, opportunities and threats</w:t>
      </w:r>
      <w:r w:rsidR="0489C18B" w:rsidRPr="607F5231">
        <w:rPr>
          <w:rFonts w:ascii="Times New Roman" w:eastAsia="Times New Roman" w:hAnsi="Times New Roman" w:cs="Times New Roman"/>
          <w:color w:val="000000" w:themeColor="text1"/>
          <w:sz w:val="28"/>
          <w:szCs w:val="28"/>
          <w:lang w:val="en-US"/>
        </w:rPr>
        <w:t xml:space="preserve"> of the latest Strategy</w:t>
      </w:r>
      <w:r w:rsidR="0541D322" w:rsidRPr="607F5231">
        <w:rPr>
          <w:rFonts w:ascii="Times New Roman" w:eastAsia="Times New Roman" w:hAnsi="Times New Roman" w:cs="Times New Roman"/>
          <w:color w:val="000000" w:themeColor="text1"/>
          <w:sz w:val="28"/>
          <w:szCs w:val="28"/>
          <w:lang w:val="en-US"/>
        </w:rPr>
        <w:t>.</w:t>
      </w:r>
      <w:r w:rsidR="230D643F" w:rsidRPr="607F5231">
        <w:rPr>
          <w:rFonts w:ascii="Times New Roman" w:eastAsia="Times New Roman" w:hAnsi="Times New Roman" w:cs="Times New Roman"/>
          <w:color w:val="000000" w:themeColor="text1"/>
          <w:sz w:val="28"/>
          <w:szCs w:val="28"/>
          <w:lang w:val="en-US"/>
        </w:rPr>
        <w:t xml:space="preserve"> </w:t>
      </w:r>
    </w:p>
    <w:p w14:paraId="455CF8B7" w14:textId="3A9C572F" w:rsidR="00DD07CF" w:rsidRDefault="7D103DEB" w:rsidP="607F5231">
      <w:pPr>
        <w:pStyle w:val="ae"/>
        <w:numPr>
          <w:ilvl w:val="0"/>
          <w:numId w:val="6"/>
        </w:numPr>
        <w:spacing w:after="0" w:line="240" w:lineRule="auto"/>
        <w:jc w:val="both"/>
        <w:rPr>
          <w:rFonts w:ascii="Times New Roman" w:eastAsia="Times New Roman" w:hAnsi="Times New Roman" w:cs="Times New Roman"/>
          <w:lang w:val="en-US"/>
        </w:rPr>
      </w:pPr>
      <w:r w:rsidRPr="607F5231">
        <w:rPr>
          <w:rFonts w:ascii="Times New Roman" w:eastAsia="Times New Roman" w:hAnsi="Times New Roman" w:cs="Times New Roman"/>
          <w:color w:val="000000" w:themeColor="text1"/>
          <w:sz w:val="28"/>
          <w:szCs w:val="28"/>
          <w:lang w:val="en-US"/>
        </w:rPr>
        <w:t xml:space="preserve">the influence of internal and external factors in the process of implementation of the Strategy was examined. </w:t>
      </w:r>
      <w:r w:rsidR="0BE2D7A4" w:rsidRPr="607F5231">
        <w:rPr>
          <w:rFonts w:ascii="Times New Roman" w:eastAsia="Times New Roman" w:hAnsi="Times New Roman" w:cs="Times New Roman"/>
          <w:sz w:val="28"/>
          <w:szCs w:val="28"/>
          <w:lang w:val="en-US"/>
        </w:rPr>
        <w:t xml:space="preserve">Russia’s invasion of Ukraine shook the established world order and became one of the largest military conflicts in Europe since World War II. The coalition of the so-called “collective West”, sanctions against Russia, the energy crisis in Europe and the revision of the world order all affected the development of Eurasia. Central Asia, which has the longest land borders with Russia and is intertwined with deep economic and political ties, reconsidered its place in balancing the anti-Russian and anti-Chinese axis with the interests of the West, using the principles of multi-vector diplomacy. The </w:t>
      </w:r>
      <w:r w:rsidR="30A0A63F" w:rsidRPr="607F5231">
        <w:rPr>
          <w:rFonts w:ascii="Times New Roman" w:eastAsia="Times New Roman" w:hAnsi="Times New Roman" w:cs="Times New Roman"/>
          <w:sz w:val="28"/>
          <w:szCs w:val="28"/>
          <w:lang w:val="en-US"/>
        </w:rPr>
        <w:t>research</w:t>
      </w:r>
      <w:r w:rsidR="0BE2D7A4" w:rsidRPr="607F5231">
        <w:rPr>
          <w:rFonts w:ascii="Times New Roman" w:eastAsia="Times New Roman" w:hAnsi="Times New Roman" w:cs="Times New Roman"/>
          <w:sz w:val="28"/>
          <w:szCs w:val="28"/>
          <w:lang w:val="en-US"/>
        </w:rPr>
        <w:t xml:space="preserve"> examines how Central Asia took advantage of the geopolitical and geo-economic changes in 2022 and how these events changed the vectors of foreign strategy of the Central Asian countries.</w:t>
      </w:r>
    </w:p>
    <w:p w14:paraId="5E836386" w14:textId="50DD43D7" w:rsidR="615B8016" w:rsidRDefault="615B8016" w:rsidP="607F5231">
      <w:pPr>
        <w:pStyle w:val="ae"/>
        <w:numPr>
          <w:ilvl w:val="0"/>
          <w:numId w:val="6"/>
        </w:numPr>
        <w:spacing w:after="0" w:line="240" w:lineRule="auto"/>
        <w:jc w:val="both"/>
        <w:rPr>
          <w:lang w:val="en-US"/>
        </w:rPr>
      </w:pPr>
      <w:r w:rsidRPr="607F5231">
        <w:rPr>
          <w:rFonts w:ascii="Times New Roman" w:eastAsia="Times New Roman" w:hAnsi="Times New Roman" w:cs="Times New Roman"/>
          <w:color w:val="000000" w:themeColor="text1"/>
          <w:sz w:val="28"/>
          <w:szCs w:val="28"/>
          <w:lang w:val="en-US"/>
        </w:rPr>
        <w:t xml:space="preserve">the contribution of Kazakhstan and other Central Asian states to the formation and development of European foreign policy in relation to the region was determined. </w:t>
      </w:r>
    </w:p>
    <w:p w14:paraId="5C3EAABF" w14:textId="4C7E2A4B" w:rsidR="615B8016" w:rsidRDefault="615B8016" w:rsidP="607F5231">
      <w:pPr>
        <w:pStyle w:val="ae"/>
        <w:numPr>
          <w:ilvl w:val="0"/>
          <w:numId w:val="6"/>
        </w:numPr>
        <w:spacing w:after="0" w:line="240" w:lineRule="auto"/>
        <w:jc w:val="both"/>
        <w:rPr>
          <w:rFonts w:ascii="Times New Roman" w:eastAsia="Times New Roman" w:hAnsi="Times New Roman" w:cs="Times New Roman"/>
          <w:color w:val="000000" w:themeColor="text1"/>
          <w:sz w:val="28"/>
          <w:szCs w:val="28"/>
          <w:lang w:val="en-US"/>
        </w:rPr>
      </w:pPr>
      <w:r w:rsidRPr="607F5231">
        <w:rPr>
          <w:rFonts w:ascii="Times New Roman" w:eastAsia="Times New Roman" w:hAnsi="Times New Roman" w:cs="Times New Roman"/>
          <w:color w:val="000000" w:themeColor="text1"/>
          <w:sz w:val="28"/>
          <w:szCs w:val="28"/>
          <w:lang w:val="en-US"/>
        </w:rPr>
        <w:t xml:space="preserve">major problems and barriers during the implementation of strategy in Central Asia were identified. </w:t>
      </w:r>
    </w:p>
    <w:p w14:paraId="7BF490F7" w14:textId="56C4ADEE" w:rsidR="319957C9" w:rsidRDefault="319957C9" w:rsidP="607F5231">
      <w:pPr>
        <w:pStyle w:val="ae"/>
        <w:numPr>
          <w:ilvl w:val="0"/>
          <w:numId w:val="6"/>
        </w:numPr>
        <w:spacing w:after="0" w:line="240" w:lineRule="auto"/>
        <w:jc w:val="both"/>
        <w:rPr>
          <w:lang w:val="en-US"/>
        </w:rPr>
      </w:pPr>
      <w:r w:rsidRPr="607F5231">
        <w:rPr>
          <w:rFonts w:ascii="Times New Roman" w:eastAsia="Times New Roman" w:hAnsi="Times New Roman" w:cs="Times New Roman"/>
          <w:color w:val="000000" w:themeColor="text1"/>
          <w:sz w:val="28"/>
          <w:szCs w:val="28"/>
          <w:lang w:val="en-US"/>
        </w:rPr>
        <w:t xml:space="preserve">a recommendatory base for increasing the effectiveness of cooperation between the European Union and the Central Asian region for the future strategical documents was developed. </w:t>
      </w:r>
    </w:p>
    <w:p w14:paraId="5264A027" w14:textId="3D57AB6E" w:rsidR="319957C9" w:rsidRDefault="6959C9DC" w:rsidP="770AFFC0">
      <w:pPr>
        <w:spacing w:after="0" w:line="240" w:lineRule="auto"/>
        <w:ind w:firstLine="708"/>
        <w:jc w:val="both"/>
        <w:rPr>
          <w:rFonts w:ascii="Times New Roman" w:eastAsia="Times New Roman" w:hAnsi="Times New Roman" w:cs="Times New Roman"/>
          <w:sz w:val="28"/>
          <w:szCs w:val="28"/>
          <w:lang w:val="en-US"/>
        </w:rPr>
      </w:pPr>
      <w:r w:rsidRPr="770AFFC0">
        <w:rPr>
          <w:rFonts w:ascii="Times New Roman" w:eastAsia="Times New Roman" w:hAnsi="Times New Roman" w:cs="Times New Roman"/>
          <w:sz w:val="28"/>
          <w:szCs w:val="28"/>
          <w:lang w:val="en-US"/>
        </w:rPr>
        <w:t>Jointly</w:t>
      </w:r>
      <w:r w:rsidR="319957C9" w:rsidRPr="770AFFC0">
        <w:rPr>
          <w:rFonts w:ascii="Times New Roman" w:eastAsia="Times New Roman" w:hAnsi="Times New Roman" w:cs="Times New Roman"/>
          <w:sz w:val="28"/>
          <w:szCs w:val="28"/>
          <w:lang w:val="en-US"/>
        </w:rPr>
        <w:t xml:space="preserve">, these </w:t>
      </w:r>
      <w:r w:rsidR="0ACDCB78" w:rsidRPr="770AFFC0">
        <w:rPr>
          <w:rFonts w:ascii="Times New Roman" w:eastAsia="Times New Roman" w:hAnsi="Times New Roman" w:cs="Times New Roman"/>
          <w:sz w:val="28"/>
          <w:szCs w:val="28"/>
          <w:lang w:val="en-US"/>
        </w:rPr>
        <w:t xml:space="preserve">tasks </w:t>
      </w:r>
      <w:r w:rsidR="319957C9" w:rsidRPr="770AFFC0">
        <w:rPr>
          <w:rFonts w:ascii="Times New Roman" w:eastAsia="Times New Roman" w:hAnsi="Times New Roman" w:cs="Times New Roman"/>
          <w:sz w:val="28"/>
          <w:szCs w:val="28"/>
          <w:lang w:val="en-US"/>
        </w:rPr>
        <w:t xml:space="preserve">formed a </w:t>
      </w:r>
      <w:r w:rsidR="1C35FCF8" w:rsidRPr="770AFFC0">
        <w:rPr>
          <w:rFonts w:ascii="Times New Roman" w:eastAsia="Times New Roman" w:hAnsi="Times New Roman" w:cs="Times New Roman"/>
          <w:sz w:val="28"/>
          <w:szCs w:val="28"/>
          <w:lang w:val="en-US"/>
        </w:rPr>
        <w:t>holistic</w:t>
      </w:r>
      <w:r w:rsidR="319957C9" w:rsidRPr="770AFFC0">
        <w:rPr>
          <w:rFonts w:ascii="Times New Roman" w:eastAsia="Times New Roman" w:hAnsi="Times New Roman" w:cs="Times New Roman"/>
          <w:sz w:val="28"/>
          <w:szCs w:val="28"/>
          <w:lang w:val="en-US"/>
        </w:rPr>
        <w:t xml:space="preserve"> framework that addressed various aspects of understanding the EU’s </w:t>
      </w:r>
      <w:r w:rsidR="7BDE3DDD" w:rsidRPr="770AFFC0">
        <w:rPr>
          <w:rFonts w:ascii="Times New Roman" w:eastAsia="Times New Roman" w:hAnsi="Times New Roman" w:cs="Times New Roman"/>
          <w:sz w:val="28"/>
          <w:szCs w:val="28"/>
          <w:lang w:val="en-US"/>
        </w:rPr>
        <w:t>rol</w:t>
      </w:r>
      <w:r w:rsidR="319957C9" w:rsidRPr="770AFFC0">
        <w:rPr>
          <w:rFonts w:ascii="Times New Roman" w:eastAsia="Times New Roman" w:hAnsi="Times New Roman" w:cs="Times New Roman"/>
          <w:sz w:val="28"/>
          <w:szCs w:val="28"/>
          <w:lang w:val="en-US"/>
        </w:rPr>
        <w:t>e</w:t>
      </w:r>
      <w:r w:rsidR="1C899C76" w:rsidRPr="770AFFC0">
        <w:rPr>
          <w:rFonts w:ascii="Times New Roman" w:eastAsia="Times New Roman" w:hAnsi="Times New Roman" w:cs="Times New Roman"/>
          <w:sz w:val="28"/>
          <w:szCs w:val="28"/>
          <w:lang w:val="en-US"/>
        </w:rPr>
        <w:t xml:space="preserve"> and influence</w:t>
      </w:r>
      <w:r w:rsidR="319957C9" w:rsidRPr="770AFFC0">
        <w:rPr>
          <w:rFonts w:ascii="Times New Roman" w:eastAsia="Times New Roman" w:hAnsi="Times New Roman" w:cs="Times New Roman"/>
          <w:sz w:val="28"/>
          <w:szCs w:val="28"/>
          <w:lang w:val="en-US"/>
        </w:rPr>
        <w:t xml:space="preserve"> on regional cooperation in Central Asia. The </w:t>
      </w:r>
      <w:r w:rsidR="16B492ED" w:rsidRPr="770AFFC0">
        <w:rPr>
          <w:rFonts w:ascii="Times New Roman" w:eastAsia="Times New Roman" w:hAnsi="Times New Roman" w:cs="Times New Roman"/>
          <w:sz w:val="28"/>
          <w:szCs w:val="28"/>
          <w:lang w:val="en-US"/>
        </w:rPr>
        <w:t>research</w:t>
      </w:r>
      <w:r w:rsidR="319957C9" w:rsidRPr="770AFFC0">
        <w:rPr>
          <w:rFonts w:ascii="Times New Roman" w:eastAsia="Times New Roman" w:hAnsi="Times New Roman" w:cs="Times New Roman"/>
          <w:sz w:val="28"/>
          <w:szCs w:val="28"/>
          <w:lang w:val="en-US"/>
        </w:rPr>
        <w:t xml:space="preserve"> filled knowledge gaps, clarified perceptions and provided a </w:t>
      </w:r>
      <w:r w:rsidR="4713013D" w:rsidRPr="770AFFC0">
        <w:rPr>
          <w:rFonts w:ascii="Times New Roman" w:eastAsia="Times New Roman" w:hAnsi="Times New Roman" w:cs="Times New Roman"/>
          <w:sz w:val="28"/>
          <w:szCs w:val="28"/>
          <w:lang w:val="en-US"/>
        </w:rPr>
        <w:t>comprehensive</w:t>
      </w:r>
      <w:r w:rsidR="319957C9" w:rsidRPr="770AFFC0">
        <w:rPr>
          <w:rFonts w:ascii="Times New Roman" w:eastAsia="Times New Roman" w:hAnsi="Times New Roman" w:cs="Times New Roman"/>
          <w:sz w:val="28"/>
          <w:szCs w:val="28"/>
          <w:lang w:val="en-US"/>
        </w:rPr>
        <w:t xml:space="preserve"> assessment of the EU’s engagement in the region.</w:t>
      </w:r>
    </w:p>
    <w:p w14:paraId="45E87C99" w14:textId="336E5B9E" w:rsidR="00DD07CF" w:rsidRDefault="4DE2AD24" w:rsidP="0BE2D7A4">
      <w:pPr>
        <w:spacing w:after="0" w:line="240" w:lineRule="auto"/>
        <w:ind w:firstLine="708"/>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The study highlights the</w:t>
      </w:r>
      <w:r w:rsidR="0BE2D7A4" w:rsidRPr="607F5231">
        <w:rPr>
          <w:rFonts w:ascii="Times New Roman" w:eastAsia="Times New Roman" w:hAnsi="Times New Roman" w:cs="Times New Roman"/>
          <w:sz w:val="28"/>
          <w:szCs w:val="28"/>
          <w:lang w:val="en-US"/>
        </w:rPr>
        <w:t xml:space="preserve"> growing cohesion among the Central Asian countries</w:t>
      </w:r>
      <w:r w:rsidR="2582C2D3" w:rsidRPr="607F5231">
        <w:rPr>
          <w:rFonts w:ascii="Times New Roman" w:eastAsia="Times New Roman" w:hAnsi="Times New Roman" w:cs="Times New Roman"/>
          <w:sz w:val="28"/>
          <w:szCs w:val="28"/>
          <w:lang w:val="en-US"/>
        </w:rPr>
        <w:t xml:space="preserve"> and EU’s significant role in regional integration. </w:t>
      </w:r>
      <w:r w:rsidR="0BE2D7A4" w:rsidRPr="607F5231">
        <w:rPr>
          <w:rFonts w:ascii="Times New Roman" w:eastAsia="Times New Roman" w:hAnsi="Times New Roman" w:cs="Times New Roman"/>
          <w:sz w:val="28"/>
          <w:szCs w:val="28"/>
          <w:lang w:val="en-US"/>
        </w:rPr>
        <w:t>Overall, the fundamental geopolitical and geoeconomic challenges to the development trajectories of Central Asian states have contributed to a dynamic modification of Central Asian strategies. Above all, the threat of political and economic consequences of Russian aggression and the looming global recession have accelerated regional economic cooperation and strengthened the new unity of Central Asia. Other regional players have reconsidered the strategic importance of Central Asia in balancing Eurasian affairs in the midst of the current geopolitical transformation. Central Asia has used the risks and opportunities to accelerate the diversification of its transit potential by implementing a multi-vector policy.</w:t>
      </w:r>
    </w:p>
    <w:p w14:paraId="4DDACF90" w14:textId="58B7E309" w:rsidR="00DD07CF" w:rsidRDefault="269DE2F0" w:rsidP="0BE2D7A4">
      <w:pPr>
        <w:spacing w:after="0" w:line="240" w:lineRule="auto"/>
        <w:ind w:firstLine="708"/>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We believe, that a</w:t>
      </w:r>
      <w:r w:rsidR="0BE2D7A4" w:rsidRPr="607F5231">
        <w:rPr>
          <w:rFonts w:ascii="Times New Roman" w:eastAsia="Times New Roman" w:hAnsi="Times New Roman" w:cs="Times New Roman"/>
          <w:sz w:val="28"/>
          <w:szCs w:val="28"/>
          <w:lang w:val="en-US"/>
        </w:rPr>
        <w:t>long with common objective interests and established ties in the Central Asian countries, there are also significant differences in various areas. Central Asia has an integration potential, but rapprochement should take place in stages, drastically change the established system, without prior preparation is fraught with dangerous consequences. The process of progressive movement towards unification should go through in stages. First of all, it is necessary to establish a format of multilateral cooperation, after which it is possible to move on to regional integration.</w:t>
      </w:r>
    </w:p>
    <w:p w14:paraId="3A70D2BD"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Possessing an impressive resource potential and a unique geographical position for creating transport corridors to European markets, Central Asia is still important for Europe's energy supply. In addition, it is important to understand that the states of Central Asia, which are members of the OSCE, are positioned in the European Union as an integral part of the European space. This is confirmed by the willingness of the Central Asian countries to cooperate with the EU in bilateral, regional and global formats.</w:t>
      </w:r>
    </w:p>
    <w:p w14:paraId="6C703145" w14:textId="63032BED" w:rsidR="00DD07CF" w:rsidRDefault="424A36E3" w:rsidP="0BE2D7A4">
      <w:pPr>
        <w:spacing w:after="0" w:line="240" w:lineRule="auto"/>
        <w:ind w:firstLine="708"/>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We believe that t</w:t>
      </w:r>
      <w:r w:rsidR="0BE2D7A4" w:rsidRPr="607F5231">
        <w:rPr>
          <w:rFonts w:ascii="Times New Roman" w:eastAsia="Times New Roman" w:hAnsi="Times New Roman" w:cs="Times New Roman"/>
          <w:sz w:val="28"/>
          <w:szCs w:val="28"/>
          <w:lang w:val="en-US"/>
        </w:rPr>
        <w:t xml:space="preserve">he program documents adopted by the European Union in relation to the region </w:t>
      </w:r>
      <w:r w:rsidR="4291CAF7" w:rsidRPr="607F5231">
        <w:rPr>
          <w:rFonts w:ascii="Times New Roman" w:eastAsia="Times New Roman" w:hAnsi="Times New Roman" w:cs="Times New Roman"/>
          <w:sz w:val="28"/>
          <w:szCs w:val="28"/>
          <w:lang w:val="en-US"/>
        </w:rPr>
        <w:t>have</w:t>
      </w:r>
      <w:r w:rsidR="0BE2D7A4" w:rsidRPr="607F5231">
        <w:rPr>
          <w:rFonts w:ascii="Times New Roman" w:eastAsia="Times New Roman" w:hAnsi="Times New Roman" w:cs="Times New Roman"/>
          <w:sz w:val="28"/>
          <w:szCs w:val="28"/>
          <w:lang w:val="en-US"/>
        </w:rPr>
        <w:t xml:space="preserve"> not always </w:t>
      </w:r>
      <w:r w:rsidR="1F735E84" w:rsidRPr="607F5231">
        <w:rPr>
          <w:rFonts w:ascii="Times New Roman" w:eastAsia="Times New Roman" w:hAnsi="Times New Roman" w:cs="Times New Roman"/>
          <w:sz w:val="28"/>
          <w:szCs w:val="28"/>
          <w:lang w:val="en-US"/>
        </w:rPr>
        <w:t xml:space="preserve">been </w:t>
      </w:r>
      <w:r w:rsidR="0BE2D7A4" w:rsidRPr="607F5231">
        <w:rPr>
          <w:rFonts w:ascii="Times New Roman" w:eastAsia="Times New Roman" w:hAnsi="Times New Roman" w:cs="Times New Roman"/>
          <w:sz w:val="28"/>
          <w:szCs w:val="28"/>
          <w:lang w:val="en-US"/>
        </w:rPr>
        <w:t>perfect. But, despite certain shortcomings in the development and implementation of joint projects, European policy towards the Central Asian states can be called consistent and structured.</w:t>
      </w:r>
      <w:r w:rsidR="17A6DDE0" w:rsidRPr="607F5231">
        <w:rPr>
          <w:rFonts w:ascii="Times New Roman" w:eastAsia="Times New Roman" w:hAnsi="Times New Roman" w:cs="Times New Roman"/>
          <w:sz w:val="28"/>
          <w:szCs w:val="28"/>
          <w:lang w:val="en-US"/>
        </w:rPr>
        <w:t xml:space="preserve"> </w:t>
      </w:r>
      <w:r w:rsidR="0BE2D7A4" w:rsidRPr="607F5231">
        <w:rPr>
          <w:rFonts w:ascii="Times New Roman" w:eastAsia="Times New Roman" w:hAnsi="Times New Roman" w:cs="Times New Roman"/>
          <w:sz w:val="28"/>
          <w:szCs w:val="28"/>
          <w:lang w:val="en-US"/>
        </w:rPr>
        <w:t>Approaches to cooperation between the European Union and Central Asia are being transformed not only from the European side, but also from the countries of the region, which is confirmed in the national program documents of the latter. In the course of preparing and implementing EU strategies in the region, each of them adapts the European vector of its foreign policy activity to modern reality.</w:t>
      </w:r>
    </w:p>
    <w:p w14:paraId="0D3C18DE"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Summing up the results of a comprehensive review of the evolution of the development of EU policy and strategy in Central Asia, it can be stated that over the thirty four years of interaction, the region was not a problem and did not require constant attention and diversion of EU resources, as was the case, for example, in other areas of the post-Soviet space. This allowed the European side to develop a practical approach to interaction with the countries of the region, focusing on long-term strategic planning.</w:t>
      </w:r>
    </w:p>
    <w:p w14:paraId="7476EF95"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The thirty-four year period of cooperation between the EU and the Central Asian states, with some of which have already signed or are at the stage of preparation of a new type of agreement, opening up broad opportunities for bilateral cooperation, certainly contributed to their political and economic development. The diplomatic representation of the EU in the region has increased, assistance has been expanded and cooperation mechanisms have been introduced. In this vein, a new stage of political liberalization and diversification of the economy with a focus on industrial innovative development can be noted in Kazakhstan.</w:t>
      </w:r>
    </w:p>
    <w:p w14:paraId="3058D44B"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Brussels can rightly position cooperation with Central Asia as a model, using developments for other regions and presenting the results achieved as proof of the effectiveness of European diplomacy. The countries of Central Asia, in turn, have significant potential for developing partnerships with the European Union in the context of the interests of the entire region, which would meet its new needs and opportunities.</w:t>
      </w:r>
    </w:p>
    <w:p w14:paraId="5A025C96" w14:textId="77777777" w:rsidR="00DD07CF" w:rsidRDefault="008E6865" w:rsidP="0BE2D7A4">
      <w:pPr>
        <w:tabs>
          <w:tab w:val="left" w:pos="673"/>
        </w:tabs>
        <w:spacing w:after="0" w:line="240"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ab/>
      </w:r>
      <w:r w:rsidR="0BE2D7A4">
        <w:rPr>
          <w:rFonts w:ascii="Times New Roman" w:eastAsia="Times New Roman" w:hAnsi="Times New Roman" w:cs="Times New Roman"/>
          <w:b/>
          <w:bCs/>
          <w:sz w:val="28"/>
          <w:szCs w:val="28"/>
          <w:lang w:val="en-US"/>
        </w:rPr>
        <w:t>The conclusions drawn allow us to formulate a number of practical recommendations.</w:t>
      </w:r>
    </w:p>
    <w:p w14:paraId="4E31F238" w14:textId="5F2CF39F" w:rsidR="00DD07CF" w:rsidRDefault="008E6865" w:rsidP="0BE2D7A4">
      <w:pPr>
        <w:tabs>
          <w:tab w:val="left" w:pos="673"/>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lang w:val="en-US"/>
        </w:rPr>
        <w:tab/>
      </w:r>
      <w:r w:rsidR="0BE2D7A4" w:rsidRPr="0BE2D7A4">
        <w:rPr>
          <w:rFonts w:ascii="Times New Roman" w:eastAsia="Times New Roman" w:hAnsi="Times New Roman" w:cs="Times New Roman"/>
          <w:sz w:val="28"/>
          <w:szCs w:val="28"/>
          <w:lang w:val="en-US"/>
        </w:rPr>
        <w:t xml:space="preserve">In order to widely and effectively use the opportunities of the CA-EU interregional cooperation format and taking into account the </w:t>
      </w:r>
      <w:r w:rsidR="64B1D9EA" w:rsidRPr="0BE2D7A4">
        <w:rPr>
          <w:rFonts w:ascii="Times New Roman" w:eastAsia="Times New Roman" w:hAnsi="Times New Roman" w:cs="Times New Roman"/>
          <w:sz w:val="28"/>
          <w:szCs w:val="28"/>
          <w:lang w:val="en-US"/>
        </w:rPr>
        <w:t>logical ending of EU Strategy of 2019</w:t>
      </w:r>
      <w:r w:rsidR="0BE2D7A4" w:rsidRPr="0BE2D7A4">
        <w:rPr>
          <w:rFonts w:ascii="Times New Roman" w:eastAsia="Times New Roman" w:hAnsi="Times New Roman" w:cs="Times New Roman"/>
          <w:sz w:val="28"/>
          <w:szCs w:val="28"/>
          <w:lang w:val="en-US"/>
        </w:rPr>
        <w:t>, following things are necessary:</w:t>
      </w:r>
    </w:p>
    <w:p w14:paraId="7BE7E4D7" w14:textId="37CE271C" w:rsidR="00DD07CF" w:rsidRDefault="59A88BDC" w:rsidP="607F5231">
      <w:pPr>
        <w:pStyle w:val="ae"/>
        <w:numPr>
          <w:ilvl w:val="0"/>
          <w:numId w:val="1"/>
        </w:numPr>
        <w:tabs>
          <w:tab w:val="left" w:pos="673"/>
        </w:tabs>
        <w:spacing w:after="0" w:line="240" w:lineRule="auto"/>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A</w:t>
      </w:r>
      <w:r w:rsidR="0BE2D7A4" w:rsidRPr="607F5231">
        <w:rPr>
          <w:rFonts w:ascii="Times New Roman" w:eastAsia="Times New Roman" w:hAnsi="Times New Roman" w:cs="Times New Roman"/>
          <w:sz w:val="28"/>
          <w:szCs w:val="28"/>
          <w:lang w:val="en-US"/>
        </w:rPr>
        <w:t>ctive participation of all states of the CA region in the process of defining the topics and developing new regional programs of the EU;</w:t>
      </w:r>
    </w:p>
    <w:p w14:paraId="5A12E880" w14:textId="5F12CF28" w:rsidR="00DD07CF" w:rsidRDefault="209D1F59" w:rsidP="607F5231">
      <w:pPr>
        <w:pStyle w:val="ae"/>
        <w:numPr>
          <w:ilvl w:val="0"/>
          <w:numId w:val="1"/>
        </w:numPr>
        <w:tabs>
          <w:tab w:val="left" w:pos="673"/>
        </w:tabs>
        <w:spacing w:after="0" w:line="240" w:lineRule="auto"/>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C</w:t>
      </w:r>
      <w:r w:rsidR="0BE2D7A4" w:rsidRPr="607F5231">
        <w:rPr>
          <w:rFonts w:ascii="Times New Roman" w:eastAsia="Times New Roman" w:hAnsi="Times New Roman" w:cs="Times New Roman"/>
          <w:sz w:val="28"/>
          <w:szCs w:val="28"/>
          <w:lang w:val="en-US"/>
        </w:rPr>
        <w:t>onducting an in-depth analysis of their needs in relations with the EU, which should not be limited only by the desire to obtain funding, exchange of experience, internships, etc.;</w:t>
      </w:r>
    </w:p>
    <w:p w14:paraId="3DF42D4C" w14:textId="63BB5C91" w:rsidR="00DD07CF" w:rsidRDefault="38AC2318" w:rsidP="607F5231">
      <w:pPr>
        <w:pStyle w:val="ae"/>
        <w:numPr>
          <w:ilvl w:val="0"/>
          <w:numId w:val="1"/>
        </w:numPr>
        <w:tabs>
          <w:tab w:val="left" w:pos="673"/>
        </w:tabs>
        <w:spacing w:after="0" w:line="240" w:lineRule="auto"/>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P</w:t>
      </w:r>
      <w:r w:rsidR="7EDF1F5E" w:rsidRPr="607F5231">
        <w:rPr>
          <w:rFonts w:ascii="Times New Roman" w:eastAsia="Times New Roman" w:hAnsi="Times New Roman" w:cs="Times New Roman"/>
          <w:sz w:val="28"/>
          <w:szCs w:val="28"/>
          <w:lang w:val="en-US"/>
        </w:rPr>
        <w:t>rioritization of cooperation fields. It is important</w:t>
      </w:r>
      <w:r w:rsidR="75A26140" w:rsidRPr="607F5231">
        <w:rPr>
          <w:rFonts w:ascii="Times New Roman" w:eastAsia="Times New Roman" w:hAnsi="Times New Roman" w:cs="Times New Roman"/>
          <w:sz w:val="28"/>
          <w:szCs w:val="28"/>
          <w:lang w:val="en-US"/>
        </w:rPr>
        <w:t xml:space="preserve"> to make priority fields</w:t>
      </w:r>
      <w:r w:rsidR="7EDF1F5E" w:rsidRPr="607F5231">
        <w:rPr>
          <w:rFonts w:ascii="Times New Roman" w:eastAsia="Times New Roman" w:hAnsi="Times New Roman" w:cs="Times New Roman"/>
          <w:sz w:val="28"/>
          <w:szCs w:val="28"/>
          <w:lang w:val="en-US"/>
        </w:rPr>
        <w:t xml:space="preserve"> for both regions to identify key are</w:t>
      </w:r>
      <w:r w:rsidR="0C051B84" w:rsidRPr="607F5231">
        <w:rPr>
          <w:rFonts w:ascii="Times New Roman" w:eastAsia="Times New Roman" w:hAnsi="Times New Roman" w:cs="Times New Roman"/>
          <w:sz w:val="28"/>
          <w:szCs w:val="28"/>
          <w:lang w:val="en-US"/>
        </w:rPr>
        <w:t>as of cooperation and focus on them</w:t>
      </w:r>
      <w:r w:rsidR="2B48B90B" w:rsidRPr="607F5231">
        <w:rPr>
          <w:rFonts w:ascii="Times New Roman" w:eastAsia="Times New Roman" w:hAnsi="Times New Roman" w:cs="Times New Roman"/>
          <w:sz w:val="28"/>
          <w:szCs w:val="28"/>
          <w:lang w:val="en-US"/>
        </w:rPr>
        <w:t xml:space="preserve">, rather than </w:t>
      </w:r>
      <w:r w:rsidR="187FF2EA" w:rsidRPr="607F5231">
        <w:rPr>
          <w:rFonts w:ascii="Times New Roman" w:eastAsia="Times New Roman" w:hAnsi="Times New Roman" w:cs="Times New Roman"/>
          <w:sz w:val="28"/>
          <w:szCs w:val="28"/>
          <w:lang w:val="en-US"/>
        </w:rPr>
        <w:t xml:space="preserve">getting scattered. </w:t>
      </w:r>
    </w:p>
    <w:p w14:paraId="2358E5B1" w14:textId="398B6AF1" w:rsidR="00DD07CF" w:rsidRDefault="134F7296" w:rsidP="607F5231">
      <w:pPr>
        <w:pStyle w:val="ae"/>
        <w:numPr>
          <w:ilvl w:val="0"/>
          <w:numId w:val="1"/>
        </w:numPr>
        <w:tabs>
          <w:tab w:val="left" w:pos="673"/>
        </w:tabs>
        <w:spacing w:after="0" w:line="240" w:lineRule="auto"/>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Creation of cultural focus group</w:t>
      </w:r>
      <w:r w:rsidR="0A0C2F8F" w:rsidRPr="607F5231">
        <w:rPr>
          <w:rFonts w:ascii="Times New Roman" w:eastAsia="Times New Roman" w:hAnsi="Times New Roman" w:cs="Times New Roman"/>
          <w:sz w:val="28"/>
          <w:szCs w:val="28"/>
          <w:lang w:val="en-US"/>
        </w:rPr>
        <w:t>s</w:t>
      </w:r>
      <w:r w:rsidR="5B0BE112" w:rsidRPr="607F5231">
        <w:rPr>
          <w:rFonts w:ascii="Times New Roman" w:eastAsia="Times New Roman" w:hAnsi="Times New Roman" w:cs="Times New Roman"/>
          <w:sz w:val="28"/>
          <w:szCs w:val="28"/>
          <w:lang w:val="en-US"/>
        </w:rPr>
        <w:t>,</w:t>
      </w:r>
      <w:r w:rsidR="0A6E3948" w:rsidRPr="607F5231">
        <w:rPr>
          <w:rFonts w:ascii="Times New Roman" w:eastAsia="Times New Roman" w:hAnsi="Times New Roman" w:cs="Times New Roman"/>
          <w:sz w:val="28"/>
          <w:szCs w:val="28"/>
          <w:lang w:val="en-US"/>
        </w:rPr>
        <w:t xml:space="preserve"> before adopting new strategies</w:t>
      </w:r>
      <w:r w:rsidR="00787F97" w:rsidRPr="607F5231">
        <w:rPr>
          <w:rFonts w:ascii="Times New Roman" w:eastAsia="Times New Roman" w:hAnsi="Times New Roman" w:cs="Times New Roman"/>
          <w:sz w:val="28"/>
          <w:szCs w:val="28"/>
          <w:lang w:val="en-US"/>
        </w:rPr>
        <w:t xml:space="preserve"> or documents</w:t>
      </w:r>
      <w:r w:rsidR="0A6E3948" w:rsidRPr="607F5231">
        <w:rPr>
          <w:rFonts w:ascii="Times New Roman" w:eastAsia="Times New Roman" w:hAnsi="Times New Roman" w:cs="Times New Roman"/>
          <w:sz w:val="28"/>
          <w:szCs w:val="28"/>
          <w:lang w:val="en-US"/>
        </w:rPr>
        <w:t>. These focus groups</w:t>
      </w:r>
      <w:r w:rsidR="05DC9B29" w:rsidRPr="607F5231">
        <w:rPr>
          <w:rFonts w:ascii="Times New Roman" w:eastAsia="Times New Roman" w:hAnsi="Times New Roman" w:cs="Times New Roman"/>
          <w:sz w:val="28"/>
          <w:szCs w:val="28"/>
          <w:lang w:val="en-US"/>
        </w:rPr>
        <w:t xml:space="preserve"> </w:t>
      </w:r>
      <w:r w:rsidR="5B0BE112" w:rsidRPr="607F5231">
        <w:rPr>
          <w:rFonts w:ascii="Times New Roman" w:eastAsia="Times New Roman" w:hAnsi="Times New Roman" w:cs="Times New Roman"/>
          <w:sz w:val="28"/>
          <w:szCs w:val="28"/>
          <w:lang w:val="en-US"/>
        </w:rPr>
        <w:t xml:space="preserve">will take into account </w:t>
      </w:r>
      <w:r w:rsidR="7CA26579" w:rsidRPr="607F5231">
        <w:rPr>
          <w:rFonts w:ascii="Times New Roman" w:eastAsia="Times New Roman" w:hAnsi="Times New Roman" w:cs="Times New Roman"/>
          <w:sz w:val="28"/>
          <w:szCs w:val="28"/>
          <w:lang w:val="en-US"/>
        </w:rPr>
        <w:t>cultural and historical factors</w:t>
      </w:r>
      <w:r w:rsidR="391484AD" w:rsidRPr="607F5231">
        <w:rPr>
          <w:rFonts w:ascii="Times New Roman" w:eastAsia="Times New Roman" w:hAnsi="Times New Roman" w:cs="Times New Roman"/>
          <w:sz w:val="28"/>
          <w:szCs w:val="28"/>
          <w:lang w:val="en-US"/>
        </w:rPr>
        <w:t xml:space="preserve"> and barriers</w:t>
      </w:r>
      <w:r w:rsidR="3D6BDD49" w:rsidRPr="607F5231">
        <w:rPr>
          <w:rFonts w:ascii="Times New Roman" w:eastAsia="Times New Roman" w:hAnsi="Times New Roman" w:cs="Times New Roman"/>
          <w:sz w:val="28"/>
          <w:szCs w:val="28"/>
          <w:lang w:val="en-US"/>
        </w:rPr>
        <w:t xml:space="preserve"> in implementation process. </w:t>
      </w:r>
      <w:r w:rsidR="391484AD" w:rsidRPr="607F5231">
        <w:rPr>
          <w:rFonts w:ascii="Times New Roman" w:eastAsia="Times New Roman" w:hAnsi="Times New Roman" w:cs="Times New Roman"/>
          <w:sz w:val="28"/>
          <w:szCs w:val="28"/>
          <w:lang w:val="en-US"/>
        </w:rPr>
        <w:t xml:space="preserve"> </w:t>
      </w:r>
      <w:r w:rsidR="7CA26579" w:rsidRPr="607F5231">
        <w:rPr>
          <w:rFonts w:ascii="Times New Roman" w:eastAsia="Times New Roman" w:hAnsi="Times New Roman" w:cs="Times New Roman"/>
          <w:sz w:val="28"/>
          <w:szCs w:val="28"/>
          <w:lang w:val="en-US"/>
        </w:rPr>
        <w:t xml:space="preserve"> </w:t>
      </w:r>
      <w:r w:rsidR="5B0BE112" w:rsidRPr="607F5231">
        <w:rPr>
          <w:rFonts w:ascii="Times New Roman" w:eastAsia="Times New Roman" w:hAnsi="Times New Roman" w:cs="Times New Roman"/>
          <w:sz w:val="28"/>
          <w:szCs w:val="28"/>
          <w:lang w:val="en-US"/>
        </w:rPr>
        <w:t xml:space="preserve"> </w:t>
      </w:r>
    </w:p>
    <w:p w14:paraId="0F614C00" w14:textId="733AE948" w:rsidR="00DD07CF" w:rsidRDefault="1E1BF85E" w:rsidP="607F5231">
      <w:pPr>
        <w:pStyle w:val="ae"/>
        <w:numPr>
          <w:ilvl w:val="0"/>
          <w:numId w:val="1"/>
        </w:numPr>
        <w:tabs>
          <w:tab w:val="left" w:pos="673"/>
        </w:tabs>
        <w:spacing w:after="0" w:line="240" w:lineRule="auto"/>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C</w:t>
      </w:r>
      <w:r w:rsidR="090E86F0" w:rsidRPr="607F5231">
        <w:rPr>
          <w:rFonts w:ascii="Times New Roman" w:eastAsia="Times New Roman" w:hAnsi="Times New Roman" w:cs="Times New Roman"/>
          <w:sz w:val="28"/>
          <w:szCs w:val="28"/>
          <w:lang w:val="en-US"/>
        </w:rPr>
        <w:t xml:space="preserve">reation of an appropriate online portal for virtual institutionalization of EU-CA cooperation. </w:t>
      </w:r>
    </w:p>
    <w:p w14:paraId="46AEE36D" w14:textId="00E857A6" w:rsidR="00DD07CF" w:rsidRDefault="70BF7B19" w:rsidP="0BE2D7A4">
      <w:pPr>
        <w:spacing w:after="0" w:line="240" w:lineRule="auto"/>
        <w:ind w:firstLine="708"/>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In addition,</w:t>
      </w:r>
      <w:r w:rsidR="0BE2D7A4" w:rsidRPr="607F5231">
        <w:rPr>
          <w:rFonts w:ascii="Times New Roman" w:eastAsia="Times New Roman" w:hAnsi="Times New Roman" w:cs="Times New Roman"/>
          <w:sz w:val="28"/>
          <w:szCs w:val="28"/>
          <w:lang w:val="en-US"/>
        </w:rPr>
        <w:t xml:space="preserve"> </w:t>
      </w:r>
      <w:r w:rsidR="230047C2" w:rsidRPr="607F5231">
        <w:rPr>
          <w:rFonts w:ascii="Times New Roman" w:eastAsia="Times New Roman" w:hAnsi="Times New Roman" w:cs="Times New Roman"/>
          <w:sz w:val="28"/>
          <w:szCs w:val="28"/>
          <w:lang w:val="en-US"/>
        </w:rPr>
        <w:t>i</w:t>
      </w:r>
      <w:r w:rsidR="0BE2D7A4" w:rsidRPr="607F5231">
        <w:rPr>
          <w:rFonts w:ascii="Times New Roman" w:eastAsia="Times New Roman" w:hAnsi="Times New Roman" w:cs="Times New Roman"/>
          <w:sz w:val="28"/>
          <w:szCs w:val="28"/>
          <w:lang w:val="en-US"/>
        </w:rPr>
        <w:t>t is important to hold regular consultations between the parties on the status and prospects of regional programs in order to coordinate the measures taken and avoid their duplication. The development of criteria for evaluating the effectiveness of such programs within the framework of the document and their further use would make it possible to identify and correct shortcomings already in the process of work.</w:t>
      </w:r>
    </w:p>
    <w:p w14:paraId="54799133"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It is expedient to expand in each CA state a “pool” of analysts/think tanks on cooperation with the European Union from among representatives of civil society, research circles, etc., that is, independent experts.</w:t>
      </w:r>
    </w:p>
    <w:p w14:paraId="29539695"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The Central Asian states need to demonstrate openness to dialogue with the European Union and its partners, actively using, among other things, the opportunities of the EU Special Representative for Central Asia.</w:t>
      </w:r>
    </w:p>
    <w:p w14:paraId="5F793CEF"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Moreover, it also seems promising:</w:t>
      </w:r>
    </w:p>
    <w:p w14:paraId="1175262F"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607F5231">
        <w:rPr>
          <w:rFonts w:ascii="Times New Roman" w:eastAsia="Times New Roman" w:hAnsi="Times New Roman" w:cs="Times New Roman"/>
          <w:sz w:val="28"/>
          <w:szCs w:val="28"/>
          <w:lang w:val="en-US"/>
        </w:rPr>
        <w:t>– to organize a CA-EU-PRC dialogue on interconnectivity, taking into account the possible interface between the Chinese Belt and Road project and the EU Strategy on interconnectivity;</w:t>
      </w:r>
    </w:p>
    <w:p w14:paraId="6A97675B"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To achieve the above goals, among other things, it is important to inform the Europeans in a timely manner about the priority areas of national infrastructure projects of the countries of the region.</w:t>
      </w:r>
    </w:p>
    <w:p w14:paraId="629218F3"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Of particular importance, in particular for Kazakhstan, is the sphere of science, technology and innovation. It seems expedient to strengthen the joint work of interested state bodies, departments and research organizations to develop evidence-based specific proposals for the development of cooperation with the EU in these areas.</w:t>
      </w:r>
    </w:p>
    <w:p w14:paraId="2A56391E"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It is necessary to use the significant potential of the European education system in the applied plane: create and ensure the functioning of European educational institutions in the region (schools, universities), increase the number of EU educational grants; strengthen the work between EU research institutions and the countries of the region. One of the priorities is to create an electronic platform for distance learning, continuous (lifelong), as well as e-learning.</w:t>
      </w:r>
    </w:p>
    <w:p w14:paraId="1FFD2E6F"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It is necessary to develop and highlight in a separate area of EU-CA cooperation the empowerment of women, including the promotion of women's entrepreneurship in the region.</w:t>
      </w:r>
    </w:p>
    <w:p w14:paraId="05AD8685"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order to strengthen the political and socio-economic interaction between the EU and Central Asia, it is also advisable:</w:t>
      </w:r>
    </w:p>
    <w:p w14:paraId="4DE80EC3" w14:textId="77777777" w:rsidR="00DD07CF" w:rsidRDefault="0087145E" w:rsidP="0BE2D7A4">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BE2D7A4" w:rsidRPr="0BE2D7A4">
        <w:rPr>
          <w:rFonts w:ascii="Times New Roman" w:eastAsia="Times New Roman" w:hAnsi="Times New Roman" w:cs="Times New Roman"/>
          <w:sz w:val="28"/>
          <w:szCs w:val="28"/>
          <w:lang w:val="en-US"/>
        </w:rPr>
        <w:t xml:space="preserve"> raise the level of interregional dialogue (from the ministerial format) to the CA-EU Summit;</w:t>
      </w:r>
    </w:p>
    <w:p w14:paraId="24134F93" w14:textId="77777777" w:rsidR="00DD07CF" w:rsidRDefault="0087145E" w:rsidP="0BE2D7A4">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BE2D7A4" w:rsidRPr="0BE2D7A4">
        <w:rPr>
          <w:rFonts w:ascii="Times New Roman" w:eastAsia="Times New Roman" w:hAnsi="Times New Roman" w:cs="Times New Roman"/>
          <w:sz w:val="28"/>
          <w:szCs w:val="28"/>
          <w:lang w:val="en-US"/>
        </w:rPr>
        <w:t xml:space="preserve"> use on a regular basis new sectoral platforms for interregional interaction - the CA-EU Civil Forum and the CA-EU Economic Forum;</w:t>
      </w:r>
    </w:p>
    <w:p w14:paraId="4899129C" w14:textId="77777777" w:rsidR="00DD07CF" w:rsidRDefault="0087145E" w:rsidP="0BE2D7A4">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BE2D7A4" w:rsidRPr="0BE2D7A4">
        <w:rPr>
          <w:rFonts w:ascii="Times New Roman" w:eastAsia="Times New Roman" w:hAnsi="Times New Roman" w:cs="Times New Roman"/>
          <w:sz w:val="28"/>
          <w:szCs w:val="28"/>
          <w:lang w:val="en-US"/>
        </w:rPr>
        <w:t xml:space="preserve"> to develop the Dialogue within the framework of the CA-EU ministerial meetings, Kazakhstan-EU Cooperation Committee in the political configuration, as well as the meetings of the CA-EU High-Level Dialogue on Politics and Security;</w:t>
      </w:r>
    </w:p>
    <w:p w14:paraId="05176E05"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to develop inter-parliamentary cooperation, as well as to establish a dialogue between the National Center for Human Rights of the Republic of Kazakhstan with European structures dealing with human rights issues.</w:t>
      </w:r>
    </w:p>
    <w:p w14:paraId="0F1BD5DF"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It seems important to focus the attention of the EU on solving the main intra-regional problem - the rational use of transboundary water resources, where mutually exclusive approaches between upstream countries (water energy) and downstream countries (irrigation of agricultural lands) collide. Breakthrough projects are needed for the construction of new modern hydroelectric power plants in Kyrgyzstan and Tajikistan, taking into account the interests of Kazakhstan, Uzbekistan and Turkmenistan, as well as the introduction of digitalization and automation of processes in this area.</w:t>
      </w:r>
    </w:p>
    <w:p w14:paraId="414162B7"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Promising is the establishment of an effective dialogue with the EU on the implementation of the "European Green Deal" and the intensification of cooperation with European financial institutions on "green" initiatives. This is of particular importance in the context of the so-called carbon tax planned to be introduced by the EU from 2023, which will also affect Kazakhstani exports (mainly hydrocarbons) to Europe.</w:t>
      </w:r>
    </w:p>
    <w:p w14:paraId="440CC293"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At the same time, taking into account the EU's efforts to diversify external sources of raw materials, Kazakhstan and the countries of the region have the opportunity to increase exports of industrial and other types of products to the EU (for Kazakhstan, for example, mining and metallurgical products). In this regard, it is necessary to intensify efforts to remove barriers to access to the European market, including those arising from the application of sanitary and veterinary measures.</w:t>
      </w:r>
    </w:p>
    <w:p w14:paraId="705062C9"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In addition, it is important to establish sustainable cooperation with the EU, including through investments, for the development of high-tech industries and energy efficiency in the Central Asian states. This goal is fully correlated with the goals of achieving carbon neutrality by Kazakhstan by 2060. For these purposes, it is necessary to ensure:</w:t>
      </w:r>
    </w:p>
    <w:p w14:paraId="126DB799"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a clear understanding of the business climate and business conditions in the Central Asian countries, the creation of favorable conditions for investors (also potential employers) at the legislative level;</w:t>
      </w:r>
    </w:p>
    <w:p w14:paraId="0DD237B5"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 effective coordination of actions of state bodies, departments and business circles involved in determining the business conditions in the countries of the region.</w:t>
      </w:r>
    </w:p>
    <w:p w14:paraId="2979DE4A" w14:textId="77777777" w:rsidR="00DD07CF" w:rsidRDefault="0BE2D7A4" w:rsidP="0BE2D7A4">
      <w:pPr>
        <w:spacing w:after="0" w:line="240" w:lineRule="auto"/>
        <w:ind w:firstLine="708"/>
        <w:jc w:val="both"/>
        <w:rPr>
          <w:rFonts w:ascii="Times New Roman" w:eastAsia="Times New Roman" w:hAnsi="Times New Roman" w:cs="Times New Roman"/>
          <w:sz w:val="28"/>
          <w:szCs w:val="28"/>
          <w:lang w:val="en-US"/>
        </w:rPr>
      </w:pPr>
      <w:r w:rsidRPr="0BE2D7A4">
        <w:rPr>
          <w:rFonts w:ascii="Times New Roman" w:eastAsia="Times New Roman" w:hAnsi="Times New Roman" w:cs="Times New Roman"/>
          <w:sz w:val="28"/>
          <w:szCs w:val="28"/>
          <w:lang w:val="en-US"/>
        </w:rPr>
        <w:t>Significant is the work to raise awareness in Central Asia about the activities of the EU in the region and, conversely, the EU should contribute to the formation of a positive image and investment attractiveness of the region in Europe. In general, the states of the region need to join forces in promoting the brand "Central Asia" in the world space and in the European Union, in particular.</w:t>
      </w:r>
    </w:p>
    <w:p w14:paraId="58E6DD4E" w14:textId="77777777" w:rsidR="00DD07CF" w:rsidRDefault="00DD07CF" w:rsidP="0BE2D7A4">
      <w:pPr>
        <w:spacing w:line="240" w:lineRule="auto"/>
        <w:jc w:val="both"/>
        <w:rPr>
          <w:rFonts w:ascii="Times New Roman" w:eastAsia="Times New Roman" w:hAnsi="Times New Roman" w:cs="Times New Roman"/>
          <w:b/>
          <w:bCs/>
          <w:sz w:val="28"/>
          <w:szCs w:val="28"/>
          <w:lang w:val="en-US"/>
        </w:rPr>
      </w:pPr>
    </w:p>
    <w:p w14:paraId="7D3BEE8F" w14:textId="77777777" w:rsidR="00DD07CF" w:rsidRDefault="00DD07CF" w:rsidP="0BE2D7A4">
      <w:pPr>
        <w:spacing w:line="240" w:lineRule="auto"/>
        <w:jc w:val="both"/>
        <w:rPr>
          <w:rFonts w:ascii="Times New Roman" w:eastAsia="Times New Roman" w:hAnsi="Times New Roman" w:cs="Times New Roman"/>
          <w:b/>
          <w:bCs/>
          <w:sz w:val="28"/>
          <w:szCs w:val="28"/>
          <w:lang w:val="en-US"/>
        </w:rPr>
      </w:pPr>
    </w:p>
    <w:p w14:paraId="3B88899E" w14:textId="77777777" w:rsidR="00DD07CF" w:rsidRDefault="00DD07CF" w:rsidP="0BE2D7A4">
      <w:pPr>
        <w:spacing w:line="240" w:lineRule="auto"/>
        <w:jc w:val="both"/>
        <w:rPr>
          <w:rFonts w:ascii="Times New Roman" w:eastAsia="Times New Roman" w:hAnsi="Times New Roman" w:cs="Times New Roman"/>
          <w:b/>
          <w:bCs/>
          <w:sz w:val="28"/>
          <w:szCs w:val="28"/>
          <w:lang w:val="en-US"/>
        </w:rPr>
      </w:pPr>
    </w:p>
    <w:p w14:paraId="69E2BB2B" w14:textId="77777777" w:rsidR="00DD07CF" w:rsidRDefault="00DD07CF" w:rsidP="0BE2D7A4">
      <w:pPr>
        <w:spacing w:line="240" w:lineRule="auto"/>
        <w:rPr>
          <w:rFonts w:ascii="Times New Roman" w:eastAsia="Times New Roman" w:hAnsi="Times New Roman" w:cs="Times New Roman"/>
          <w:b/>
          <w:bCs/>
          <w:sz w:val="28"/>
          <w:szCs w:val="28"/>
          <w:lang w:val="en-US"/>
        </w:rPr>
      </w:pPr>
    </w:p>
    <w:p w14:paraId="57C0D796" w14:textId="77777777" w:rsidR="00DD07CF" w:rsidRDefault="00DD07CF" w:rsidP="0BE2D7A4">
      <w:pPr>
        <w:spacing w:line="240" w:lineRule="auto"/>
        <w:rPr>
          <w:rFonts w:ascii="Times New Roman" w:eastAsia="Times New Roman" w:hAnsi="Times New Roman" w:cs="Times New Roman"/>
          <w:b/>
          <w:bCs/>
          <w:sz w:val="28"/>
          <w:szCs w:val="28"/>
          <w:lang w:val="en-US"/>
        </w:rPr>
      </w:pPr>
    </w:p>
    <w:p w14:paraId="0D142F6F" w14:textId="77777777" w:rsidR="00DD07CF" w:rsidRDefault="00DD07CF" w:rsidP="0BE2D7A4">
      <w:pPr>
        <w:spacing w:line="240" w:lineRule="auto"/>
        <w:rPr>
          <w:rFonts w:ascii="Times New Roman" w:eastAsia="Times New Roman" w:hAnsi="Times New Roman" w:cs="Times New Roman"/>
          <w:b/>
          <w:bCs/>
          <w:sz w:val="28"/>
          <w:szCs w:val="28"/>
          <w:lang w:val="en-US"/>
        </w:rPr>
      </w:pPr>
    </w:p>
    <w:p w14:paraId="4475AD14" w14:textId="77777777" w:rsidR="00DD07CF" w:rsidRDefault="00DD07CF" w:rsidP="0BE2D7A4">
      <w:pPr>
        <w:spacing w:line="240" w:lineRule="auto"/>
        <w:rPr>
          <w:rFonts w:ascii="Times New Roman" w:eastAsia="Times New Roman" w:hAnsi="Times New Roman" w:cs="Times New Roman"/>
          <w:b/>
          <w:bCs/>
          <w:sz w:val="28"/>
          <w:szCs w:val="28"/>
          <w:lang w:val="en-US"/>
        </w:rPr>
      </w:pPr>
    </w:p>
    <w:p w14:paraId="120C4E94" w14:textId="77777777" w:rsidR="00DD07CF" w:rsidRDefault="00DD07CF" w:rsidP="0BE2D7A4">
      <w:pPr>
        <w:spacing w:line="240" w:lineRule="auto"/>
        <w:rPr>
          <w:rFonts w:ascii="Times New Roman" w:eastAsia="Times New Roman" w:hAnsi="Times New Roman" w:cs="Times New Roman"/>
          <w:b/>
          <w:bCs/>
          <w:sz w:val="28"/>
          <w:szCs w:val="28"/>
          <w:lang w:val="en-US"/>
        </w:rPr>
      </w:pPr>
    </w:p>
    <w:p w14:paraId="42AFC42D" w14:textId="77777777" w:rsidR="00DD07CF" w:rsidRDefault="00DD07CF" w:rsidP="0BE2D7A4">
      <w:pPr>
        <w:spacing w:line="240" w:lineRule="auto"/>
        <w:rPr>
          <w:rFonts w:ascii="Times New Roman" w:eastAsia="Times New Roman" w:hAnsi="Times New Roman" w:cs="Times New Roman"/>
          <w:b/>
          <w:bCs/>
          <w:sz w:val="28"/>
          <w:szCs w:val="28"/>
          <w:lang w:val="en-US"/>
        </w:rPr>
      </w:pPr>
    </w:p>
    <w:p w14:paraId="271CA723" w14:textId="77777777" w:rsidR="7315D5B6" w:rsidRDefault="7315D5B6" w:rsidP="7315D5B6">
      <w:pPr>
        <w:spacing w:line="240" w:lineRule="auto"/>
        <w:rPr>
          <w:rFonts w:ascii="Times New Roman" w:eastAsia="Times New Roman" w:hAnsi="Times New Roman" w:cs="Times New Roman"/>
          <w:b/>
          <w:bCs/>
          <w:sz w:val="28"/>
          <w:szCs w:val="28"/>
        </w:rPr>
      </w:pPr>
    </w:p>
    <w:p w14:paraId="75FBE423" w14:textId="77777777" w:rsidR="00FC5740" w:rsidRPr="00FC5740" w:rsidRDefault="00FC5740" w:rsidP="7315D5B6">
      <w:pPr>
        <w:spacing w:line="240" w:lineRule="auto"/>
        <w:rPr>
          <w:rFonts w:ascii="Times New Roman" w:eastAsia="Times New Roman" w:hAnsi="Times New Roman" w:cs="Times New Roman"/>
          <w:b/>
          <w:bCs/>
          <w:sz w:val="28"/>
          <w:szCs w:val="28"/>
        </w:rPr>
      </w:pPr>
    </w:p>
    <w:p w14:paraId="0DF43999" w14:textId="77777777" w:rsidR="0BE2D7A4" w:rsidRDefault="0BE2D7A4" w:rsidP="00DA28EA">
      <w:pPr>
        <w:spacing w:after="0" w:line="240" w:lineRule="auto"/>
        <w:ind w:firstLine="709"/>
        <w:jc w:val="center"/>
        <w:rPr>
          <w:rFonts w:ascii="Times New Roman" w:eastAsia="Times New Roman" w:hAnsi="Times New Roman" w:cs="Times New Roman"/>
          <w:b/>
          <w:bCs/>
          <w:sz w:val="28"/>
          <w:szCs w:val="28"/>
          <w:lang w:val="en-US"/>
        </w:rPr>
      </w:pPr>
      <w:r w:rsidRPr="79B2C90B">
        <w:rPr>
          <w:rFonts w:ascii="Times New Roman" w:eastAsia="Times New Roman" w:hAnsi="Times New Roman" w:cs="Times New Roman"/>
          <w:b/>
          <w:bCs/>
          <w:sz w:val="28"/>
          <w:szCs w:val="28"/>
          <w:lang w:val="en-US"/>
        </w:rPr>
        <w:t>References:</w:t>
      </w:r>
    </w:p>
    <w:p w14:paraId="392FD9A6"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The EU and Central Asia: New Opportunities for a Stronger Partnership</w:t>
      </w:r>
      <w:r w:rsidR="7ACDA85F"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lang w:val="en-US"/>
        </w:rPr>
        <w:t xml:space="preserve">Joint Communication To The European Parliament And The Council. -  - 2019. </w:t>
      </w:r>
      <w:r w:rsidR="5617207D"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lang w:val="en-US"/>
        </w:rPr>
        <w:t xml:space="preserve"> </w:t>
      </w:r>
      <w:hyperlink r:id="rId8">
        <w:r w:rsidRPr="60ECF5C7">
          <w:rPr>
            <w:rStyle w:val="af1"/>
            <w:rFonts w:ascii="Times New Roman" w:eastAsia="Times New Roman" w:hAnsi="Times New Roman" w:cs="Times New Roman"/>
            <w:sz w:val="28"/>
            <w:szCs w:val="28"/>
            <w:lang w:val="en-US"/>
          </w:rPr>
          <w:t>https://www.eeas.europa.eu/sites/default/files/joint_communication_-_the_eu_and_central_asia_-_new_opportunities_for_a_stronger_partnership.pdf</w:t>
        </w:r>
      </w:hyperlink>
      <w:r w:rsidRPr="60ECF5C7">
        <w:rPr>
          <w:rFonts w:ascii="Times New Roman" w:eastAsia="Times New Roman" w:hAnsi="Times New Roman" w:cs="Times New Roman"/>
          <w:color w:val="000000" w:themeColor="text1"/>
          <w:sz w:val="28"/>
          <w:szCs w:val="28"/>
          <w:lang w:val="en-US"/>
        </w:rPr>
        <w:t xml:space="preserve"> </w:t>
      </w:r>
      <w:r w:rsidR="534B6548" w:rsidRPr="60ECF5C7">
        <w:rPr>
          <w:rFonts w:ascii="Times New Roman" w:eastAsia="Times New Roman" w:hAnsi="Times New Roman" w:cs="Times New Roman"/>
          <w:color w:val="000000" w:themeColor="text1"/>
          <w:sz w:val="28"/>
          <w:szCs w:val="28"/>
          <w:lang w:val="en-US"/>
        </w:rPr>
        <w:t>02.02.2020</w:t>
      </w:r>
    </w:p>
    <w:p w14:paraId="133F27B2"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Council conclusions on the New EU Strategy on Central Asia</w:t>
      </w:r>
      <w:r w:rsidR="1F0503B6" w:rsidRPr="60ECF5C7">
        <w:rPr>
          <w:rFonts w:ascii="Times New Roman" w:eastAsia="Times New Roman" w:hAnsi="Times New Roman" w:cs="Times New Roman"/>
          <w:color w:val="000000" w:themeColor="text1"/>
          <w:sz w:val="28"/>
          <w:szCs w:val="28"/>
          <w:lang w:val="en-US"/>
        </w:rPr>
        <w:t xml:space="preserve">  //  </w:t>
      </w:r>
      <w:r w:rsidRPr="60ECF5C7">
        <w:rPr>
          <w:rFonts w:ascii="Times New Roman" w:eastAsia="Times New Roman" w:hAnsi="Times New Roman" w:cs="Times New Roman"/>
          <w:color w:val="000000" w:themeColor="text1"/>
          <w:sz w:val="28"/>
          <w:szCs w:val="28"/>
          <w:lang w:val="en-US"/>
        </w:rPr>
        <w:t xml:space="preserve"> </w:t>
      </w:r>
      <w:hyperlink r:id="rId9">
        <w:r w:rsidRPr="60ECF5C7">
          <w:rPr>
            <w:rStyle w:val="af1"/>
            <w:rFonts w:ascii="Times New Roman" w:eastAsia="Times New Roman" w:hAnsi="Times New Roman" w:cs="Times New Roman"/>
            <w:sz w:val="28"/>
            <w:szCs w:val="28"/>
            <w:lang w:val="en-US"/>
          </w:rPr>
          <w:t>https://www.consilium.europa.eu/media/39778/st10221-en19.pdf</w:t>
        </w:r>
      </w:hyperlink>
      <w:r w:rsidRPr="60ECF5C7">
        <w:rPr>
          <w:rFonts w:ascii="Times New Roman" w:eastAsia="Times New Roman" w:hAnsi="Times New Roman" w:cs="Times New Roman"/>
          <w:color w:val="000000" w:themeColor="text1"/>
          <w:sz w:val="28"/>
          <w:szCs w:val="28"/>
          <w:lang w:val="en-US"/>
        </w:rPr>
        <w:t xml:space="preserve">.  </w:t>
      </w:r>
      <w:r w:rsidR="1768E264" w:rsidRPr="60ECF5C7">
        <w:rPr>
          <w:rFonts w:ascii="Times New Roman" w:eastAsia="Times New Roman" w:hAnsi="Times New Roman" w:cs="Times New Roman"/>
          <w:color w:val="000000" w:themeColor="text1"/>
          <w:sz w:val="28"/>
          <w:szCs w:val="28"/>
          <w:lang w:val="en-US"/>
        </w:rPr>
        <w:t>02.02.2020</w:t>
      </w:r>
    </w:p>
    <w:p w14:paraId="67D67907"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Моисеева Д. Модель сквозной легитимности для политической системы Европейского Союза // Современная Европа. – 2018. – №6. – С. 93-103</w:t>
      </w:r>
    </w:p>
    <w:p w14:paraId="4E17EB3D" w14:textId="77777777" w:rsidR="2D9C780E" w:rsidRPr="008E6865"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Указ Президента Республики Казахстан. О Концепции внешней политики Республики Казахстан на 2020-2030 годы</w:t>
      </w:r>
      <w:r w:rsidR="11D73D27"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10">
        <w:r w:rsidRPr="60ECF5C7">
          <w:rPr>
            <w:rStyle w:val="af1"/>
            <w:rFonts w:ascii="Times New Roman" w:eastAsia="Times New Roman" w:hAnsi="Times New Roman" w:cs="Times New Roman"/>
            <w:sz w:val="28"/>
            <w:szCs w:val="28"/>
          </w:rPr>
          <w:t>https://www.akorda.kz/ru/legal_acts/decrees/o-koncepcii</w:t>
        </w:r>
      </w:hyperlink>
      <w:r w:rsidR="74D4F7D3" w:rsidRPr="60ECF5C7">
        <w:rPr>
          <w:rFonts w:ascii="Times New Roman" w:eastAsia="Times New Roman" w:hAnsi="Times New Roman" w:cs="Times New Roman"/>
          <w:sz w:val="28"/>
          <w:szCs w:val="28"/>
        </w:rPr>
        <w:t xml:space="preserve">   05.02.2021</w:t>
      </w:r>
    </w:p>
    <w:p w14:paraId="18E90944"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 xml:space="preserve">Государственная Программа «Путь в Европу» на 2009-2011 годы. </w:t>
      </w:r>
      <w:r w:rsidR="2727811F"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11">
        <w:r w:rsidRPr="60ECF5C7">
          <w:rPr>
            <w:rStyle w:val="af1"/>
            <w:rFonts w:ascii="Times New Roman" w:eastAsia="Times New Roman" w:hAnsi="Times New Roman" w:cs="Times New Roman"/>
            <w:sz w:val="28"/>
            <w:szCs w:val="28"/>
          </w:rPr>
          <w:t>http://adilet.zan.kz/rus/docs/U080000653_</w:t>
        </w:r>
      </w:hyperlink>
      <w:r w:rsidRPr="60ECF5C7">
        <w:rPr>
          <w:rFonts w:ascii="Times New Roman" w:eastAsia="Times New Roman" w:hAnsi="Times New Roman" w:cs="Times New Roman"/>
          <w:color w:val="000000" w:themeColor="text1"/>
          <w:sz w:val="28"/>
          <w:szCs w:val="28"/>
        </w:rPr>
        <w:t xml:space="preserve">   </w:t>
      </w:r>
      <w:r w:rsidR="0D880808" w:rsidRPr="60ECF5C7">
        <w:rPr>
          <w:rFonts w:ascii="Times New Roman" w:eastAsia="Times New Roman" w:hAnsi="Times New Roman" w:cs="Times New Roman"/>
          <w:color w:val="000000" w:themeColor="text1"/>
          <w:sz w:val="28"/>
          <w:szCs w:val="28"/>
        </w:rPr>
        <w:t>05.02.2021</w:t>
      </w:r>
    </w:p>
    <w:p w14:paraId="0B03BD1A" w14:textId="77777777" w:rsidR="2D9C780E" w:rsidRPr="008E6865"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Концепция внешней политики Республики Таджикистан: Указом Президента Республики Таджикистан от 27 января 2015 года</w:t>
      </w:r>
      <w:r w:rsidR="653D2672"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12">
        <w:r w:rsidRPr="60ECF5C7">
          <w:rPr>
            <w:rStyle w:val="af1"/>
            <w:rFonts w:ascii="Times New Roman" w:eastAsia="Times New Roman" w:hAnsi="Times New Roman" w:cs="Times New Roman"/>
            <w:sz w:val="28"/>
            <w:szCs w:val="28"/>
          </w:rPr>
          <w:t>https://mfa.tj/ru/main/view/988/kontseptsiya-vneshnei-politiki</w:t>
        </w:r>
      </w:hyperlink>
      <w:r w:rsidR="1AA6F75B" w:rsidRPr="60ECF5C7">
        <w:rPr>
          <w:rFonts w:ascii="Times New Roman" w:eastAsia="Times New Roman" w:hAnsi="Times New Roman" w:cs="Times New Roman"/>
          <w:sz w:val="28"/>
          <w:szCs w:val="28"/>
        </w:rPr>
        <w:t xml:space="preserve">    10.02.2021</w:t>
      </w:r>
    </w:p>
    <w:p w14:paraId="78273BB2"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Концепция внешней политики Кыргызстана</w:t>
      </w:r>
      <w:r w:rsidR="51003002"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13">
        <w:r w:rsidRPr="60ECF5C7">
          <w:rPr>
            <w:rStyle w:val="af1"/>
            <w:rFonts w:ascii="Times New Roman" w:eastAsia="Times New Roman" w:hAnsi="Times New Roman" w:cs="Times New Roman"/>
            <w:sz w:val="28"/>
            <w:szCs w:val="28"/>
          </w:rPr>
          <w:t>http://president.kg/ru/sobytiya/13605_prezident_podpisal_ukaz</w:t>
        </w:r>
      </w:hyperlink>
      <w:r w:rsidRPr="60ECF5C7">
        <w:rPr>
          <w:rFonts w:ascii="Times New Roman" w:eastAsia="Times New Roman" w:hAnsi="Times New Roman" w:cs="Times New Roman"/>
          <w:color w:val="000000" w:themeColor="text1"/>
          <w:sz w:val="28"/>
          <w:szCs w:val="28"/>
        </w:rPr>
        <w:t xml:space="preserve">.  </w:t>
      </w:r>
      <w:r w:rsidR="2C6D2774" w:rsidRPr="60ECF5C7">
        <w:rPr>
          <w:rFonts w:ascii="Times New Roman" w:eastAsia="Times New Roman" w:hAnsi="Times New Roman" w:cs="Times New Roman"/>
          <w:sz w:val="28"/>
          <w:szCs w:val="28"/>
        </w:rPr>
        <w:t>10.02.2021</w:t>
      </w:r>
    </w:p>
    <w:p w14:paraId="629863A7" w14:textId="77777777" w:rsidR="2D9C780E" w:rsidRPr="00664C74"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 xml:space="preserve">Концепция внешней политики Узбекистана. </w:t>
      </w:r>
      <w:r w:rsidR="3F64699A" w:rsidRPr="60ECF5C7">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rPr>
        <w:t xml:space="preserve">  </w:t>
      </w:r>
      <w:hyperlink r:id="rId14">
        <w:r w:rsidRPr="60ECF5C7">
          <w:rPr>
            <w:rStyle w:val="af1"/>
            <w:rFonts w:ascii="Times New Roman" w:eastAsia="Times New Roman" w:hAnsi="Times New Roman" w:cs="Times New Roman"/>
            <w:sz w:val="28"/>
            <w:szCs w:val="28"/>
          </w:rPr>
          <w:t>https://www.uzbekistan.org.ua/ru/vneshnyaya-politika.html</w:t>
        </w:r>
      </w:hyperlink>
      <w:r w:rsidRPr="60ECF5C7">
        <w:rPr>
          <w:rFonts w:ascii="Times New Roman" w:eastAsia="Times New Roman" w:hAnsi="Times New Roman" w:cs="Times New Roman"/>
          <w:color w:val="000000" w:themeColor="text1"/>
          <w:sz w:val="28"/>
          <w:szCs w:val="28"/>
        </w:rPr>
        <w:t xml:space="preserve"> </w:t>
      </w:r>
      <w:r w:rsidR="12ABBC06" w:rsidRPr="60ECF5C7">
        <w:rPr>
          <w:rFonts w:ascii="Times New Roman" w:eastAsia="Times New Roman" w:hAnsi="Times New Roman" w:cs="Times New Roman"/>
          <w:sz w:val="28"/>
          <w:szCs w:val="28"/>
        </w:rPr>
        <w:t>10.02.2021</w:t>
      </w:r>
    </w:p>
    <w:p w14:paraId="7B2ED86B" w14:textId="77777777" w:rsidR="2D9C780E" w:rsidRPr="00664C74"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Концепция внешней политики Туркменистана.</w:t>
      </w:r>
      <w:r w:rsidR="2A5BF539"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15">
        <w:r w:rsidRPr="60ECF5C7">
          <w:rPr>
            <w:rStyle w:val="af1"/>
            <w:rFonts w:ascii="Times New Roman" w:eastAsia="Times New Roman" w:hAnsi="Times New Roman" w:cs="Times New Roman"/>
            <w:sz w:val="28"/>
            <w:szCs w:val="28"/>
          </w:rPr>
          <w:t>https://www.mfa.gov.tm/ru/articles/3</w:t>
        </w:r>
      </w:hyperlink>
      <w:r w:rsidRPr="60ECF5C7">
        <w:rPr>
          <w:rFonts w:ascii="Times New Roman" w:eastAsia="Times New Roman" w:hAnsi="Times New Roman" w:cs="Times New Roman"/>
          <w:color w:val="000000" w:themeColor="text1"/>
          <w:sz w:val="28"/>
          <w:szCs w:val="28"/>
        </w:rPr>
        <w:t xml:space="preserve"> </w:t>
      </w:r>
      <w:r w:rsidR="277EB959" w:rsidRPr="60ECF5C7">
        <w:rPr>
          <w:rFonts w:ascii="Times New Roman" w:eastAsia="Times New Roman" w:hAnsi="Times New Roman" w:cs="Times New Roman"/>
          <w:sz w:val="28"/>
          <w:szCs w:val="28"/>
        </w:rPr>
        <w:t>10.02.2021</w:t>
      </w:r>
    </w:p>
    <w:p w14:paraId="0CA09642"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Глобальная стратегия Европейского Союза по внешней политике и политике безопасности</w:t>
      </w:r>
      <w:r w:rsidR="58885435"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r w:rsidR="3FF6952F" w:rsidRPr="60ECF5C7">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rPr>
        <w:t xml:space="preserve"> </w:t>
      </w:r>
      <w:hyperlink r:id="rId16">
        <w:r w:rsidRPr="60ECF5C7">
          <w:rPr>
            <w:rStyle w:val="af1"/>
            <w:rFonts w:ascii="Times New Roman" w:eastAsia="Times New Roman" w:hAnsi="Times New Roman" w:cs="Times New Roman"/>
            <w:sz w:val="28"/>
            <w:szCs w:val="28"/>
          </w:rPr>
          <w:t>https://eeas.europa.eu/sites/default</w:t>
        </w:r>
      </w:hyperlink>
      <w:r w:rsidRPr="60ECF5C7">
        <w:rPr>
          <w:rFonts w:ascii="Times New Roman" w:eastAsia="Times New Roman" w:hAnsi="Times New Roman" w:cs="Times New Roman"/>
          <w:color w:val="000000" w:themeColor="text1"/>
          <w:sz w:val="28"/>
          <w:szCs w:val="28"/>
        </w:rPr>
        <w:t xml:space="preserve">.  </w:t>
      </w:r>
      <w:r w:rsidR="2B8E721E" w:rsidRPr="60ECF5C7">
        <w:rPr>
          <w:rFonts w:ascii="Times New Roman" w:eastAsia="Times New Roman" w:hAnsi="Times New Roman" w:cs="Times New Roman"/>
          <w:sz w:val="28"/>
          <w:szCs w:val="28"/>
        </w:rPr>
        <w:t>10.02.2021</w:t>
      </w:r>
    </w:p>
    <w:p w14:paraId="77F25A4E"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lang w:val="en-US"/>
        </w:rPr>
        <w:t xml:space="preserve">Recovery plan for Europe. European Commission </w:t>
      </w:r>
      <w:r w:rsidR="780B5DAE" w:rsidRPr="60ECF5C7">
        <w:rPr>
          <w:rFonts w:ascii="Times New Roman" w:eastAsia="Times New Roman" w:hAnsi="Times New Roman" w:cs="Times New Roman"/>
          <w:color w:val="000000" w:themeColor="text1"/>
          <w:sz w:val="28"/>
          <w:szCs w:val="28"/>
          <w:lang w:val="en-US"/>
        </w:rPr>
        <w:t>//</w:t>
      </w:r>
      <w:r w:rsidRPr="60ECF5C7">
        <w:rPr>
          <w:rFonts w:ascii="Times New Roman" w:eastAsia="Times New Roman" w:hAnsi="Times New Roman" w:cs="Times New Roman"/>
          <w:color w:val="000000" w:themeColor="text1"/>
          <w:sz w:val="28"/>
          <w:szCs w:val="28"/>
          <w:lang w:val="en-US"/>
        </w:rPr>
        <w:t xml:space="preserve"> </w:t>
      </w:r>
      <w:hyperlink r:id="rId17">
        <w:r w:rsidRPr="60ECF5C7">
          <w:rPr>
            <w:rStyle w:val="af1"/>
            <w:rFonts w:ascii="Times New Roman" w:eastAsia="Times New Roman" w:hAnsi="Times New Roman" w:cs="Times New Roman"/>
            <w:sz w:val="28"/>
            <w:szCs w:val="28"/>
            <w:lang w:val="en-US"/>
          </w:rPr>
          <w:t>https://ec.europa.eu/info/strategy/recovery-plan-europe_en</w:t>
        </w:r>
      </w:hyperlink>
      <w:r w:rsidRPr="60ECF5C7">
        <w:rPr>
          <w:rFonts w:ascii="Times New Roman" w:eastAsia="Times New Roman" w:hAnsi="Times New Roman" w:cs="Times New Roman"/>
          <w:color w:val="000000" w:themeColor="text1"/>
          <w:sz w:val="28"/>
          <w:szCs w:val="28"/>
          <w:lang w:val="en-US"/>
        </w:rPr>
        <w:t xml:space="preserve">. </w:t>
      </w:r>
      <w:r w:rsidR="5424B127" w:rsidRPr="008E6865">
        <w:rPr>
          <w:rFonts w:ascii="Times New Roman" w:eastAsia="Times New Roman" w:hAnsi="Times New Roman" w:cs="Times New Roman"/>
          <w:sz w:val="28"/>
          <w:szCs w:val="28"/>
          <w:lang w:val="en-US"/>
        </w:rPr>
        <w:t>16.05.2022</w:t>
      </w:r>
    </w:p>
    <w:p w14:paraId="2E68FC52"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rPr>
        <w:t xml:space="preserve">Договор о Европейском Союзе, Маастрихт, 7 февраля 1992 года, Статья 11.  </w:t>
      </w:r>
      <w:r w:rsidRPr="008E6865">
        <w:rPr>
          <w:rFonts w:ascii="Times New Roman" w:eastAsia="Times New Roman" w:hAnsi="Times New Roman" w:cs="Times New Roman"/>
          <w:color w:val="000000" w:themeColor="text1"/>
          <w:sz w:val="28"/>
          <w:szCs w:val="28"/>
        </w:rPr>
        <w:t xml:space="preserve">- </w:t>
      </w:r>
      <w:r w:rsidR="608F78BD" w:rsidRPr="008E6865">
        <w:rPr>
          <w:rFonts w:ascii="Times New Roman" w:eastAsia="Times New Roman" w:hAnsi="Times New Roman" w:cs="Times New Roman"/>
          <w:color w:val="000000" w:themeColor="text1"/>
          <w:sz w:val="28"/>
          <w:szCs w:val="28"/>
        </w:rPr>
        <w:t>//</w:t>
      </w:r>
      <w:r w:rsidRPr="008E6865">
        <w:rPr>
          <w:rFonts w:ascii="Times New Roman" w:eastAsia="Times New Roman" w:hAnsi="Times New Roman" w:cs="Times New Roman"/>
          <w:color w:val="000000" w:themeColor="text1"/>
          <w:sz w:val="28"/>
          <w:szCs w:val="28"/>
        </w:rPr>
        <w:t xml:space="preserve"> </w:t>
      </w:r>
      <w:hyperlink r:id="rId18">
        <w:r w:rsidRPr="60ECF5C7">
          <w:rPr>
            <w:rStyle w:val="af1"/>
            <w:rFonts w:ascii="Times New Roman" w:eastAsia="Times New Roman" w:hAnsi="Times New Roman" w:cs="Times New Roman"/>
            <w:sz w:val="28"/>
            <w:szCs w:val="28"/>
            <w:lang w:val="en-US"/>
          </w:rPr>
          <w:t>https</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web</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archive</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org</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web</w:t>
        </w:r>
        <w:r w:rsidRPr="008E6865">
          <w:rPr>
            <w:rStyle w:val="af1"/>
            <w:rFonts w:ascii="Times New Roman" w:eastAsia="Times New Roman" w:hAnsi="Times New Roman" w:cs="Times New Roman"/>
            <w:sz w:val="28"/>
            <w:szCs w:val="28"/>
          </w:rPr>
          <w:t>/20061122040007/</w:t>
        </w:r>
        <w:r w:rsidRPr="60ECF5C7">
          <w:rPr>
            <w:rStyle w:val="af1"/>
            <w:rFonts w:ascii="Times New Roman" w:eastAsia="Times New Roman" w:hAnsi="Times New Roman" w:cs="Times New Roman"/>
            <w:sz w:val="28"/>
            <w:szCs w:val="28"/>
            <w:lang w:val="en-US"/>
          </w:rPr>
          <w:t>http</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europa</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eu</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eurlex</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en</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treaties</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dat</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EU</w:t>
        </w:r>
        <w:r w:rsidRPr="008E6865">
          <w:rPr>
            <w:rStyle w:val="af1"/>
            <w:rFonts w:ascii="Times New Roman" w:eastAsia="Times New Roman" w:hAnsi="Times New Roman" w:cs="Times New Roman"/>
            <w:sz w:val="28"/>
            <w:szCs w:val="28"/>
          </w:rPr>
          <w:t>_</w:t>
        </w:r>
        <w:r w:rsidRPr="60ECF5C7">
          <w:rPr>
            <w:rStyle w:val="af1"/>
            <w:rFonts w:ascii="Times New Roman" w:eastAsia="Times New Roman" w:hAnsi="Times New Roman" w:cs="Times New Roman"/>
            <w:sz w:val="28"/>
            <w:szCs w:val="28"/>
            <w:lang w:val="en-US"/>
          </w:rPr>
          <w:t>consol</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pdf</w:t>
        </w:r>
      </w:hyperlink>
      <w:r w:rsidRPr="008E6865">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23.11.2020.</w:t>
      </w:r>
    </w:p>
    <w:p w14:paraId="658DB548"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rPr>
        <w:t>Могерини. Глобальная стратегия позволит ЕС реализовать свой значительный потенциал</w:t>
      </w:r>
      <w:r w:rsidR="45D0BA9D"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URL: </w:t>
      </w:r>
      <w:hyperlink r:id="rId19">
        <w:r w:rsidRPr="60ECF5C7">
          <w:rPr>
            <w:rStyle w:val="af1"/>
            <w:rFonts w:ascii="Times New Roman" w:eastAsia="Times New Roman" w:hAnsi="Times New Roman" w:cs="Times New Roman"/>
            <w:sz w:val="28"/>
            <w:szCs w:val="28"/>
          </w:rPr>
          <w:t>https://eeas.europa.eu/headquarters/headquartershomepage/12278/mogerini-globalnaya-strategiya-pozvolit-es-realizovat</w:t>
        </w:r>
      </w:hyperlink>
      <w:r w:rsidRPr="60ECF5C7">
        <w:rPr>
          <w:rFonts w:ascii="Times New Roman" w:eastAsia="Times New Roman" w:hAnsi="Times New Roman" w:cs="Times New Roman"/>
          <w:color w:val="000000" w:themeColor="text1"/>
          <w:sz w:val="28"/>
          <w:szCs w:val="28"/>
        </w:rPr>
        <w:t xml:space="preserve">. </w:t>
      </w:r>
      <w:r w:rsidR="15AA6132" w:rsidRPr="60ECF5C7">
        <w:rPr>
          <w:rFonts w:ascii="Times New Roman" w:eastAsia="Times New Roman" w:hAnsi="Times New Roman" w:cs="Times New Roman"/>
          <w:color w:val="000000" w:themeColor="text1"/>
          <w:sz w:val="28"/>
          <w:szCs w:val="28"/>
        </w:rPr>
        <w:t>11.09.2022</w:t>
      </w:r>
    </w:p>
    <w:p w14:paraId="442E0423"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High Representative Federica Mogherini to appoint EU Special Representatives to the Middle East Peace Process and to Central Asia</w:t>
      </w:r>
      <w:r w:rsidR="6F070B4F"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lang w:val="en-US"/>
        </w:rPr>
        <w:t xml:space="preserve"> </w:t>
      </w:r>
      <w:hyperlink r:id="rId20">
        <w:r w:rsidRPr="60ECF5C7">
          <w:rPr>
            <w:rStyle w:val="af1"/>
            <w:rFonts w:ascii="Times New Roman" w:eastAsia="Times New Roman" w:hAnsi="Times New Roman" w:cs="Times New Roman"/>
            <w:sz w:val="28"/>
            <w:szCs w:val="28"/>
            <w:lang w:val="en-US"/>
          </w:rPr>
          <w:t>https://eeas.europa.eu/headquarters/headquarters-homepage/6222_en</w:t>
        </w:r>
      </w:hyperlink>
      <w:r w:rsidRPr="60ECF5C7">
        <w:rPr>
          <w:rFonts w:ascii="Times New Roman" w:eastAsia="Times New Roman" w:hAnsi="Times New Roman" w:cs="Times New Roman"/>
          <w:color w:val="000000" w:themeColor="text1"/>
          <w:sz w:val="28"/>
          <w:szCs w:val="28"/>
          <w:lang w:val="en-US"/>
        </w:rPr>
        <w:t xml:space="preserve">. </w:t>
      </w:r>
      <w:r w:rsidR="0D0B5994" w:rsidRPr="008E6865">
        <w:rPr>
          <w:rFonts w:ascii="Times New Roman" w:eastAsia="Times New Roman" w:hAnsi="Times New Roman" w:cs="Times New Roman"/>
          <w:color w:val="000000" w:themeColor="text1"/>
          <w:sz w:val="28"/>
          <w:szCs w:val="28"/>
          <w:lang w:val="en-US"/>
        </w:rPr>
        <w:t>08.06.2022</w:t>
      </w:r>
    </w:p>
    <w:p w14:paraId="010B4222"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rPr>
        <w:t xml:space="preserve">Брифинг для СМИ по итогам встречи с председателем Европейской Комиссии Жозе Мануэлем Баррозу 09 октября 2014 года </w:t>
      </w:r>
      <w:r w:rsidR="1777E529" w:rsidRPr="60ECF5C7">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rPr>
        <w:t xml:space="preserve"> </w:t>
      </w:r>
      <w:hyperlink r:id="rId21">
        <w:r w:rsidRPr="60ECF5C7">
          <w:rPr>
            <w:rStyle w:val="af1"/>
            <w:rFonts w:ascii="Times New Roman" w:eastAsia="Times New Roman" w:hAnsi="Times New Roman" w:cs="Times New Roman"/>
            <w:sz w:val="28"/>
            <w:szCs w:val="28"/>
          </w:rPr>
          <w:t>https://www.akorda.kz/ru/events/international_community/foreign</w:t>
        </w:r>
      </w:hyperlink>
      <w:r w:rsidRPr="60ECF5C7">
        <w:rPr>
          <w:rFonts w:ascii="Times New Roman" w:eastAsia="Times New Roman" w:hAnsi="Times New Roman" w:cs="Times New Roman"/>
          <w:color w:val="000000" w:themeColor="text1"/>
          <w:sz w:val="28"/>
          <w:szCs w:val="28"/>
        </w:rPr>
        <w:t xml:space="preserve">. </w:t>
      </w:r>
      <w:r w:rsidR="796B9F71" w:rsidRPr="60ECF5C7">
        <w:rPr>
          <w:rFonts w:ascii="Times New Roman" w:eastAsia="Times New Roman" w:hAnsi="Times New Roman" w:cs="Times New Roman"/>
          <w:color w:val="000000" w:themeColor="text1"/>
          <w:sz w:val="28"/>
          <w:szCs w:val="28"/>
        </w:rPr>
        <w:t>08.06.2022</w:t>
      </w:r>
    </w:p>
    <w:p w14:paraId="1B1645C1" w14:textId="77777777" w:rsidR="2D9C780E" w:rsidRPr="008E6865" w:rsidRDefault="2D9C780E" w:rsidP="60ECF5C7">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 xml:space="preserve">Заявление главы европейской дипломатии Жозепа Борреля по событиям в Кыргызской Республике.  </w:t>
      </w:r>
      <w:r w:rsidR="43F43843" w:rsidRPr="60ECF5C7">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rPr>
        <w:t xml:space="preserve"> </w:t>
      </w:r>
      <w:hyperlink r:id="rId22">
        <w:r w:rsidRPr="60ECF5C7">
          <w:rPr>
            <w:rStyle w:val="af1"/>
            <w:rFonts w:ascii="Times New Roman" w:eastAsia="Times New Roman" w:hAnsi="Times New Roman" w:cs="Times New Roman"/>
            <w:sz w:val="28"/>
            <w:szCs w:val="28"/>
          </w:rPr>
          <w:t>https://eeas.europa.eu/delegations/kyrgyzrepublic/87071/заявление-главы-европейской-дипломатии-жозепа</w:t>
        </w:r>
      </w:hyperlink>
      <w:r w:rsidRPr="60ECF5C7">
        <w:rPr>
          <w:rFonts w:ascii="Times New Roman" w:eastAsia="Times New Roman" w:hAnsi="Times New Roman" w:cs="Times New Roman"/>
          <w:color w:val="000000" w:themeColor="text1"/>
          <w:sz w:val="28"/>
          <w:szCs w:val="28"/>
        </w:rPr>
        <w:t xml:space="preserve"> </w:t>
      </w:r>
      <w:r w:rsidR="6F2D5CC2" w:rsidRPr="60ECF5C7">
        <w:rPr>
          <w:rFonts w:ascii="Times New Roman" w:eastAsia="Times New Roman" w:hAnsi="Times New Roman" w:cs="Times New Roman"/>
          <w:color w:val="000000" w:themeColor="text1"/>
          <w:sz w:val="28"/>
          <w:szCs w:val="28"/>
        </w:rPr>
        <w:t>08.06.2022</w:t>
      </w:r>
    </w:p>
    <w:p w14:paraId="253B8F21"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rPr>
        <w:t xml:space="preserve">Выступление Председателя Европейского Совета г-на Дональда Туска после встречи с Президентом Республики Таджикистан г-ном Эмомали Рахмоном </w:t>
      </w:r>
      <w:r w:rsidR="60D74929" w:rsidRPr="60ECF5C7">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rPr>
        <w:t xml:space="preserve"> </w:t>
      </w:r>
      <w:hyperlink r:id="rId23">
        <w:r w:rsidRPr="60ECF5C7">
          <w:rPr>
            <w:rStyle w:val="af1"/>
            <w:rFonts w:ascii="Times New Roman" w:eastAsia="Times New Roman" w:hAnsi="Times New Roman" w:cs="Times New Roman"/>
            <w:sz w:val="28"/>
            <w:szCs w:val="28"/>
          </w:rPr>
          <w:t>https://eeas.europa.eu/delegations/tajikistan/63525/выступлениепредседателя-европейского-совета-г-на-дональда-туска-после</w:t>
        </w:r>
      </w:hyperlink>
      <w:r w:rsidRPr="60ECF5C7">
        <w:rPr>
          <w:rFonts w:ascii="Times New Roman" w:eastAsia="Times New Roman" w:hAnsi="Times New Roman" w:cs="Times New Roman"/>
          <w:color w:val="000000" w:themeColor="text1"/>
          <w:sz w:val="28"/>
          <w:szCs w:val="28"/>
        </w:rPr>
        <w:t xml:space="preserve">.  </w:t>
      </w:r>
      <w:r w:rsidR="1EDF1926" w:rsidRPr="60ECF5C7">
        <w:rPr>
          <w:rFonts w:ascii="Times New Roman" w:eastAsia="Times New Roman" w:hAnsi="Times New Roman" w:cs="Times New Roman"/>
          <w:color w:val="000000" w:themeColor="text1"/>
          <w:sz w:val="28"/>
          <w:szCs w:val="28"/>
        </w:rPr>
        <w:t>08.06.2022</w:t>
      </w:r>
    </w:p>
    <w:p w14:paraId="4BD786FB"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Ambassador Stiprais speaks about EU-Uzbekistan trade and investment cooperation</w:t>
      </w:r>
      <w:r w:rsidR="061FBC2F"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lang w:val="en-US"/>
        </w:rPr>
        <w:t xml:space="preserve"> </w:t>
      </w:r>
      <w:hyperlink r:id="rId24">
        <w:r w:rsidRPr="60ECF5C7">
          <w:rPr>
            <w:rStyle w:val="af1"/>
            <w:rFonts w:ascii="Times New Roman" w:eastAsia="Times New Roman" w:hAnsi="Times New Roman" w:cs="Times New Roman"/>
            <w:sz w:val="28"/>
            <w:szCs w:val="28"/>
            <w:lang w:val="en-US"/>
          </w:rPr>
          <w:t>https://eeas.europa.eu/headquarters/headquartersHomepage/19358/ambassador-stiprais-speaks-about-eu-uzbekistan-trade</w:t>
        </w:r>
      </w:hyperlink>
      <w:r w:rsidRPr="60ECF5C7">
        <w:rPr>
          <w:rFonts w:ascii="Times New Roman" w:eastAsia="Times New Roman" w:hAnsi="Times New Roman" w:cs="Times New Roman"/>
          <w:color w:val="000000" w:themeColor="text1"/>
          <w:sz w:val="28"/>
          <w:szCs w:val="28"/>
          <w:lang w:val="en-US"/>
        </w:rPr>
        <w:t xml:space="preserve"> </w:t>
      </w:r>
      <w:r w:rsidR="1D824C4B" w:rsidRPr="008E6865">
        <w:rPr>
          <w:rFonts w:ascii="Times New Roman" w:eastAsia="Times New Roman" w:hAnsi="Times New Roman" w:cs="Times New Roman"/>
          <w:color w:val="000000" w:themeColor="text1"/>
          <w:sz w:val="28"/>
          <w:szCs w:val="28"/>
          <w:lang w:val="en-US"/>
        </w:rPr>
        <w:t>08.06.2022</w:t>
      </w:r>
    </w:p>
    <w:p w14:paraId="65475376" w14:textId="77777777" w:rsidR="2D9C780E" w:rsidRPr="008E6865" w:rsidRDefault="2D9C780E" w:rsidP="60ECF5C7">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 xml:space="preserve">Вторая встреча представителей МИД и парламентариев стран Центральной Азии по вопросам изменения климата </w:t>
      </w:r>
      <w:r w:rsidR="4B3D8536" w:rsidRPr="60ECF5C7">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rPr>
        <w:t xml:space="preserve"> </w:t>
      </w:r>
      <w:hyperlink r:id="rId25">
        <w:r w:rsidRPr="60ECF5C7">
          <w:rPr>
            <w:rStyle w:val="af1"/>
            <w:rFonts w:ascii="Times New Roman" w:eastAsia="Times New Roman" w:hAnsi="Times New Roman" w:cs="Times New Roman"/>
            <w:sz w:val="28"/>
            <w:szCs w:val="28"/>
          </w:rPr>
          <w:t>https://www.carececo.org/main/news/news/vtoraya-vstrecha-predstaviteley-mid-i-parlamentariev-stran-tsentralnoy-azii-po-voprosam-izmeneniya-k/</w:t>
        </w:r>
      </w:hyperlink>
      <w:r w:rsidRPr="60ECF5C7">
        <w:rPr>
          <w:rFonts w:ascii="Times New Roman" w:eastAsia="Times New Roman" w:hAnsi="Times New Roman" w:cs="Times New Roman"/>
          <w:color w:val="000000" w:themeColor="text1"/>
          <w:sz w:val="28"/>
          <w:szCs w:val="28"/>
        </w:rPr>
        <w:t xml:space="preserve"> </w:t>
      </w:r>
      <w:r w:rsidR="1C336481" w:rsidRPr="60ECF5C7">
        <w:rPr>
          <w:rFonts w:ascii="Times New Roman" w:eastAsia="Times New Roman" w:hAnsi="Times New Roman" w:cs="Times New Roman"/>
          <w:color w:val="000000" w:themeColor="text1"/>
          <w:sz w:val="28"/>
          <w:szCs w:val="28"/>
        </w:rPr>
        <w:t>08.06.2022</w:t>
      </w:r>
    </w:p>
    <w:p w14:paraId="2376DC6E"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New EU Special Representative for Central Asia appointed, Council of the EU Press release 15 April 2015</w:t>
      </w:r>
      <w:r w:rsidR="44DDF02A"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lang w:val="en-US"/>
        </w:rPr>
        <w:t xml:space="preserve">  </w:t>
      </w:r>
      <w:hyperlink r:id="rId26">
        <w:r w:rsidRPr="60ECF5C7">
          <w:rPr>
            <w:rStyle w:val="af1"/>
            <w:rFonts w:ascii="Times New Roman" w:eastAsia="Times New Roman" w:hAnsi="Times New Roman" w:cs="Times New Roman"/>
            <w:sz w:val="28"/>
            <w:szCs w:val="28"/>
            <w:lang w:val="en-US"/>
          </w:rPr>
          <w:t>https://www.consilium.europa.eu/en/press/pressreleases/2015/04/15/new-eu-special-representative-for-central-asia/</w:t>
        </w:r>
      </w:hyperlink>
      <w:r w:rsidRPr="60ECF5C7">
        <w:rPr>
          <w:rFonts w:ascii="Times New Roman" w:eastAsia="Times New Roman" w:hAnsi="Times New Roman" w:cs="Times New Roman"/>
          <w:color w:val="000000" w:themeColor="text1"/>
          <w:sz w:val="28"/>
          <w:szCs w:val="28"/>
          <w:lang w:val="en-US"/>
        </w:rPr>
        <w:t xml:space="preserve"> </w:t>
      </w:r>
      <w:r w:rsidR="4E8FE60F" w:rsidRPr="008E6865">
        <w:rPr>
          <w:rFonts w:ascii="Times New Roman" w:eastAsia="Times New Roman" w:hAnsi="Times New Roman" w:cs="Times New Roman"/>
          <w:color w:val="000000" w:themeColor="text1"/>
          <w:sz w:val="28"/>
          <w:szCs w:val="28"/>
          <w:lang w:val="en-US"/>
        </w:rPr>
        <w:t>08.06.2022</w:t>
      </w:r>
    </w:p>
    <w:p w14:paraId="209DB9E6"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High Representative Federica Mogherini to appoint EU Special Representatives to the Middle East Peace Process and to Central Asia</w:t>
      </w:r>
      <w:r w:rsidR="4B2CA398"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lang w:val="en-US"/>
        </w:rPr>
        <w:t xml:space="preserve">// </w:t>
      </w:r>
      <w:hyperlink r:id="rId27">
        <w:r w:rsidRPr="60ECF5C7">
          <w:rPr>
            <w:rStyle w:val="af1"/>
            <w:rFonts w:ascii="Times New Roman" w:eastAsia="Times New Roman" w:hAnsi="Times New Roman" w:cs="Times New Roman"/>
            <w:sz w:val="28"/>
            <w:szCs w:val="28"/>
            <w:lang w:val="en-US"/>
          </w:rPr>
          <w:t>https://eeas.europa.eu/headquarters/headquarters-homepage/6222_en</w:t>
        </w:r>
      </w:hyperlink>
      <w:r w:rsidRPr="60ECF5C7">
        <w:rPr>
          <w:rFonts w:ascii="Times New Roman" w:eastAsia="Times New Roman" w:hAnsi="Times New Roman" w:cs="Times New Roman"/>
          <w:color w:val="000000" w:themeColor="text1"/>
          <w:sz w:val="28"/>
          <w:szCs w:val="28"/>
          <w:lang w:val="en-US"/>
        </w:rPr>
        <w:t xml:space="preserve">. </w:t>
      </w:r>
      <w:hyperlink r:id="rId28">
        <w:r w:rsidRPr="60ECF5C7">
          <w:rPr>
            <w:rStyle w:val="af1"/>
            <w:rFonts w:ascii="Times New Roman" w:eastAsia="Times New Roman" w:hAnsi="Times New Roman" w:cs="Times New Roman"/>
            <w:sz w:val="28"/>
            <w:szCs w:val="28"/>
          </w:rPr>
          <w:t>entral-asia/</w:t>
        </w:r>
      </w:hyperlink>
      <w:r w:rsidRPr="60ECF5C7">
        <w:rPr>
          <w:rFonts w:ascii="Times New Roman" w:eastAsia="Times New Roman" w:hAnsi="Times New Roman" w:cs="Times New Roman"/>
          <w:color w:val="000000" w:themeColor="text1"/>
          <w:sz w:val="28"/>
          <w:szCs w:val="28"/>
        </w:rPr>
        <w:t xml:space="preserve">  </w:t>
      </w:r>
      <w:r w:rsidR="31FDD998" w:rsidRPr="60ECF5C7">
        <w:rPr>
          <w:rFonts w:ascii="Times New Roman" w:eastAsia="Times New Roman" w:hAnsi="Times New Roman" w:cs="Times New Roman"/>
          <w:color w:val="000000" w:themeColor="text1"/>
          <w:sz w:val="28"/>
          <w:szCs w:val="28"/>
        </w:rPr>
        <w:t>08.06.2022</w:t>
      </w:r>
    </w:p>
    <w:p w14:paraId="3B64562C"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rPr>
        <w:t>Диалог ЕС – Центральная Азия по вопросам политики в области охраны окружающей среды и изменения климата: в центре внимания − экономика замкнутого цикла</w:t>
      </w:r>
      <w:r w:rsidR="54DF28D7"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29">
        <w:r w:rsidRPr="60ECF5C7">
          <w:rPr>
            <w:rStyle w:val="af1"/>
            <w:rFonts w:ascii="Times New Roman" w:eastAsia="Times New Roman" w:hAnsi="Times New Roman" w:cs="Times New Roman"/>
            <w:sz w:val="28"/>
            <w:szCs w:val="28"/>
          </w:rPr>
          <w:t>https://eeas.europa.eu/</w:t>
        </w:r>
      </w:hyperlink>
      <w:r w:rsidRPr="60ECF5C7">
        <w:rPr>
          <w:rFonts w:ascii="Times New Roman" w:eastAsia="Times New Roman" w:hAnsi="Times New Roman" w:cs="Times New Roman"/>
          <w:color w:val="000000" w:themeColor="text1"/>
          <w:sz w:val="28"/>
          <w:szCs w:val="28"/>
        </w:rPr>
        <w:t xml:space="preserve"> delegations/kazakhstan/74589/node/74589_ru.  </w:t>
      </w:r>
      <w:r w:rsidR="7BEF4E6B" w:rsidRPr="60ECF5C7">
        <w:rPr>
          <w:rFonts w:ascii="Times New Roman" w:eastAsia="Times New Roman" w:hAnsi="Times New Roman" w:cs="Times New Roman"/>
          <w:color w:val="000000" w:themeColor="text1"/>
          <w:sz w:val="28"/>
          <w:szCs w:val="28"/>
        </w:rPr>
        <w:t>08.06.2022</w:t>
      </w:r>
    </w:p>
    <w:p w14:paraId="6409438E"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 xml:space="preserve">Intervention by the EU Special Representative for Central Asia, Ambassador Peter Burian. </w:t>
      </w:r>
      <w:r w:rsidR="445A8E8A" w:rsidRPr="60ECF5C7">
        <w:rPr>
          <w:rFonts w:ascii="Times New Roman" w:eastAsia="Times New Roman" w:hAnsi="Times New Roman" w:cs="Times New Roman"/>
          <w:color w:val="000000" w:themeColor="text1"/>
          <w:sz w:val="28"/>
          <w:szCs w:val="28"/>
          <w:lang w:val="en-US"/>
        </w:rPr>
        <w:t>//</w:t>
      </w:r>
      <w:r w:rsidRPr="60ECF5C7">
        <w:rPr>
          <w:rFonts w:ascii="Times New Roman" w:eastAsia="Times New Roman" w:hAnsi="Times New Roman" w:cs="Times New Roman"/>
          <w:color w:val="000000" w:themeColor="text1"/>
          <w:sz w:val="28"/>
          <w:szCs w:val="28"/>
          <w:lang w:val="en-US"/>
        </w:rPr>
        <w:t xml:space="preserve"> URL: </w:t>
      </w:r>
      <w:hyperlink r:id="rId30">
        <w:r w:rsidRPr="60ECF5C7">
          <w:rPr>
            <w:rStyle w:val="af1"/>
            <w:rFonts w:ascii="Times New Roman" w:eastAsia="Times New Roman" w:hAnsi="Times New Roman" w:cs="Times New Roman"/>
            <w:sz w:val="28"/>
            <w:szCs w:val="28"/>
            <w:lang w:val="en-US"/>
          </w:rPr>
          <w:t>https://www.osce.org/files/f/documents/5/2/463287.pdf</w:t>
        </w:r>
      </w:hyperlink>
      <w:r w:rsidR="215E9ED3"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lang w:val="en-US"/>
        </w:rPr>
        <w:t xml:space="preserve"> </w:t>
      </w:r>
      <w:r w:rsidR="7E9CACF1" w:rsidRPr="60ECF5C7">
        <w:rPr>
          <w:rFonts w:ascii="Times New Roman" w:eastAsia="Times New Roman" w:hAnsi="Times New Roman" w:cs="Times New Roman"/>
          <w:color w:val="000000" w:themeColor="text1"/>
          <w:sz w:val="28"/>
          <w:szCs w:val="28"/>
          <w:lang w:val="en-US"/>
        </w:rPr>
        <w:t>09.09.2022</w:t>
      </w:r>
    </w:p>
    <w:p w14:paraId="4CBF40DB" w14:textId="77777777" w:rsidR="2D9C780E" w:rsidRPr="008E6865"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ЕС запустит в Центральной Азии новый крупный экологический проект – Боррель, 28.01.2020</w:t>
      </w:r>
      <w:r w:rsidR="356988AF"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31">
        <w:r w:rsidRPr="60ECF5C7">
          <w:rPr>
            <w:rStyle w:val="af1"/>
            <w:rFonts w:ascii="Times New Roman" w:eastAsia="Times New Roman" w:hAnsi="Times New Roman" w:cs="Times New Roman"/>
            <w:sz w:val="28"/>
            <w:szCs w:val="28"/>
          </w:rPr>
          <w:t>https://www.swissinfo.ch/rus/ес-запустит-вцентральной-азии-новый-крупный-экологический-проект</w:t>
        </w:r>
      </w:hyperlink>
      <w:r w:rsidR="10BB9801" w:rsidRPr="60ECF5C7">
        <w:rPr>
          <w:rFonts w:ascii="Times New Roman" w:eastAsia="Times New Roman" w:hAnsi="Times New Roman" w:cs="Times New Roman"/>
          <w:sz w:val="28"/>
          <w:szCs w:val="28"/>
        </w:rPr>
        <w:t xml:space="preserve">    09.09.2022</w:t>
      </w:r>
    </w:p>
    <w:p w14:paraId="1E2DCA48"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rPr>
        <w:t xml:space="preserve">Состоялся виртуальный Экономический форум «Диалог ЕС – Центральная Азия по вопросам партнерства во имя процветания» </w:t>
      </w:r>
      <w:r w:rsidR="54F8C718" w:rsidRPr="60ECF5C7">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rPr>
        <w:t xml:space="preserve"> </w:t>
      </w:r>
      <w:hyperlink r:id="rId32">
        <w:r w:rsidRPr="60ECF5C7">
          <w:rPr>
            <w:rStyle w:val="af1"/>
            <w:rFonts w:ascii="Times New Roman" w:eastAsia="Times New Roman" w:hAnsi="Times New Roman" w:cs="Times New Roman"/>
            <w:sz w:val="28"/>
            <w:szCs w:val="28"/>
          </w:rPr>
          <w:t>https://mift.uz/ru/news/sostojalsja-virtualnyj-ekonomicheskij-forum</w:t>
        </w:r>
      </w:hyperlink>
      <w:r w:rsidRPr="60ECF5C7">
        <w:rPr>
          <w:rFonts w:ascii="Times New Roman" w:eastAsia="Times New Roman" w:hAnsi="Times New Roman" w:cs="Times New Roman"/>
          <w:color w:val="000000" w:themeColor="text1"/>
          <w:sz w:val="28"/>
          <w:szCs w:val="28"/>
        </w:rPr>
        <w:t xml:space="preserve">. (дата </w:t>
      </w:r>
      <w:r w:rsidR="359D1319" w:rsidRPr="60ECF5C7">
        <w:rPr>
          <w:rFonts w:ascii="Times New Roman" w:eastAsia="Times New Roman" w:hAnsi="Times New Roman" w:cs="Times New Roman"/>
          <w:sz w:val="28"/>
          <w:szCs w:val="28"/>
        </w:rPr>
        <w:t>09.09.2022</w:t>
      </w:r>
    </w:p>
    <w:p w14:paraId="5E82A0F0"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rPr>
        <w:t>Президент Кыргызской Республики А. Атамбаев встретился с Верховным представителем Европейского союза по иностранным делам и политике безопасности Федерикой Могерини, 9 ноября 2017 года</w:t>
      </w:r>
      <w:r w:rsidR="42275863"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33">
        <w:r w:rsidRPr="60ECF5C7">
          <w:rPr>
            <w:rStyle w:val="af1"/>
            <w:rFonts w:ascii="Times New Roman" w:eastAsia="Times New Roman" w:hAnsi="Times New Roman" w:cs="Times New Roman"/>
            <w:sz w:val="28"/>
            <w:szCs w:val="28"/>
          </w:rPr>
          <w:t>http://www.president.kg/ru/sobytiya/novosti/5575_prezident_almazbek</w:t>
        </w:r>
      </w:hyperlink>
      <w:r w:rsidRPr="60ECF5C7">
        <w:rPr>
          <w:rFonts w:ascii="Times New Roman" w:eastAsia="Times New Roman" w:hAnsi="Times New Roman" w:cs="Times New Roman"/>
          <w:color w:val="000000" w:themeColor="text1"/>
          <w:sz w:val="28"/>
          <w:szCs w:val="28"/>
        </w:rPr>
        <w:t xml:space="preserve">.  </w:t>
      </w:r>
      <w:r w:rsidR="2489E7B2" w:rsidRPr="60ECF5C7">
        <w:rPr>
          <w:rFonts w:ascii="Times New Roman" w:eastAsia="Times New Roman" w:hAnsi="Times New Roman" w:cs="Times New Roman"/>
          <w:sz w:val="28"/>
          <w:szCs w:val="28"/>
        </w:rPr>
        <w:t>09.09.2022</w:t>
      </w:r>
    </w:p>
    <w:p w14:paraId="17E53DC8" w14:textId="77777777" w:rsidR="2D9C780E" w:rsidRPr="008E6865"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Заявление для СМИ Заместителя министра иностранных дел Кыргызской Республики Н. Абдрахманова по итогам переговорных групп КР и ЕС</w:t>
      </w:r>
      <w:r w:rsidR="7AE9FDE5"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34">
        <w:r w:rsidRPr="60ECF5C7">
          <w:rPr>
            <w:rStyle w:val="af1"/>
            <w:rFonts w:ascii="Times New Roman" w:eastAsia="Times New Roman" w:hAnsi="Times New Roman" w:cs="Times New Roman"/>
            <w:sz w:val="28"/>
            <w:szCs w:val="28"/>
          </w:rPr>
          <w:t>https://old.mfa.gov.kg/news/view/idnews/4459</w:t>
        </w:r>
      </w:hyperlink>
      <w:r w:rsidR="03BC1B78" w:rsidRPr="60ECF5C7">
        <w:rPr>
          <w:rFonts w:ascii="Times New Roman" w:eastAsia="Times New Roman" w:hAnsi="Times New Roman" w:cs="Times New Roman"/>
          <w:sz w:val="28"/>
          <w:szCs w:val="28"/>
        </w:rPr>
        <w:t xml:space="preserve">    09.09.2022</w:t>
      </w:r>
    </w:p>
    <w:p w14:paraId="2F53EA46" w14:textId="77777777" w:rsidR="2D9C780E" w:rsidRPr="008E6865"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Президент Сооронбай Жээнбеков встретился с Верховным представителем Евросоюза по иностранным делам и политике безопасности Федерикой Могерини</w:t>
      </w:r>
      <w:r w:rsidR="366C3760" w:rsidRPr="60ECF5C7">
        <w:rPr>
          <w:rFonts w:ascii="Times New Roman" w:eastAsia="Times New Roman" w:hAnsi="Times New Roman" w:cs="Times New Roman"/>
          <w:color w:val="000000" w:themeColor="text1"/>
          <w:sz w:val="28"/>
          <w:szCs w:val="28"/>
        </w:rPr>
        <w:t xml:space="preserve"> // </w:t>
      </w:r>
      <w:hyperlink r:id="rId35">
        <w:r w:rsidRPr="60ECF5C7">
          <w:rPr>
            <w:rStyle w:val="af1"/>
            <w:rFonts w:ascii="Times New Roman" w:eastAsia="Times New Roman" w:hAnsi="Times New Roman" w:cs="Times New Roman"/>
            <w:sz w:val="28"/>
            <w:szCs w:val="28"/>
          </w:rPr>
          <w:t>http://www.president.kg/ru/sobytiya</w:t>
        </w:r>
      </w:hyperlink>
      <w:r w:rsidRPr="60ECF5C7">
        <w:rPr>
          <w:rFonts w:ascii="Times New Roman" w:eastAsia="Times New Roman" w:hAnsi="Times New Roman" w:cs="Times New Roman"/>
          <w:color w:val="000000" w:themeColor="text1"/>
          <w:sz w:val="28"/>
          <w:szCs w:val="28"/>
        </w:rPr>
        <w:t xml:space="preserve">  </w:t>
      </w:r>
      <w:r w:rsidR="105C0AF3" w:rsidRPr="60ECF5C7">
        <w:rPr>
          <w:rFonts w:ascii="Times New Roman" w:eastAsia="Times New Roman" w:hAnsi="Times New Roman" w:cs="Times New Roman"/>
          <w:sz w:val="28"/>
          <w:szCs w:val="28"/>
        </w:rPr>
        <w:t>09.09.2022</w:t>
      </w:r>
    </w:p>
    <w:p w14:paraId="18590EB1" w14:textId="77777777" w:rsidR="2D9C780E" w:rsidRPr="00664C74"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Заявление главы европейской дипломатии Жозепа Борреля по событиям в Кыргызской Республике</w:t>
      </w:r>
      <w:r w:rsidR="6D765A98"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36">
        <w:r w:rsidRPr="60ECF5C7">
          <w:rPr>
            <w:rStyle w:val="af1"/>
            <w:rFonts w:ascii="Times New Roman" w:eastAsia="Times New Roman" w:hAnsi="Times New Roman" w:cs="Times New Roman"/>
            <w:sz w:val="28"/>
            <w:szCs w:val="28"/>
          </w:rPr>
          <w:t>https://eeas.europa.eu/delegations/kyrgyzrepublic/87071/заявление-главы-европейской-дипломатии-жозепа</w:t>
        </w:r>
      </w:hyperlink>
      <w:r w:rsidRPr="60ECF5C7">
        <w:rPr>
          <w:rFonts w:ascii="Times New Roman" w:eastAsia="Times New Roman" w:hAnsi="Times New Roman" w:cs="Times New Roman"/>
          <w:color w:val="000000" w:themeColor="text1"/>
          <w:sz w:val="28"/>
          <w:szCs w:val="28"/>
        </w:rPr>
        <w:t xml:space="preserve"> </w:t>
      </w:r>
      <w:r w:rsidR="64633F61" w:rsidRPr="60ECF5C7">
        <w:rPr>
          <w:rFonts w:ascii="Times New Roman" w:eastAsia="Times New Roman" w:hAnsi="Times New Roman" w:cs="Times New Roman"/>
          <w:sz w:val="28"/>
          <w:szCs w:val="28"/>
        </w:rPr>
        <w:t xml:space="preserve">09.09.2022 </w:t>
      </w:r>
    </w:p>
    <w:p w14:paraId="3D17CDAB"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lang w:val="en-US"/>
        </w:rPr>
        <w:t>Strategy Paper 2002-2006 &amp; Indicative Programme 2002-2004 for Central Asia (2002)</w:t>
      </w:r>
      <w:r w:rsidR="3AF362C3" w:rsidRPr="60ECF5C7">
        <w:rPr>
          <w:rFonts w:ascii="Times New Roman" w:eastAsia="Times New Roman" w:hAnsi="Times New Roman" w:cs="Times New Roman"/>
          <w:color w:val="000000" w:themeColor="text1"/>
          <w:sz w:val="28"/>
          <w:szCs w:val="28"/>
          <w:lang w:val="en-US"/>
        </w:rPr>
        <w:t xml:space="preserve"> // </w:t>
      </w:r>
      <w:hyperlink r:id="rId37">
        <w:r w:rsidRPr="60ECF5C7">
          <w:rPr>
            <w:rStyle w:val="af1"/>
            <w:rFonts w:ascii="Times New Roman" w:eastAsia="Times New Roman" w:hAnsi="Times New Roman" w:cs="Times New Roman"/>
            <w:sz w:val="28"/>
            <w:szCs w:val="28"/>
            <w:lang w:val="en-US"/>
          </w:rPr>
          <w:t>https://eeas.europa.eu/archives/docs/central_asia/rsp</w:t>
        </w:r>
      </w:hyperlink>
      <w:r w:rsidR="29D9F7D0" w:rsidRPr="008E6865">
        <w:rPr>
          <w:rFonts w:ascii="Times New Roman" w:eastAsia="Times New Roman" w:hAnsi="Times New Roman" w:cs="Times New Roman"/>
          <w:sz w:val="28"/>
          <w:szCs w:val="28"/>
          <w:lang w:val="en-US"/>
        </w:rPr>
        <w:t xml:space="preserve"> 09.09.2022</w:t>
      </w:r>
    </w:p>
    <w:p w14:paraId="70BB487B"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lang w:val="en-US"/>
        </w:rPr>
        <w:t xml:space="preserve">The EU and Central Asia: Strategy for a New Partnership 31 </w:t>
      </w:r>
      <w:r w:rsidRPr="60ECF5C7">
        <w:rPr>
          <w:rFonts w:ascii="Times New Roman" w:eastAsia="Times New Roman" w:hAnsi="Times New Roman" w:cs="Times New Roman"/>
          <w:color w:val="000000" w:themeColor="text1"/>
          <w:sz w:val="28"/>
          <w:szCs w:val="28"/>
        </w:rPr>
        <w:t>мая</w:t>
      </w:r>
      <w:r w:rsidRPr="60ECF5C7">
        <w:rPr>
          <w:rFonts w:ascii="Times New Roman" w:eastAsia="Times New Roman" w:hAnsi="Times New Roman" w:cs="Times New Roman"/>
          <w:color w:val="000000" w:themeColor="text1"/>
          <w:sz w:val="28"/>
          <w:szCs w:val="28"/>
          <w:lang w:val="en-US"/>
        </w:rPr>
        <w:t xml:space="preserve"> 2007 </w:t>
      </w:r>
      <w:r w:rsidRPr="60ECF5C7">
        <w:rPr>
          <w:rFonts w:ascii="Times New Roman" w:eastAsia="Times New Roman" w:hAnsi="Times New Roman" w:cs="Times New Roman"/>
          <w:color w:val="000000" w:themeColor="text1"/>
          <w:sz w:val="28"/>
          <w:szCs w:val="28"/>
        </w:rPr>
        <w:t>года</w:t>
      </w:r>
      <w:r w:rsidRPr="60ECF5C7">
        <w:rPr>
          <w:rFonts w:ascii="Times New Roman" w:eastAsia="Times New Roman" w:hAnsi="Times New Roman" w:cs="Times New Roman"/>
          <w:color w:val="000000" w:themeColor="text1"/>
          <w:sz w:val="28"/>
          <w:szCs w:val="28"/>
          <w:lang w:val="en-US"/>
        </w:rPr>
        <w:t xml:space="preserve"> </w:t>
      </w:r>
      <w:hyperlink r:id="rId38">
        <w:r w:rsidRPr="60ECF5C7">
          <w:rPr>
            <w:rStyle w:val="af1"/>
            <w:rFonts w:ascii="Times New Roman" w:eastAsia="Times New Roman" w:hAnsi="Times New Roman" w:cs="Times New Roman"/>
            <w:sz w:val="28"/>
            <w:szCs w:val="28"/>
            <w:lang w:val="en-US"/>
          </w:rPr>
          <w:t>https://eeas.europa.eu/sites/eeas/files/st_10113_2007_init_en.pdf</w:t>
        </w:r>
      </w:hyperlink>
      <w:r w:rsidRPr="60ECF5C7">
        <w:rPr>
          <w:rFonts w:ascii="Times New Roman" w:eastAsia="Times New Roman" w:hAnsi="Times New Roman" w:cs="Times New Roman"/>
          <w:color w:val="000000" w:themeColor="text1"/>
          <w:sz w:val="28"/>
          <w:szCs w:val="28"/>
          <w:lang w:val="en-US"/>
        </w:rPr>
        <w:t xml:space="preserve">. </w:t>
      </w:r>
      <w:r w:rsidR="35253B5D" w:rsidRPr="60ECF5C7">
        <w:rPr>
          <w:rFonts w:ascii="Times New Roman" w:eastAsia="Times New Roman" w:hAnsi="Times New Roman" w:cs="Times New Roman"/>
          <w:color w:val="000000" w:themeColor="text1"/>
          <w:sz w:val="28"/>
          <w:szCs w:val="28"/>
          <w:lang w:val="en-US"/>
        </w:rPr>
        <w:t>10.05</w:t>
      </w:r>
      <w:r w:rsidR="35253B5D" w:rsidRPr="60ECF5C7">
        <w:rPr>
          <w:rFonts w:ascii="Times New Roman" w:eastAsia="Times New Roman" w:hAnsi="Times New Roman" w:cs="Times New Roman"/>
          <w:sz w:val="28"/>
          <w:szCs w:val="28"/>
        </w:rPr>
        <w:t>.2021</w:t>
      </w:r>
    </w:p>
    <w:p w14:paraId="7EE504D7"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lang w:val="en-US"/>
        </w:rPr>
        <w:t>Multiannual Indicative Programme Regional Central Asia 2014-2020.</w:t>
      </w:r>
      <w:r w:rsidR="58598BFA" w:rsidRPr="60ECF5C7">
        <w:rPr>
          <w:rFonts w:ascii="Times New Roman" w:eastAsia="Times New Roman" w:hAnsi="Times New Roman" w:cs="Times New Roman"/>
          <w:color w:val="000000" w:themeColor="text1"/>
          <w:sz w:val="28"/>
          <w:szCs w:val="28"/>
          <w:lang w:val="en-US"/>
        </w:rPr>
        <w:t xml:space="preserve"> // </w:t>
      </w:r>
      <w:r w:rsidRPr="60ECF5C7">
        <w:rPr>
          <w:rFonts w:ascii="Times New Roman" w:eastAsia="Times New Roman" w:hAnsi="Times New Roman" w:cs="Times New Roman"/>
          <w:color w:val="000000" w:themeColor="text1"/>
          <w:sz w:val="28"/>
          <w:szCs w:val="28"/>
          <w:lang w:val="en-US"/>
        </w:rPr>
        <w:t xml:space="preserve"> </w:t>
      </w:r>
      <w:hyperlink r:id="rId39">
        <w:r w:rsidRPr="60ECF5C7">
          <w:rPr>
            <w:rStyle w:val="af1"/>
            <w:rFonts w:ascii="Times New Roman" w:eastAsia="Times New Roman" w:hAnsi="Times New Roman" w:cs="Times New Roman"/>
            <w:sz w:val="28"/>
            <w:szCs w:val="28"/>
            <w:lang w:val="en-US"/>
          </w:rPr>
          <w:t>https://eeas.europa.eu/sites/eeas/files/20160526_1_en.pdf</w:t>
        </w:r>
      </w:hyperlink>
      <w:r w:rsidRPr="60ECF5C7">
        <w:rPr>
          <w:rFonts w:ascii="Times New Roman" w:eastAsia="Times New Roman" w:hAnsi="Times New Roman" w:cs="Times New Roman"/>
          <w:color w:val="000000" w:themeColor="text1"/>
          <w:sz w:val="28"/>
          <w:szCs w:val="28"/>
          <w:lang w:val="en-US"/>
        </w:rPr>
        <w:t xml:space="preserve">. </w:t>
      </w:r>
      <w:r w:rsidR="78FC45B8" w:rsidRPr="60ECF5C7">
        <w:rPr>
          <w:rFonts w:ascii="Times New Roman" w:eastAsia="Times New Roman" w:hAnsi="Times New Roman" w:cs="Times New Roman"/>
          <w:sz w:val="28"/>
          <w:szCs w:val="28"/>
        </w:rPr>
        <w:t>09.09.2022</w:t>
      </w:r>
    </w:p>
    <w:p w14:paraId="39947933"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lang w:val="en-US"/>
        </w:rPr>
        <w:t>Communication from the Commission to the European Parliament, the Council, the European Economic and Social Committee and the Committee of the regions Action plan on Integration and Inclusion 2021-2027</w:t>
      </w:r>
      <w:r w:rsidR="28FA1721"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lang w:val="en-US"/>
        </w:rPr>
        <w:t xml:space="preserve"> </w:t>
      </w:r>
      <w:hyperlink r:id="rId40">
        <w:r w:rsidRPr="60ECF5C7">
          <w:rPr>
            <w:rStyle w:val="af1"/>
            <w:rFonts w:ascii="Times New Roman" w:eastAsia="Times New Roman" w:hAnsi="Times New Roman" w:cs="Times New Roman"/>
            <w:sz w:val="28"/>
            <w:szCs w:val="28"/>
            <w:lang w:val="en-US"/>
          </w:rPr>
          <w:t>https://ec.europa.eu/home-affairs/system/files_en?file=2020</w:t>
        </w:r>
      </w:hyperlink>
      <w:r w:rsidRPr="60ECF5C7">
        <w:rPr>
          <w:rFonts w:ascii="Times New Roman" w:eastAsia="Times New Roman" w:hAnsi="Times New Roman" w:cs="Times New Roman"/>
          <w:color w:val="000000" w:themeColor="text1"/>
          <w:sz w:val="28"/>
          <w:szCs w:val="28"/>
          <w:lang w:val="en-US"/>
        </w:rPr>
        <w:t xml:space="preserve">.  </w:t>
      </w:r>
      <w:r w:rsidR="66A1E66E" w:rsidRPr="60ECF5C7">
        <w:rPr>
          <w:rFonts w:ascii="Times New Roman" w:eastAsia="Times New Roman" w:hAnsi="Times New Roman" w:cs="Times New Roman"/>
          <w:sz w:val="28"/>
          <w:szCs w:val="28"/>
        </w:rPr>
        <w:t>09.09.2022</w:t>
      </w:r>
    </w:p>
    <w:p w14:paraId="6581CB80"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lang w:val="en-US"/>
        </w:rPr>
        <w:t>European Court of Auditors, Special Report No 13 2013, EU Development Assistance to Central Asia (pursuant to Article 287(4), second subparagraph, TFEU)</w:t>
      </w:r>
      <w:r w:rsidR="148B63ED"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lang w:val="en-US"/>
        </w:rPr>
        <w:t xml:space="preserve"> </w:t>
      </w:r>
      <w:hyperlink r:id="rId41">
        <w:r w:rsidRPr="60ECF5C7">
          <w:rPr>
            <w:rStyle w:val="af1"/>
            <w:rFonts w:ascii="Times New Roman" w:eastAsia="Times New Roman" w:hAnsi="Times New Roman" w:cs="Times New Roman"/>
            <w:sz w:val="28"/>
            <w:szCs w:val="28"/>
            <w:lang w:val="en-US"/>
          </w:rPr>
          <w:t>https://www.eca.europa.eu/Lists/ECADocuments/SR13_13/QJAB13014</w:t>
        </w:r>
      </w:hyperlink>
      <w:r w:rsidR="7A3B0814" w:rsidRPr="008E6865">
        <w:rPr>
          <w:rFonts w:ascii="Times New Roman" w:eastAsia="Times New Roman" w:hAnsi="Times New Roman" w:cs="Times New Roman"/>
          <w:sz w:val="28"/>
          <w:szCs w:val="28"/>
          <w:lang w:val="en-US"/>
        </w:rPr>
        <w:t xml:space="preserve"> 09.09.2022</w:t>
      </w:r>
    </w:p>
    <w:p w14:paraId="5112A807"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lang w:val="en-US"/>
        </w:rPr>
        <w:t>Council conclusions on the EU Strategy for Central Asia Foreign Affairs Council, 22 June 2015</w:t>
      </w:r>
      <w:r w:rsidR="65024BCD" w:rsidRPr="60ECF5C7">
        <w:rPr>
          <w:rFonts w:ascii="Times New Roman" w:eastAsia="Times New Roman" w:hAnsi="Times New Roman" w:cs="Times New Roman"/>
          <w:color w:val="000000" w:themeColor="text1"/>
          <w:sz w:val="28"/>
          <w:szCs w:val="28"/>
          <w:lang w:val="en-US"/>
        </w:rPr>
        <w:t xml:space="preserve"> // </w:t>
      </w:r>
      <w:r w:rsidRPr="60ECF5C7">
        <w:rPr>
          <w:rFonts w:ascii="Times New Roman" w:eastAsia="Times New Roman" w:hAnsi="Times New Roman" w:cs="Times New Roman"/>
          <w:color w:val="000000" w:themeColor="text1"/>
          <w:sz w:val="28"/>
          <w:szCs w:val="28"/>
          <w:lang w:val="en-US"/>
        </w:rPr>
        <w:t xml:space="preserve"> </w:t>
      </w:r>
      <w:hyperlink r:id="rId42">
        <w:r w:rsidRPr="60ECF5C7">
          <w:rPr>
            <w:rStyle w:val="af1"/>
            <w:rFonts w:ascii="Times New Roman" w:eastAsia="Times New Roman" w:hAnsi="Times New Roman" w:cs="Times New Roman"/>
            <w:sz w:val="28"/>
            <w:szCs w:val="28"/>
            <w:lang w:val="en-US"/>
          </w:rPr>
          <w:t>https://data.consilium.europa.eu/doc/document</w:t>
        </w:r>
      </w:hyperlink>
      <w:r w:rsidRPr="60ECF5C7">
        <w:rPr>
          <w:rFonts w:ascii="Times New Roman" w:eastAsia="Times New Roman" w:hAnsi="Times New Roman" w:cs="Times New Roman"/>
          <w:color w:val="000000" w:themeColor="text1"/>
          <w:sz w:val="28"/>
          <w:szCs w:val="28"/>
          <w:lang w:val="en-US"/>
        </w:rPr>
        <w:t xml:space="preserve">. </w:t>
      </w:r>
      <w:r w:rsidR="2E834305" w:rsidRPr="60ECF5C7">
        <w:rPr>
          <w:rFonts w:ascii="Times New Roman" w:eastAsia="Times New Roman" w:hAnsi="Times New Roman" w:cs="Times New Roman"/>
          <w:sz w:val="28"/>
          <w:szCs w:val="28"/>
        </w:rPr>
        <w:t>09.09.2022</w:t>
      </w:r>
    </w:p>
    <w:p w14:paraId="7037DCCC" w14:textId="77777777" w:rsidR="2D9C780E" w:rsidRPr="008E6865"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 xml:space="preserve">Евросоюз выделил 20 миллионов евро на строительство ГЭС на Памире </w:t>
      </w:r>
      <w:r w:rsidR="4BD804E0" w:rsidRPr="60ECF5C7">
        <w:rPr>
          <w:rFonts w:ascii="Times New Roman" w:eastAsia="Times New Roman" w:hAnsi="Times New Roman" w:cs="Times New Roman"/>
          <w:color w:val="000000" w:themeColor="text1"/>
          <w:sz w:val="28"/>
          <w:szCs w:val="28"/>
        </w:rPr>
        <w:t xml:space="preserve">// </w:t>
      </w:r>
      <w:hyperlink r:id="rId43">
        <w:r w:rsidRPr="60ECF5C7">
          <w:rPr>
            <w:rStyle w:val="af1"/>
            <w:rFonts w:ascii="Times New Roman" w:eastAsia="Times New Roman" w:hAnsi="Times New Roman" w:cs="Times New Roman"/>
            <w:sz w:val="28"/>
            <w:szCs w:val="28"/>
          </w:rPr>
          <w:t>https://tj.sputniknews.ru/20190607/eu-stroitelstvo-gas-gornij</w:t>
        </w:r>
      </w:hyperlink>
      <w:r w:rsidR="3C8360DD" w:rsidRPr="60ECF5C7">
        <w:rPr>
          <w:rFonts w:ascii="Times New Roman" w:eastAsia="Times New Roman" w:hAnsi="Times New Roman" w:cs="Times New Roman"/>
          <w:sz w:val="28"/>
          <w:szCs w:val="28"/>
        </w:rPr>
        <w:t xml:space="preserve"> 09.09.2022</w:t>
      </w:r>
    </w:p>
    <w:p w14:paraId="1205AB6C" w14:textId="77777777" w:rsidR="2D9C780E" w:rsidRPr="008E6865"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rPr>
      </w:pPr>
      <w:r w:rsidRPr="60ECF5C7">
        <w:rPr>
          <w:rFonts w:ascii="Times New Roman" w:eastAsia="Times New Roman" w:hAnsi="Times New Roman" w:cs="Times New Roman"/>
          <w:color w:val="000000" w:themeColor="text1"/>
          <w:sz w:val="28"/>
          <w:szCs w:val="28"/>
        </w:rPr>
        <w:t xml:space="preserve">Показатели внешней торговли / Комитет государственных доходов Министерства финансов Республики Казахстан </w:t>
      </w:r>
      <w:r w:rsidR="455B7527" w:rsidRPr="60ECF5C7">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rPr>
        <w:t xml:space="preserve"> </w:t>
      </w:r>
      <w:hyperlink r:id="rId44">
        <w:r w:rsidRPr="60ECF5C7">
          <w:rPr>
            <w:rStyle w:val="af1"/>
            <w:rFonts w:ascii="Times New Roman" w:eastAsia="Times New Roman" w:hAnsi="Times New Roman" w:cs="Times New Roman"/>
            <w:sz w:val="28"/>
            <w:szCs w:val="28"/>
          </w:rPr>
          <w:t>https://kgd.gov.kz/ru/exp_trade_files</w:t>
        </w:r>
      </w:hyperlink>
      <w:r w:rsidR="712F9C81" w:rsidRPr="60ECF5C7">
        <w:rPr>
          <w:rFonts w:ascii="Times New Roman" w:eastAsia="Times New Roman" w:hAnsi="Times New Roman" w:cs="Times New Roman"/>
          <w:sz w:val="28"/>
          <w:szCs w:val="28"/>
        </w:rPr>
        <w:t>09.09.2022</w:t>
      </w:r>
    </w:p>
    <w:p w14:paraId="6606BB65"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rPr>
        <w:t xml:space="preserve">Прямые инвестиции по направлению вложения / Национальный Банк Республики Казахстан </w:t>
      </w:r>
      <w:r w:rsidR="46AB8E8A" w:rsidRPr="60ECF5C7">
        <w:rPr>
          <w:rFonts w:ascii="Times New Roman" w:eastAsia="Times New Roman" w:hAnsi="Times New Roman" w:cs="Times New Roman"/>
          <w:color w:val="000000" w:themeColor="text1"/>
          <w:sz w:val="28"/>
          <w:szCs w:val="28"/>
        </w:rPr>
        <w:t xml:space="preserve">// </w:t>
      </w:r>
      <w:hyperlink r:id="rId45">
        <w:r w:rsidRPr="60ECF5C7">
          <w:rPr>
            <w:rStyle w:val="af1"/>
            <w:rFonts w:ascii="Times New Roman" w:eastAsia="Times New Roman" w:hAnsi="Times New Roman" w:cs="Times New Roman"/>
            <w:sz w:val="28"/>
            <w:szCs w:val="28"/>
          </w:rPr>
          <w:t>https://nationalbank.kz/ru/news/pryamye-investicii-ponapravleniyu-vlozheniya</w:t>
        </w:r>
      </w:hyperlink>
      <w:r w:rsidRPr="60ECF5C7">
        <w:rPr>
          <w:rFonts w:ascii="Times New Roman" w:eastAsia="Times New Roman" w:hAnsi="Times New Roman" w:cs="Times New Roman"/>
          <w:color w:val="000000" w:themeColor="text1"/>
          <w:sz w:val="28"/>
          <w:szCs w:val="28"/>
        </w:rPr>
        <w:t xml:space="preserve">. </w:t>
      </w:r>
      <w:r w:rsidR="026FACAC" w:rsidRPr="60ECF5C7">
        <w:rPr>
          <w:rFonts w:ascii="Times New Roman" w:eastAsia="Times New Roman" w:hAnsi="Times New Roman" w:cs="Times New Roman"/>
          <w:sz w:val="28"/>
          <w:szCs w:val="28"/>
        </w:rPr>
        <w:t>09.09.2022</w:t>
      </w:r>
    </w:p>
    <w:p w14:paraId="2F1A0E8E"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lang w:val="en-US"/>
        </w:rPr>
        <w:t xml:space="preserve">Evaluation of EU regional-level support to Central Asia (2007-2014): Final Report. – 2016. – Vol. 3 / European Commission // </w:t>
      </w:r>
      <w:hyperlink r:id="rId46">
        <w:r w:rsidRPr="60ECF5C7">
          <w:rPr>
            <w:rStyle w:val="af1"/>
            <w:rFonts w:ascii="Times New Roman" w:eastAsia="Times New Roman" w:hAnsi="Times New Roman" w:cs="Times New Roman"/>
            <w:sz w:val="28"/>
            <w:szCs w:val="28"/>
            <w:lang w:val="en-US"/>
          </w:rPr>
          <w:t>https://ec.europa.eu/</w:t>
        </w:r>
      </w:hyperlink>
      <w:r w:rsidRPr="60ECF5C7">
        <w:rPr>
          <w:rFonts w:ascii="Times New Roman" w:eastAsia="Times New Roman" w:hAnsi="Times New Roman" w:cs="Times New Roman"/>
          <w:color w:val="000000" w:themeColor="text1"/>
          <w:sz w:val="28"/>
          <w:szCs w:val="28"/>
          <w:lang w:val="en-US"/>
        </w:rPr>
        <w:t xml:space="preserve"> international-partnerships/system/files/evaluation-central-asia-volume3. </w:t>
      </w:r>
      <w:r w:rsidR="12AD694E" w:rsidRPr="60ECF5C7">
        <w:rPr>
          <w:rFonts w:ascii="Times New Roman" w:eastAsia="Times New Roman" w:hAnsi="Times New Roman" w:cs="Times New Roman"/>
          <w:sz w:val="28"/>
          <w:szCs w:val="28"/>
        </w:rPr>
        <w:t>09.09.2022</w:t>
      </w:r>
    </w:p>
    <w:p w14:paraId="7733239D" w14:textId="77777777" w:rsidR="2D9C780E" w:rsidRDefault="2D9C780E" w:rsidP="60ECF5C7">
      <w:pPr>
        <w:pStyle w:val="ae"/>
        <w:numPr>
          <w:ilvl w:val="0"/>
          <w:numId w:val="21"/>
        </w:numPr>
        <w:spacing w:after="0" w:line="240" w:lineRule="auto"/>
        <w:ind w:left="0" w:firstLine="709"/>
        <w:jc w:val="both"/>
        <w:rPr>
          <w:rFonts w:ascii="Times New Roman" w:eastAsia="Times New Roman" w:hAnsi="Times New Roman" w:cs="Times New Roman"/>
          <w:sz w:val="28"/>
          <w:szCs w:val="28"/>
          <w:lang w:val="en-US"/>
        </w:rPr>
      </w:pPr>
      <w:r w:rsidRPr="60ECF5C7">
        <w:rPr>
          <w:rFonts w:ascii="Times New Roman" w:eastAsia="Times New Roman" w:hAnsi="Times New Roman" w:cs="Times New Roman"/>
          <w:color w:val="000000" w:themeColor="text1"/>
          <w:sz w:val="28"/>
          <w:szCs w:val="28"/>
          <w:lang w:val="en-US"/>
        </w:rPr>
        <w:t xml:space="preserve"> IFCA Investment Facility for Central Asia: 2016 Operational Report // </w:t>
      </w:r>
      <w:hyperlink r:id="rId47">
        <w:r w:rsidRPr="60ECF5C7">
          <w:rPr>
            <w:rStyle w:val="af1"/>
            <w:rFonts w:ascii="Times New Roman" w:eastAsia="Times New Roman" w:hAnsi="Times New Roman" w:cs="Times New Roman"/>
            <w:sz w:val="28"/>
            <w:szCs w:val="28"/>
            <w:lang w:val="en-US"/>
          </w:rPr>
          <w:t>https://ec.europa.eu/europeaid/regions/central-asia/investment-facility</w:t>
        </w:r>
      </w:hyperlink>
      <w:r w:rsidRPr="60ECF5C7">
        <w:rPr>
          <w:rFonts w:ascii="Times New Roman" w:eastAsia="Times New Roman" w:hAnsi="Times New Roman" w:cs="Times New Roman"/>
          <w:color w:val="000000" w:themeColor="text1"/>
          <w:sz w:val="28"/>
          <w:szCs w:val="28"/>
          <w:lang w:val="en-US"/>
        </w:rPr>
        <w:t>.</w:t>
      </w:r>
      <w:r w:rsidR="37F55D96" w:rsidRPr="008E6865">
        <w:rPr>
          <w:rFonts w:ascii="Times New Roman" w:eastAsia="Times New Roman" w:hAnsi="Times New Roman" w:cs="Times New Roman"/>
          <w:sz w:val="28"/>
          <w:szCs w:val="28"/>
          <w:lang w:val="en-US"/>
        </w:rPr>
        <w:t>09.09.2022</w:t>
      </w:r>
    </w:p>
    <w:p w14:paraId="476E7D52"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Приоритеты развития ЕС в Центральной Азию</w:t>
      </w:r>
      <w:r w:rsidR="78CEC6C7"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48">
        <w:r w:rsidRPr="60ECF5C7">
          <w:rPr>
            <w:rStyle w:val="af1"/>
            <w:rFonts w:ascii="Times New Roman" w:eastAsia="Times New Roman" w:hAnsi="Times New Roman" w:cs="Times New Roman"/>
            <w:sz w:val="28"/>
            <w:szCs w:val="28"/>
          </w:rPr>
          <w:t>https://www.eeas.europa.eu/eeas/%D0%BF%D1%80%D0%B8%D0%BE%D1%80%D0%B8%D1%82%D0%B5%D1%82%D1%8B-%D1%80%D0%B0%D0%B7%D0%B2%D0%B8%D1%82%D0%B8%D1%8F-%D0%B5%D1%81-%D0%B2-%D1%86%D0%B5%D0%BD%D1%82%D1%80%D0%B0%D0%BB%D1%8C%D0%BD%D0%BE%D0%B9-%D0%B0%D0%B7%D0%B8%D0%B8_ru</w:t>
        </w:r>
      </w:hyperlink>
      <w:r w:rsidRPr="60ECF5C7">
        <w:rPr>
          <w:rFonts w:ascii="Times New Roman" w:eastAsia="Times New Roman" w:hAnsi="Times New Roman" w:cs="Times New Roman"/>
          <w:color w:val="000000" w:themeColor="text1"/>
          <w:sz w:val="28"/>
          <w:szCs w:val="28"/>
        </w:rPr>
        <w:t xml:space="preserve"> </w:t>
      </w:r>
      <w:r w:rsidR="4737F45F" w:rsidRPr="60ECF5C7">
        <w:rPr>
          <w:rFonts w:ascii="Times New Roman" w:eastAsia="Times New Roman" w:hAnsi="Times New Roman" w:cs="Times New Roman"/>
          <w:color w:val="000000" w:themeColor="text1"/>
          <w:sz w:val="28"/>
          <w:szCs w:val="28"/>
        </w:rPr>
        <w:t>22.04.2023</w:t>
      </w:r>
    </w:p>
    <w:p w14:paraId="4CAF8517"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Прохоренко И. Новая стратегия Европейского союза в Центральной Азии: возможности и пределы “мягкой силы”</w:t>
      </w:r>
      <w:r w:rsidR="1ED866FD" w:rsidRPr="60ECF5C7">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 xml:space="preserve"> </w:t>
      </w:r>
      <w:hyperlink r:id="rId49">
        <w:r w:rsidRPr="60ECF5C7">
          <w:rPr>
            <w:rStyle w:val="af1"/>
            <w:rFonts w:ascii="Times New Roman" w:eastAsia="Times New Roman" w:hAnsi="Times New Roman" w:cs="Times New Roman"/>
            <w:sz w:val="28"/>
            <w:szCs w:val="28"/>
          </w:rPr>
          <w:t>https://www.afjournal.ru/2019/4/world-politics/the-european-unions-new-central-asia-strategy-possibilities-and-limits-of-soft-power</w:t>
        </w:r>
      </w:hyperlink>
      <w:r w:rsidR="375E521F" w:rsidRPr="60ECF5C7">
        <w:rPr>
          <w:rFonts w:ascii="Times New Roman" w:eastAsia="Times New Roman" w:hAnsi="Times New Roman" w:cs="Times New Roman"/>
          <w:color w:val="000000" w:themeColor="text1"/>
          <w:sz w:val="28"/>
          <w:szCs w:val="28"/>
        </w:rPr>
        <w:t>22.04.2023</w:t>
      </w:r>
    </w:p>
    <w:p w14:paraId="27002666"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rPr>
        <w:t>Данные</w:t>
      </w:r>
      <w:r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rPr>
        <w:t>Агентства</w:t>
      </w:r>
      <w:r w:rsidRPr="60ECF5C7">
        <w:rPr>
          <w:rFonts w:ascii="Times New Roman" w:eastAsia="Times New Roman" w:hAnsi="Times New Roman" w:cs="Times New Roman"/>
          <w:color w:val="000000" w:themeColor="text1"/>
          <w:sz w:val="28"/>
          <w:szCs w:val="28"/>
          <w:lang w:val="en-US"/>
        </w:rPr>
        <w:t xml:space="preserve"> Eurostat </w:t>
      </w:r>
      <w:r w:rsidR="6F1195E6" w:rsidRPr="60ECF5C7">
        <w:rPr>
          <w:rFonts w:ascii="Times New Roman" w:eastAsia="Times New Roman" w:hAnsi="Times New Roman" w:cs="Times New Roman"/>
          <w:color w:val="000000" w:themeColor="text1"/>
          <w:sz w:val="28"/>
          <w:szCs w:val="28"/>
          <w:lang w:val="en-US"/>
        </w:rPr>
        <w:t xml:space="preserve">// </w:t>
      </w:r>
      <w:hyperlink r:id="rId50">
        <w:r w:rsidRPr="60ECF5C7">
          <w:rPr>
            <w:rStyle w:val="af1"/>
            <w:rFonts w:ascii="Times New Roman" w:eastAsia="Times New Roman" w:hAnsi="Times New Roman" w:cs="Times New Roman"/>
            <w:sz w:val="28"/>
            <w:szCs w:val="28"/>
            <w:lang w:val="en-US"/>
          </w:rPr>
          <w:t>https://ec.europa.eu/eurostat/</w:t>
        </w:r>
      </w:hyperlink>
      <w:r w:rsidRPr="60ECF5C7">
        <w:rPr>
          <w:rFonts w:ascii="Times New Roman" w:eastAsia="Times New Roman" w:hAnsi="Times New Roman" w:cs="Times New Roman"/>
          <w:color w:val="000000" w:themeColor="text1"/>
          <w:sz w:val="28"/>
          <w:szCs w:val="28"/>
          <w:lang w:val="en-US"/>
        </w:rPr>
        <w:t xml:space="preserve"> databrowser/view/ext_lt_maineu/default/table?lang=en.  </w:t>
      </w:r>
      <w:r w:rsidR="74895029" w:rsidRPr="60ECF5C7">
        <w:rPr>
          <w:rFonts w:ascii="Times New Roman" w:eastAsia="Times New Roman" w:hAnsi="Times New Roman" w:cs="Times New Roman"/>
          <w:color w:val="000000" w:themeColor="text1"/>
          <w:sz w:val="28"/>
          <w:szCs w:val="28"/>
        </w:rPr>
        <w:t>22.04.2023</w:t>
      </w:r>
    </w:p>
    <w:p w14:paraId="0794CB96" w14:textId="77777777" w:rsidR="2D9C780E" w:rsidRPr="008E6865"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 xml:space="preserve">Европейский Союз и Таджикистан обсуждают дополнительные торговые преференции для Таджикистана </w:t>
      </w:r>
      <w:r w:rsidR="0F6BCA40" w:rsidRPr="60ECF5C7">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rPr>
        <w:t xml:space="preserve"> </w:t>
      </w:r>
      <w:hyperlink r:id="rId51">
        <w:r w:rsidRPr="60ECF5C7">
          <w:rPr>
            <w:rStyle w:val="af1"/>
            <w:rFonts w:ascii="Times New Roman" w:eastAsia="Times New Roman" w:hAnsi="Times New Roman" w:cs="Times New Roman"/>
            <w:sz w:val="28"/>
            <w:szCs w:val="28"/>
          </w:rPr>
          <w:t>https://eeas.europa.eu/delegations/unnew-york/58201/европейский-союз-и-таджикистан-обсуждают</w:t>
        </w:r>
      </w:hyperlink>
      <w:r w:rsidR="73D8CDD7" w:rsidRPr="60ECF5C7">
        <w:rPr>
          <w:rFonts w:ascii="Times New Roman" w:eastAsia="Times New Roman" w:hAnsi="Times New Roman" w:cs="Times New Roman"/>
          <w:color w:val="000000" w:themeColor="text1"/>
          <w:sz w:val="28"/>
          <w:szCs w:val="28"/>
        </w:rPr>
        <w:t>22.04.2023</w:t>
      </w:r>
    </w:p>
    <w:p w14:paraId="574578A0" w14:textId="77777777" w:rsidR="2D9C780E" w:rsidRPr="008E6865"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Отношения</w:t>
      </w:r>
      <w:r w:rsidRPr="008E6865">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между</w:t>
      </w:r>
      <w:r w:rsidRPr="008E6865">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ЕС</w:t>
      </w:r>
      <w:r w:rsidRPr="008E6865">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и</w:t>
      </w:r>
      <w:r w:rsidRPr="008E6865">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rPr>
        <w:t>Таджикистаном</w:t>
      </w:r>
      <w:r w:rsidRPr="008E6865">
        <w:rPr>
          <w:rFonts w:ascii="Times New Roman" w:eastAsia="Times New Roman" w:hAnsi="Times New Roman" w:cs="Times New Roman"/>
          <w:color w:val="000000" w:themeColor="text1"/>
          <w:sz w:val="28"/>
          <w:szCs w:val="28"/>
        </w:rPr>
        <w:t xml:space="preserve"> </w:t>
      </w:r>
      <w:r w:rsidR="1CC78DBF" w:rsidRPr="008E6865">
        <w:rPr>
          <w:rFonts w:ascii="Times New Roman" w:eastAsia="Times New Roman" w:hAnsi="Times New Roman" w:cs="Times New Roman"/>
          <w:color w:val="000000" w:themeColor="text1"/>
          <w:sz w:val="28"/>
          <w:szCs w:val="28"/>
        </w:rPr>
        <w:t>//</w:t>
      </w:r>
      <w:r w:rsidRPr="008E6865">
        <w:rPr>
          <w:rFonts w:ascii="Times New Roman" w:eastAsia="Times New Roman" w:hAnsi="Times New Roman" w:cs="Times New Roman"/>
          <w:color w:val="000000" w:themeColor="text1"/>
          <w:sz w:val="28"/>
          <w:szCs w:val="28"/>
        </w:rPr>
        <w:t xml:space="preserve"> </w:t>
      </w:r>
      <w:hyperlink r:id="rId52">
        <w:r w:rsidRPr="60ECF5C7">
          <w:rPr>
            <w:rStyle w:val="af1"/>
            <w:rFonts w:ascii="Times New Roman" w:eastAsia="Times New Roman" w:hAnsi="Times New Roman" w:cs="Times New Roman"/>
            <w:sz w:val="28"/>
            <w:szCs w:val="28"/>
            <w:lang w:val="en-US"/>
          </w:rPr>
          <w:t>https</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eeas</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europa</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eu</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sites</w:t>
        </w:r>
        <w:r w:rsidRPr="008E6865">
          <w:rPr>
            <w:rStyle w:val="af1"/>
            <w:rFonts w:ascii="Times New Roman" w:eastAsia="Times New Roman" w:hAnsi="Times New Roman" w:cs="Times New Roman"/>
            <w:sz w:val="28"/>
            <w:szCs w:val="28"/>
          </w:rPr>
          <w:t>/</w:t>
        </w:r>
      </w:hyperlink>
      <w:r w:rsidRPr="008E6865">
        <w:rPr>
          <w:rFonts w:ascii="Times New Roman" w:eastAsia="Times New Roman" w:hAnsi="Times New Roman" w:cs="Times New Roman"/>
          <w:color w:val="000000" w:themeColor="text1"/>
          <w:sz w:val="28"/>
          <w:szCs w:val="28"/>
        </w:rPr>
        <w:t xml:space="preserve"> </w:t>
      </w:r>
      <w:r w:rsidRPr="60ECF5C7">
        <w:rPr>
          <w:rFonts w:ascii="Times New Roman" w:eastAsia="Times New Roman" w:hAnsi="Times New Roman" w:cs="Times New Roman"/>
          <w:color w:val="000000" w:themeColor="text1"/>
          <w:sz w:val="28"/>
          <w:szCs w:val="28"/>
          <w:lang w:val="en-US"/>
        </w:rPr>
        <w:t>default</w:t>
      </w:r>
      <w:r w:rsidRPr="008E6865">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lang w:val="en-US"/>
        </w:rPr>
        <w:t>files</w:t>
      </w:r>
      <w:r w:rsidRPr="008E6865">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lang w:val="en-US"/>
        </w:rPr>
        <w:t>eeas</w:t>
      </w:r>
      <w:r w:rsidRPr="008E6865">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lang w:val="en-US"/>
        </w:rPr>
        <w:t>ca</w:t>
      </w:r>
      <w:r w:rsidRPr="008E6865">
        <w:rPr>
          <w:rFonts w:ascii="Times New Roman" w:eastAsia="Times New Roman" w:hAnsi="Times New Roman" w:cs="Times New Roman"/>
          <w:color w:val="000000" w:themeColor="text1"/>
          <w:sz w:val="28"/>
          <w:szCs w:val="28"/>
        </w:rPr>
        <w:t>_</w:t>
      </w:r>
      <w:r w:rsidRPr="60ECF5C7">
        <w:rPr>
          <w:rFonts w:ascii="Times New Roman" w:eastAsia="Times New Roman" w:hAnsi="Times New Roman" w:cs="Times New Roman"/>
          <w:color w:val="000000" w:themeColor="text1"/>
          <w:sz w:val="28"/>
          <w:szCs w:val="28"/>
          <w:lang w:val="en-US"/>
        </w:rPr>
        <w:t>ministerial</w:t>
      </w:r>
      <w:r w:rsidRPr="008E6865">
        <w:rPr>
          <w:rFonts w:ascii="Times New Roman" w:eastAsia="Times New Roman" w:hAnsi="Times New Roman" w:cs="Times New Roman"/>
          <w:color w:val="000000" w:themeColor="text1"/>
          <w:sz w:val="28"/>
          <w:szCs w:val="28"/>
        </w:rPr>
        <w:t>_</w:t>
      </w:r>
      <w:r w:rsidRPr="60ECF5C7">
        <w:rPr>
          <w:rFonts w:ascii="Times New Roman" w:eastAsia="Times New Roman" w:hAnsi="Times New Roman" w:cs="Times New Roman"/>
          <w:color w:val="000000" w:themeColor="text1"/>
          <w:sz w:val="28"/>
          <w:szCs w:val="28"/>
          <w:lang w:val="en-US"/>
        </w:rPr>
        <w:t>factsheets</w:t>
      </w:r>
      <w:r w:rsidRPr="008E6865">
        <w:rPr>
          <w:rFonts w:ascii="Times New Roman" w:eastAsia="Times New Roman" w:hAnsi="Times New Roman" w:cs="Times New Roman"/>
          <w:color w:val="000000" w:themeColor="text1"/>
          <w:sz w:val="28"/>
          <w:szCs w:val="28"/>
        </w:rPr>
        <w:t>-2020-</w:t>
      </w:r>
      <w:r w:rsidRPr="60ECF5C7">
        <w:rPr>
          <w:rFonts w:ascii="Times New Roman" w:eastAsia="Times New Roman" w:hAnsi="Times New Roman" w:cs="Times New Roman"/>
          <w:color w:val="000000" w:themeColor="text1"/>
          <w:sz w:val="28"/>
          <w:szCs w:val="28"/>
          <w:lang w:val="en-US"/>
        </w:rPr>
        <w:t>tajikistan</w:t>
      </w:r>
      <w:r w:rsidRPr="008E6865">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lang w:val="en-US"/>
        </w:rPr>
        <w:t>ru</w:t>
      </w:r>
      <w:r w:rsidRPr="008E6865">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lang w:val="en-US"/>
        </w:rPr>
        <w:t>lr</w:t>
      </w:r>
      <w:r w:rsidRPr="008E6865">
        <w:rPr>
          <w:rFonts w:ascii="Times New Roman" w:eastAsia="Times New Roman" w:hAnsi="Times New Roman" w:cs="Times New Roman"/>
          <w:color w:val="000000" w:themeColor="text1"/>
          <w:sz w:val="28"/>
          <w:szCs w:val="28"/>
        </w:rPr>
        <w:t>.</w:t>
      </w:r>
      <w:r w:rsidRPr="60ECF5C7">
        <w:rPr>
          <w:rFonts w:ascii="Times New Roman" w:eastAsia="Times New Roman" w:hAnsi="Times New Roman" w:cs="Times New Roman"/>
          <w:color w:val="000000" w:themeColor="text1"/>
          <w:sz w:val="28"/>
          <w:szCs w:val="28"/>
          <w:lang w:val="en-US"/>
        </w:rPr>
        <w:t>pdf</w:t>
      </w:r>
      <w:r w:rsidRPr="008E6865">
        <w:rPr>
          <w:rFonts w:ascii="Times New Roman" w:eastAsia="Times New Roman" w:hAnsi="Times New Roman" w:cs="Times New Roman"/>
          <w:color w:val="000000" w:themeColor="text1"/>
          <w:sz w:val="28"/>
          <w:szCs w:val="28"/>
        </w:rPr>
        <w:t xml:space="preserve">. </w:t>
      </w:r>
      <w:r w:rsidR="36CEB4C7" w:rsidRPr="60ECF5C7">
        <w:rPr>
          <w:rFonts w:ascii="Times New Roman" w:eastAsia="Times New Roman" w:hAnsi="Times New Roman" w:cs="Times New Roman"/>
          <w:color w:val="000000" w:themeColor="text1"/>
          <w:sz w:val="28"/>
          <w:szCs w:val="28"/>
        </w:rPr>
        <w:t>22.04.2023</w:t>
      </w:r>
    </w:p>
    <w:p w14:paraId="78D20F0B"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rPr>
        <w:t xml:space="preserve">Мэрилин Йосефсон: ЕС может служить примером для региональной интеграции Центральной Азии // </w:t>
      </w:r>
      <w:hyperlink r:id="rId53">
        <w:r w:rsidRPr="60ECF5C7">
          <w:rPr>
            <w:rStyle w:val="af1"/>
            <w:rFonts w:ascii="Times New Roman" w:eastAsia="Times New Roman" w:hAnsi="Times New Roman" w:cs="Times New Roman"/>
            <w:sz w:val="28"/>
            <w:szCs w:val="28"/>
          </w:rPr>
          <w:t>https://cabar.asia/ru/merilin-josefson-es-mozhetsluzhit-primerom-dlya-regionalnoj-integratsii-tsentralnoj-azii</w:t>
        </w:r>
      </w:hyperlink>
      <w:r w:rsidRPr="60ECF5C7">
        <w:rPr>
          <w:rFonts w:ascii="Times New Roman" w:eastAsia="Times New Roman" w:hAnsi="Times New Roman" w:cs="Times New Roman"/>
          <w:color w:val="000000" w:themeColor="text1"/>
          <w:sz w:val="28"/>
          <w:szCs w:val="28"/>
        </w:rPr>
        <w:t xml:space="preserve">. </w:t>
      </w:r>
      <w:r w:rsidR="34E689F2" w:rsidRPr="60ECF5C7">
        <w:rPr>
          <w:rFonts w:ascii="Times New Roman" w:eastAsia="Times New Roman" w:hAnsi="Times New Roman" w:cs="Times New Roman"/>
          <w:color w:val="000000" w:themeColor="text1"/>
          <w:sz w:val="28"/>
          <w:szCs w:val="28"/>
        </w:rPr>
        <w:t>22.04.2023</w:t>
      </w:r>
    </w:p>
    <w:p w14:paraId="4539F20F"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rPr>
        <w:t xml:space="preserve">Почему затягивается подписание нового соглашения между Кыргызстаном и Евросоюзом? Радио «Азаттык» // </w:t>
      </w:r>
      <w:hyperlink r:id="rId54">
        <w:r w:rsidRPr="60ECF5C7">
          <w:rPr>
            <w:rStyle w:val="af1"/>
            <w:rFonts w:ascii="Times New Roman" w:eastAsia="Times New Roman" w:hAnsi="Times New Roman" w:cs="Times New Roman"/>
            <w:sz w:val="28"/>
            <w:szCs w:val="28"/>
          </w:rPr>
          <w:t>https://rus.azattyk.org/a/</w:t>
        </w:r>
      </w:hyperlink>
      <w:r w:rsidRPr="60ECF5C7">
        <w:rPr>
          <w:rFonts w:ascii="Times New Roman" w:eastAsia="Times New Roman" w:hAnsi="Times New Roman" w:cs="Times New Roman"/>
          <w:color w:val="000000" w:themeColor="text1"/>
          <w:sz w:val="28"/>
          <w:szCs w:val="28"/>
        </w:rPr>
        <w:t xml:space="preserve"> zatyagivaetsa-podpisanie-novogo-soglasheniya-kyrgyzstan-i-evrosoyuz. </w:t>
      </w:r>
      <w:r w:rsidR="639CE03F" w:rsidRPr="60ECF5C7">
        <w:rPr>
          <w:rFonts w:ascii="Times New Roman" w:eastAsia="Times New Roman" w:hAnsi="Times New Roman" w:cs="Times New Roman"/>
          <w:color w:val="000000" w:themeColor="text1"/>
          <w:sz w:val="28"/>
          <w:szCs w:val="28"/>
        </w:rPr>
        <w:t>22.04.2023</w:t>
      </w:r>
    </w:p>
    <w:p w14:paraId="6B13A1E6"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rPr>
        <w:t xml:space="preserve">В Бишкеке открылось официальное представительство Европейского Союза // </w:t>
      </w:r>
      <w:hyperlink r:id="rId55">
        <w:r w:rsidRPr="60ECF5C7">
          <w:rPr>
            <w:rStyle w:val="af1"/>
            <w:rFonts w:ascii="Times New Roman" w:eastAsia="Times New Roman" w:hAnsi="Times New Roman" w:cs="Times New Roman"/>
            <w:sz w:val="28"/>
            <w:szCs w:val="28"/>
          </w:rPr>
          <w:t>https://www.dw.com/ru/в-бишкеке-открылось</w:t>
        </w:r>
      </w:hyperlink>
      <w:r w:rsidRPr="60ECF5C7">
        <w:rPr>
          <w:rFonts w:ascii="Times New Roman" w:eastAsia="Times New Roman" w:hAnsi="Times New Roman" w:cs="Times New Roman"/>
          <w:color w:val="000000" w:themeColor="text1"/>
          <w:sz w:val="28"/>
          <w:szCs w:val="28"/>
        </w:rPr>
        <w:t xml:space="preserve">. </w:t>
      </w:r>
      <w:r w:rsidR="1D20960E" w:rsidRPr="60ECF5C7">
        <w:rPr>
          <w:rFonts w:ascii="Times New Roman" w:eastAsia="Times New Roman" w:hAnsi="Times New Roman" w:cs="Times New Roman"/>
          <w:color w:val="000000" w:themeColor="text1"/>
          <w:sz w:val="28"/>
          <w:szCs w:val="28"/>
        </w:rPr>
        <w:t>22.04.2023</w:t>
      </w:r>
    </w:p>
    <w:p w14:paraId="15D377B4"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rPr>
        <w:t xml:space="preserve">30 афганских студенток прибыли в Казахстан для поступления в вузы по проекту ЕС, 18 октября 2019 // </w:t>
      </w:r>
      <w:hyperlink r:id="rId56">
        <w:r w:rsidRPr="60ECF5C7">
          <w:rPr>
            <w:rStyle w:val="af1"/>
            <w:rFonts w:ascii="Times New Roman" w:eastAsia="Times New Roman" w:hAnsi="Times New Roman" w:cs="Times New Roman"/>
            <w:sz w:val="28"/>
            <w:szCs w:val="28"/>
          </w:rPr>
          <w:t>https://informburo.kz/novosti/30-afganskihstudentok-pribyli-v-kazahstan-dlya-postupleniya-v-vuzy-po-proektu-es</w:t>
        </w:r>
      </w:hyperlink>
      <w:r w:rsidRPr="60ECF5C7">
        <w:rPr>
          <w:rFonts w:ascii="Times New Roman" w:eastAsia="Times New Roman" w:hAnsi="Times New Roman" w:cs="Times New Roman"/>
          <w:color w:val="000000" w:themeColor="text1"/>
          <w:sz w:val="28"/>
          <w:szCs w:val="28"/>
        </w:rPr>
        <w:t xml:space="preserve">.. </w:t>
      </w:r>
      <w:r w:rsidR="17EEA5D8" w:rsidRPr="60ECF5C7">
        <w:rPr>
          <w:rFonts w:ascii="Times New Roman" w:eastAsia="Times New Roman" w:hAnsi="Times New Roman" w:cs="Times New Roman"/>
          <w:color w:val="000000" w:themeColor="text1"/>
          <w:sz w:val="28"/>
          <w:szCs w:val="28"/>
        </w:rPr>
        <w:t>22.04.2023</w:t>
      </w:r>
    </w:p>
    <w:p w14:paraId="023AFA91"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rPr>
        <w:t xml:space="preserve"> Казахстан и ЕС подписали новое Соглашение о расширенном партнерстве 21 декабря 2015 // </w:t>
      </w:r>
      <w:hyperlink r:id="rId57">
        <w:r w:rsidRPr="60ECF5C7">
          <w:rPr>
            <w:rStyle w:val="af1"/>
            <w:rFonts w:ascii="Times New Roman" w:eastAsia="Times New Roman" w:hAnsi="Times New Roman" w:cs="Times New Roman"/>
            <w:sz w:val="28"/>
            <w:szCs w:val="28"/>
          </w:rPr>
          <w:t>https://www.inform.kz/ru/kazahstan-i-es-podpisalinovoe-soglashenie-o-rasshirennom-partnerstve_a2852216</w:t>
        </w:r>
      </w:hyperlink>
      <w:r w:rsidRPr="60ECF5C7">
        <w:rPr>
          <w:rFonts w:ascii="Times New Roman" w:eastAsia="Times New Roman" w:hAnsi="Times New Roman" w:cs="Times New Roman"/>
          <w:color w:val="000000" w:themeColor="text1"/>
          <w:sz w:val="28"/>
          <w:szCs w:val="28"/>
        </w:rPr>
        <w:t xml:space="preserve">. </w:t>
      </w:r>
      <w:r w:rsidR="4733FCDD" w:rsidRPr="60ECF5C7">
        <w:rPr>
          <w:rFonts w:ascii="Times New Roman" w:eastAsia="Times New Roman" w:hAnsi="Times New Roman" w:cs="Times New Roman"/>
          <w:color w:val="000000" w:themeColor="text1"/>
          <w:sz w:val="28"/>
          <w:szCs w:val="28"/>
        </w:rPr>
        <w:t>22.04.2023</w:t>
      </w:r>
    </w:p>
    <w:p w14:paraId="15267E46"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 xml:space="preserve">Latvian Presidency to organise conference on EU-Central Asia cooperation in Brussels, 28 January 2015 // </w:t>
      </w:r>
      <w:hyperlink r:id="rId58">
        <w:r w:rsidRPr="60ECF5C7">
          <w:rPr>
            <w:rStyle w:val="af1"/>
            <w:rFonts w:ascii="Times New Roman" w:eastAsia="Times New Roman" w:hAnsi="Times New Roman" w:cs="Times New Roman"/>
            <w:sz w:val="28"/>
            <w:szCs w:val="28"/>
            <w:lang w:val="en-US"/>
          </w:rPr>
          <w:t>https://eu2015.lv/news/media-releases/455-latvia-seu-presidency-has-organised-a-conference-on-eu-central-asia</w:t>
        </w:r>
      </w:hyperlink>
      <w:r w:rsidRPr="60ECF5C7">
        <w:rPr>
          <w:rFonts w:ascii="Times New Roman" w:eastAsia="Times New Roman" w:hAnsi="Times New Roman" w:cs="Times New Roman"/>
          <w:color w:val="000000" w:themeColor="text1"/>
          <w:sz w:val="28"/>
          <w:szCs w:val="28"/>
          <w:lang w:val="en-US"/>
        </w:rPr>
        <w:t xml:space="preserve">. </w:t>
      </w:r>
      <w:r w:rsidR="25DB0433" w:rsidRPr="60ECF5C7">
        <w:rPr>
          <w:rFonts w:ascii="Times New Roman" w:eastAsia="Times New Roman" w:hAnsi="Times New Roman" w:cs="Times New Roman"/>
          <w:color w:val="000000" w:themeColor="text1"/>
          <w:sz w:val="28"/>
          <w:szCs w:val="28"/>
        </w:rPr>
        <w:t>22.04.2023</w:t>
      </w:r>
    </w:p>
    <w:p w14:paraId="3765C0BF"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 xml:space="preserve">Top 10 Achievements of the Eastern Partnership in the last 10 Years // </w:t>
      </w:r>
      <w:hyperlink r:id="rId59">
        <w:r w:rsidRPr="60ECF5C7">
          <w:rPr>
            <w:rStyle w:val="af1"/>
            <w:rFonts w:ascii="Times New Roman" w:eastAsia="Times New Roman" w:hAnsi="Times New Roman" w:cs="Times New Roman"/>
            <w:sz w:val="28"/>
            <w:szCs w:val="28"/>
            <w:lang w:val="en-US"/>
          </w:rPr>
          <w:t>https://www.euneighbours.eu/sites/default/files/publications/</w:t>
        </w:r>
      </w:hyperlink>
      <w:r w:rsidRPr="60ECF5C7">
        <w:rPr>
          <w:rFonts w:ascii="Times New Roman" w:eastAsia="Times New Roman" w:hAnsi="Times New Roman" w:cs="Times New Roman"/>
          <w:color w:val="000000" w:themeColor="text1"/>
          <w:sz w:val="28"/>
          <w:szCs w:val="28"/>
          <w:lang w:val="en-US"/>
        </w:rPr>
        <w:t xml:space="preserve">. </w:t>
      </w:r>
      <w:r w:rsidR="61EC71ED" w:rsidRPr="60ECF5C7">
        <w:rPr>
          <w:rFonts w:ascii="Times New Roman" w:eastAsia="Times New Roman" w:hAnsi="Times New Roman" w:cs="Times New Roman"/>
          <w:color w:val="000000" w:themeColor="text1"/>
          <w:sz w:val="28"/>
          <w:szCs w:val="28"/>
        </w:rPr>
        <w:t>22.04.2023</w:t>
      </w:r>
    </w:p>
    <w:p w14:paraId="7FCDDCE2"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 xml:space="preserve">Council Joint Action 2005/588/CFSP of 28 July 2005 appointing a Special Representative of the European Union for Central Asia (2005) // </w:t>
      </w:r>
      <w:hyperlink r:id="rId60">
        <w:r w:rsidRPr="60ECF5C7">
          <w:rPr>
            <w:rStyle w:val="af1"/>
            <w:rFonts w:ascii="Times New Roman" w:eastAsia="Times New Roman" w:hAnsi="Times New Roman" w:cs="Times New Roman"/>
            <w:sz w:val="28"/>
            <w:szCs w:val="28"/>
            <w:lang w:val="en-US"/>
          </w:rPr>
          <w:t>https://eurlex.europa.eu/LexUriServ/LexUriServ.do?uri=OJ:L:2005</w:t>
        </w:r>
      </w:hyperlink>
      <w:r w:rsidRPr="60ECF5C7">
        <w:rPr>
          <w:rFonts w:ascii="Times New Roman" w:eastAsia="Times New Roman" w:hAnsi="Times New Roman" w:cs="Times New Roman"/>
          <w:color w:val="000000" w:themeColor="text1"/>
          <w:sz w:val="28"/>
          <w:szCs w:val="28"/>
          <w:lang w:val="en-US"/>
        </w:rPr>
        <w:t xml:space="preserve">. </w:t>
      </w:r>
      <w:r w:rsidR="5E757EE9" w:rsidRPr="60ECF5C7">
        <w:rPr>
          <w:rFonts w:ascii="Times New Roman" w:eastAsia="Times New Roman" w:hAnsi="Times New Roman" w:cs="Times New Roman"/>
          <w:color w:val="000000" w:themeColor="text1"/>
          <w:sz w:val="28"/>
          <w:szCs w:val="28"/>
        </w:rPr>
        <w:t>22.04.2023</w:t>
      </w:r>
    </w:p>
    <w:p w14:paraId="285FC892"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 xml:space="preserve">Стратегия ЕС в отношении государств ЦА на 2007-2013 годы может быть принята в июне // </w:t>
      </w:r>
      <w:hyperlink r:id="rId61">
        <w:r w:rsidRPr="60ECF5C7">
          <w:rPr>
            <w:rStyle w:val="af1"/>
            <w:rFonts w:ascii="Times New Roman" w:eastAsia="Times New Roman" w:hAnsi="Times New Roman" w:cs="Times New Roman"/>
            <w:sz w:val="28"/>
            <w:szCs w:val="28"/>
          </w:rPr>
          <w:t>https://www.kt.kz/rus/politics/strategija</w:t>
        </w:r>
      </w:hyperlink>
      <w:r w:rsidRPr="60ECF5C7">
        <w:rPr>
          <w:rFonts w:ascii="Times New Roman" w:eastAsia="Times New Roman" w:hAnsi="Times New Roman" w:cs="Times New Roman"/>
          <w:color w:val="000000" w:themeColor="text1"/>
          <w:sz w:val="28"/>
          <w:szCs w:val="28"/>
        </w:rPr>
        <w:t xml:space="preserve">. </w:t>
      </w:r>
      <w:r w:rsidR="66F7C429" w:rsidRPr="60ECF5C7">
        <w:rPr>
          <w:rFonts w:ascii="Times New Roman" w:eastAsia="Times New Roman" w:hAnsi="Times New Roman" w:cs="Times New Roman"/>
          <w:color w:val="000000" w:themeColor="text1"/>
          <w:sz w:val="28"/>
          <w:szCs w:val="28"/>
        </w:rPr>
        <w:t>22.04.2023</w:t>
      </w:r>
    </w:p>
    <w:p w14:paraId="7DD22E87"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 xml:space="preserve">Европейский Союз и Узбекистан обсудили приоритеты будущего сотрудничества в области развития // </w:t>
      </w:r>
      <w:hyperlink r:id="rId62">
        <w:r w:rsidRPr="60ECF5C7">
          <w:rPr>
            <w:rStyle w:val="af1"/>
            <w:rFonts w:ascii="Times New Roman" w:eastAsia="Times New Roman" w:hAnsi="Times New Roman" w:cs="Times New Roman"/>
            <w:sz w:val="28"/>
            <w:szCs w:val="28"/>
          </w:rPr>
          <w:t>https://www.uzdaily.uz/ru/post</w:t>
        </w:r>
      </w:hyperlink>
      <w:r w:rsidRPr="60ECF5C7">
        <w:rPr>
          <w:rFonts w:ascii="Times New Roman" w:eastAsia="Times New Roman" w:hAnsi="Times New Roman" w:cs="Times New Roman"/>
          <w:color w:val="000000" w:themeColor="text1"/>
          <w:sz w:val="28"/>
          <w:szCs w:val="28"/>
        </w:rPr>
        <w:t xml:space="preserve">. </w:t>
      </w:r>
      <w:r w:rsidR="6C1C3B62" w:rsidRPr="60ECF5C7">
        <w:rPr>
          <w:rFonts w:ascii="Times New Roman" w:eastAsia="Times New Roman" w:hAnsi="Times New Roman" w:cs="Times New Roman"/>
          <w:color w:val="000000" w:themeColor="text1"/>
          <w:sz w:val="28"/>
          <w:szCs w:val="28"/>
        </w:rPr>
        <w:t>22.04.2023</w:t>
      </w:r>
    </w:p>
    <w:p w14:paraId="05B1DBE6"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Назарбаев Н.А. Критическое десятилетие. – Алматы, Атамура, 2003. – 240 с. </w:t>
      </w:r>
    </w:p>
    <w:p w14:paraId="3C6C82AD"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 Назарбаев Н.А. Эра независимости. – Астана: LEM (Лем), 2017. – 508 с. </w:t>
      </w:r>
    </w:p>
    <w:p w14:paraId="108D6625"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 Токаев К.К. Под стягом независимости: Очерки о внешней политике Казахстана. – Алматы: Білім, 1997. – 736 с. </w:t>
      </w:r>
    </w:p>
    <w:p w14:paraId="33EE3FFC"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Токаев К.К. Внешняя политика Республики Казахстан в период становления нового мирового порядка: дис. …док. полит. наук: 23.00.04. – М., 2001. – 263 с. </w:t>
      </w:r>
    </w:p>
    <w:p w14:paraId="1F07EB5B"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 Токаев К.К. Дипломатия Республики Казахстан: монография. – Астана: Елорда, 2001. – 552 с.</w:t>
      </w:r>
    </w:p>
    <w:p w14:paraId="3075AFA1"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 xml:space="preserve">Указ Президента Республики Казахстан. О Концепции внешней политики Республики Казахстан на 2020-2030 годы.- №280 // </w:t>
      </w:r>
      <w:hyperlink r:id="rId63">
        <w:r w:rsidRPr="60ECF5C7">
          <w:rPr>
            <w:rStyle w:val="af1"/>
            <w:rFonts w:ascii="Times New Roman" w:eastAsia="Times New Roman" w:hAnsi="Times New Roman" w:cs="Times New Roman"/>
            <w:sz w:val="28"/>
            <w:szCs w:val="28"/>
          </w:rPr>
          <w:t>https://www.akorda.kz/ru/legal_acts/decrees/o-koncepcii</w:t>
        </w:r>
      </w:hyperlink>
      <w:r w:rsidRPr="60ECF5C7">
        <w:rPr>
          <w:rFonts w:ascii="Times New Roman" w:eastAsia="Times New Roman" w:hAnsi="Times New Roman" w:cs="Times New Roman"/>
          <w:color w:val="000000" w:themeColor="text1"/>
          <w:sz w:val="28"/>
          <w:szCs w:val="28"/>
        </w:rPr>
        <w:t xml:space="preserve">. </w:t>
      </w:r>
      <w:r w:rsidR="6A857815" w:rsidRPr="60ECF5C7">
        <w:rPr>
          <w:rFonts w:ascii="Times New Roman" w:eastAsia="Times New Roman" w:hAnsi="Times New Roman" w:cs="Times New Roman"/>
          <w:color w:val="000000" w:themeColor="text1"/>
          <w:sz w:val="28"/>
          <w:szCs w:val="28"/>
        </w:rPr>
        <w:t>01.04.2021</w:t>
      </w:r>
    </w:p>
    <w:p w14:paraId="41038E61"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 xml:space="preserve">Байзакова К.И. Политико-правовые основы сотрудничества Европейского Союза с государствами Центральной Азии // </w:t>
      </w:r>
      <w:hyperlink r:id="rId64">
        <w:r w:rsidRPr="60ECF5C7">
          <w:rPr>
            <w:rStyle w:val="af1"/>
            <w:rFonts w:ascii="Times New Roman" w:eastAsia="Times New Roman" w:hAnsi="Times New Roman" w:cs="Times New Roman"/>
            <w:sz w:val="28"/>
            <w:szCs w:val="28"/>
          </w:rPr>
          <w:t>http://www.kisi.kz/img/docs/910.pdf</w:t>
        </w:r>
      </w:hyperlink>
      <w:r w:rsidRPr="60ECF5C7">
        <w:rPr>
          <w:rFonts w:ascii="Times New Roman" w:eastAsia="Times New Roman" w:hAnsi="Times New Roman" w:cs="Times New Roman"/>
          <w:color w:val="000000" w:themeColor="text1"/>
          <w:sz w:val="28"/>
          <w:szCs w:val="28"/>
        </w:rPr>
        <w:t xml:space="preserve">. </w:t>
      </w:r>
      <w:r w:rsidR="48E354F3" w:rsidRPr="60ECF5C7">
        <w:rPr>
          <w:rFonts w:ascii="Times New Roman" w:eastAsia="Times New Roman" w:hAnsi="Times New Roman" w:cs="Times New Roman"/>
          <w:color w:val="000000" w:themeColor="text1"/>
          <w:sz w:val="28"/>
          <w:szCs w:val="28"/>
        </w:rPr>
        <w:t>22.04.2023</w:t>
      </w:r>
    </w:p>
    <w:p w14:paraId="6ABB78BA"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Губайдуллина М.Ш. Европейский Союз – Центральная Азия – Евразия: динамика интеграционных процессов // Вестник КазНУ. – 2010. – №5-6. – С. 40-45. </w:t>
      </w:r>
    </w:p>
    <w:p w14:paraId="389FDA93"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Ибрашев Ж.У., Есенбаева Э.Т. Европейский Союз во внешней политике Казахстана. – Алматы, 2001. – 370 с. 15 </w:t>
      </w:r>
    </w:p>
    <w:p w14:paraId="0A87CF62"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Кушкумбаев С.К. Центральная Азия на путях интеграции: геополитика, этничность, безопасность. – Алматы, 2002. – 200 с. </w:t>
      </w:r>
    </w:p>
    <w:p w14:paraId="1A618FC2"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 Лаумулин М.Т. Центральная Азия в эпоху трансформации. – НурСултан: КИСИ при Президенте РК, 2020. – 464 с. </w:t>
      </w:r>
    </w:p>
    <w:p w14:paraId="0BE589BE"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 Казахстан. 20 лет независимости: монография / под ред. Б.К. Султанова. – Алматы, 2001. – 408 с. 130 </w:t>
      </w:r>
    </w:p>
    <w:p w14:paraId="5CA0A2D2"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Рахматуллина Г.Г. Основные направления интеграционного сотрудничества государств ЕС // Казахстан-Спектр. – 2004. – №4. – С. 74-81. </w:t>
      </w:r>
    </w:p>
    <w:p w14:paraId="02F13318"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Мовкебаева Г.А. История формирования внешнеполитической стратегии Европейского Союза (теория и практика): автореф. …док. ист. наук: 07.00.15. – Алматы, 2009. – 46 с. </w:t>
      </w:r>
    </w:p>
    <w:p w14:paraId="18DE7DE5"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 Чеботарев А. Политика Европейского союза в Центральной Азии: современные тенденции // Казахстан в глобальных процессах. – 2015. – №3. – С. 15-20. </w:t>
      </w:r>
    </w:p>
    <w:p w14:paraId="72639B14"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Нурдавлетова С.М., Жармаханова Ж.И., Ахметжанова Л.К. Политика Европейского Союза в Центральной Азии в контексте безопасности в рамках Стратегии ЕС по ЦА. - Central Asia and Caucacus Journal. - 2021. </w:t>
      </w:r>
    </w:p>
    <w:p w14:paraId="5803598D"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00664C74">
        <w:rPr>
          <w:rFonts w:ascii="Times New Roman" w:eastAsia="Times New Roman" w:hAnsi="Times New Roman" w:cs="Times New Roman"/>
          <w:color w:val="000000" w:themeColor="text1"/>
          <w:sz w:val="28"/>
          <w:szCs w:val="28"/>
          <w:lang w:val="en-US"/>
        </w:rPr>
        <w:t xml:space="preserve">Nurdavletova S., Zharmakhanova Zh. Analysis of the Implementation of the Central Asia Water &amp; Energy Program in the Framework of New EU Strategy for Central Asia // Bulletin of KazNU. </w:t>
      </w:r>
      <w:r w:rsidRPr="79B2C90B">
        <w:rPr>
          <w:rFonts w:ascii="Times New Roman" w:eastAsia="Times New Roman" w:hAnsi="Times New Roman" w:cs="Times New Roman"/>
          <w:color w:val="000000" w:themeColor="text1"/>
          <w:sz w:val="28"/>
          <w:szCs w:val="28"/>
        </w:rPr>
        <w:t>Series of International Relations and International Law, 2021, No. 1. P. 44</w:t>
      </w:r>
    </w:p>
    <w:p w14:paraId="60011CAD"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00664C74">
        <w:rPr>
          <w:rFonts w:ascii="Times New Roman" w:eastAsia="Times New Roman" w:hAnsi="Times New Roman" w:cs="Times New Roman"/>
          <w:color w:val="000000" w:themeColor="text1"/>
          <w:sz w:val="28"/>
          <w:szCs w:val="28"/>
          <w:lang w:val="en-US"/>
        </w:rPr>
        <w:t xml:space="preserve">Medeubayeva Zh., Issayeva A., Aliyeva S. Experience of the European Union in overcoming the coronovirus pandemic. </w:t>
      </w:r>
      <w:r w:rsidRPr="79B2C90B">
        <w:rPr>
          <w:rFonts w:ascii="Times New Roman" w:eastAsia="Times New Roman" w:hAnsi="Times New Roman" w:cs="Times New Roman"/>
          <w:color w:val="000000" w:themeColor="text1"/>
          <w:sz w:val="28"/>
          <w:szCs w:val="28"/>
        </w:rPr>
        <w:t>Государственное управление и государственная служба. - №1 (84) 2023</w:t>
      </w:r>
    </w:p>
    <w:p w14:paraId="4C250AA4"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00664C74">
        <w:rPr>
          <w:rFonts w:ascii="Times New Roman" w:eastAsia="Times New Roman" w:hAnsi="Times New Roman" w:cs="Times New Roman"/>
          <w:color w:val="000000" w:themeColor="text1"/>
          <w:sz w:val="28"/>
          <w:szCs w:val="28"/>
          <w:lang w:val="en-US"/>
        </w:rPr>
        <w:t xml:space="preserve">Zhanbulatova R.S., Bolysbekova M.K. The regional dimension of European Union’s soft power (Central Asian case) // Académie internationale CONCORDE (Editions du JIPTO). - 2024. </w:t>
      </w:r>
    </w:p>
    <w:p w14:paraId="6B47E845"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00664C74">
        <w:rPr>
          <w:rFonts w:ascii="Times New Roman" w:eastAsia="Times New Roman" w:hAnsi="Times New Roman" w:cs="Times New Roman"/>
          <w:color w:val="000000" w:themeColor="text1"/>
          <w:sz w:val="28"/>
          <w:szCs w:val="28"/>
          <w:lang w:val="en-US"/>
        </w:rPr>
        <w:t xml:space="preserve"> </w:t>
      </w:r>
      <w:r w:rsidRPr="79B2C90B">
        <w:rPr>
          <w:rFonts w:ascii="Times New Roman" w:eastAsia="Times New Roman" w:hAnsi="Times New Roman" w:cs="Times New Roman"/>
          <w:color w:val="000000" w:themeColor="text1"/>
          <w:sz w:val="28"/>
          <w:szCs w:val="28"/>
        </w:rPr>
        <w:t>Сулейменов Т.С. Казахстан и страны Восточной Европы: основные направления и перспективы сотрудничества – Астана, 2008. – 180 с.</w:t>
      </w:r>
    </w:p>
    <w:p w14:paraId="6F1DA20E"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Лаумулин М.Т. Стратегия Европейского Союза в Центральной Азии: основные этапы и цели // Казахстан в глобальных процессах. – 2009. – №2(20). – С. 72-85. </w:t>
      </w:r>
    </w:p>
    <w:p w14:paraId="068A846E"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 Токаев Т.К. Стратегия Республики Казахстан в отношении Запада: национальные интересы, приоритеты, направления: дис. ... канд. полит. наук: 23.00.04. – М., 2009. – 215 с. </w:t>
      </w:r>
    </w:p>
    <w:p w14:paraId="1A9A6693"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 Курмангужин Р.С. Республика Казахстан – Европейский союз: казахстанские инициативы по сотрудничеству с Евросоюзом (2000-2010 гг.): дис. ... канд. ист. наук: 07.00.15. – М., 2015. – 192 с. 25</w:t>
      </w:r>
    </w:p>
    <w:p w14:paraId="731E4552"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79B2C90B">
        <w:rPr>
          <w:rFonts w:ascii="Times New Roman" w:eastAsia="Times New Roman" w:hAnsi="Times New Roman" w:cs="Times New Roman"/>
          <w:color w:val="000000" w:themeColor="text1"/>
          <w:sz w:val="28"/>
          <w:szCs w:val="28"/>
        </w:rPr>
        <w:t>Стратегия Европейского Союза в Центральной Азии на 2007-2013 гг.: предварительные итоги: монография / под ред. А.Е. Чеботарёва. – Алматы: Центр актуальных исследований «Альтернатива», 2013. – 184 с.</w:t>
      </w:r>
    </w:p>
    <w:p w14:paraId="1FADB37D"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 Чеботарев А.Е., Губайдулина М.Ш. Европейский Союз и страны Центральной Азии: возможности и перспективы сотрудничества в свете новой стратегии: монография. – Алматы: Центр актуальных исследований «Альтернатива», 2021. – 300 с.</w:t>
      </w:r>
    </w:p>
    <w:p w14:paraId="5EA7DE2B"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00664C74">
        <w:rPr>
          <w:rFonts w:ascii="Times New Roman" w:eastAsia="Times New Roman" w:hAnsi="Times New Roman" w:cs="Times New Roman"/>
          <w:color w:val="000000" w:themeColor="text1"/>
          <w:sz w:val="28"/>
          <w:szCs w:val="28"/>
          <w:lang w:val="en-US"/>
        </w:rPr>
        <w:t xml:space="preserve">Paramonov V., Strokov A., Alschen S., Abduganieva Z. European Union Impact on Central Asia: Political, Economic, Security and Social Spheres (European Political, Economic, and Security Issues). – NY.: Nova Science Publishers, 2018. – 131 p. </w:t>
      </w:r>
    </w:p>
    <w:p w14:paraId="0E6E3EE8"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00664C74">
        <w:rPr>
          <w:rFonts w:ascii="Times New Roman" w:eastAsia="Times New Roman" w:hAnsi="Times New Roman" w:cs="Times New Roman"/>
          <w:color w:val="000000" w:themeColor="text1"/>
          <w:sz w:val="28"/>
          <w:szCs w:val="28"/>
          <w:lang w:val="en-US"/>
        </w:rPr>
        <w:t xml:space="preserve">M.Rakhimov. Central Asia and European Union in the context of diversity extra regional multilateral formats in Eurasia. Central Asia and European Union: In Search of Sustainability // Monograph edited by Mirzokhid Rakhimov, Akram Umarov and Gulnoza Ismailova. - 2024. </w:t>
      </w:r>
    </w:p>
    <w:p w14:paraId="358CF91F"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00664C74">
        <w:rPr>
          <w:rFonts w:ascii="Times New Roman" w:eastAsia="Times New Roman" w:hAnsi="Times New Roman" w:cs="Times New Roman"/>
          <w:color w:val="000000" w:themeColor="text1"/>
          <w:sz w:val="28"/>
          <w:szCs w:val="28"/>
          <w:lang w:val="en-US"/>
        </w:rPr>
        <w:t xml:space="preserve">M. Rakhimov. “Complex regionalism in Central Asia: Local, regional, and global factors // Cambridge journal of Eurasian studies. </w:t>
      </w:r>
      <w:r w:rsidRPr="79B2C90B">
        <w:rPr>
          <w:rFonts w:ascii="Times New Roman" w:eastAsia="Times New Roman" w:hAnsi="Times New Roman" w:cs="Times New Roman"/>
          <w:color w:val="000000" w:themeColor="text1"/>
          <w:sz w:val="28"/>
          <w:szCs w:val="28"/>
        </w:rPr>
        <w:t xml:space="preserve">19 December 2018. P.13. </w:t>
      </w:r>
    </w:p>
    <w:p w14:paraId="20F91785"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79B2C90B">
        <w:rPr>
          <w:rFonts w:ascii="Times New Roman" w:eastAsia="Times New Roman" w:hAnsi="Times New Roman" w:cs="Times New Roman"/>
          <w:color w:val="000000" w:themeColor="text1"/>
          <w:sz w:val="28"/>
          <w:szCs w:val="28"/>
        </w:rPr>
        <w:t>М. Рахимов. Современные многосторонние отношения в Центральной Азии. Ташкент, Фан. 224  с.</w:t>
      </w:r>
    </w:p>
    <w:p w14:paraId="194C0A98"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 Джураев Э., Мураталиева Н. Стратегия ЕС в Центральной Азии. К успешной реализации новой стратегии. – Алматы, Бишкек: ФФЭ, 2020. – 18 с. </w:t>
      </w:r>
    </w:p>
    <w:p w14:paraId="4AC7544C"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79B2C90B">
        <w:rPr>
          <w:rFonts w:ascii="Times New Roman" w:eastAsia="Times New Roman" w:hAnsi="Times New Roman" w:cs="Times New Roman"/>
          <w:color w:val="000000" w:themeColor="text1"/>
          <w:sz w:val="28"/>
          <w:szCs w:val="28"/>
        </w:rPr>
        <w:t xml:space="preserve"> </w:t>
      </w:r>
      <w:r w:rsidRPr="00664C74">
        <w:rPr>
          <w:rFonts w:ascii="Times New Roman" w:eastAsia="Times New Roman" w:hAnsi="Times New Roman" w:cs="Times New Roman"/>
          <w:color w:val="000000" w:themeColor="text1"/>
          <w:sz w:val="28"/>
          <w:szCs w:val="28"/>
          <w:lang w:val="en-US"/>
        </w:rPr>
        <w:t xml:space="preserve">Tolipov F. The European Union’s Central Asia Strategy and Uzbekistan: Performing Soft Power // </w:t>
      </w:r>
      <w:hyperlink r:id="rId65">
        <w:r w:rsidRPr="00664C74">
          <w:rPr>
            <w:rStyle w:val="af1"/>
            <w:rFonts w:ascii="Times New Roman" w:eastAsia="Times New Roman" w:hAnsi="Times New Roman" w:cs="Times New Roman"/>
            <w:sz w:val="28"/>
            <w:szCs w:val="28"/>
            <w:lang w:val="en-US"/>
          </w:rPr>
          <w:t>http://fescentralasia.de/files/assets/publikationen/Farkhod%20Tolipov_new.pdf/</w:t>
        </w:r>
      </w:hyperlink>
      <w:r w:rsidRPr="00664C74">
        <w:rPr>
          <w:rFonts w:ascii="Times New Roman" w:eastAsia="Times New Roman" w:hAnsi="Times New Roman" w:cs="Times New Roman"/>
          <w:color w:val="000000" w:themeColor="text1"/>
          <w:sz w:val="28"/>
          <w:szCs w:val="28"/>
          <w:lang w:val="en-US"/>
        </w:rPr>
        <w:t xml:space="preserve">. </w:t>
      </w:r>
      <w:r w:rsidRPr="79B2C90B">
        <w:rPr>
          <w:rFonts w:ascii="Times New Roman" w:eastAsia="Times New Roman" w:hAnsi="Times New Roman" w:cs="Times New Roman"/>
          <w:color w:val="000000" w:themeColor="text1"/>
          <w:sz w:val="28"/>
          <w:szCs w:val="28"/>
        </w:rPr>
        <w:t xml:space="preserve">15.12.2021. </w:t>
      </w:r>
    </w:p>
    <w:p w14:paraId="7B00BC30"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00664C74">
        <w:rPr>
          <w:rFonts w:ascii="Times New Roman" w:eastAsia="Times New Roman" w:hAnsi="Times New Roman" w:cs="Times New Roman"/>
          <w:color w:val="000000" w:themeColor="text1"/>
          <w:sz w:val="28"/>
          <w:szCs w:val="28"/>
          <w:lang w:val="en-US"/>
        </w:rPr>
        <w:t>Antonio Alonso Marcos. - The New EU Strategy For Central Asia One Year Later: Fears And Wishes</w:t>
      </w:r>
    </w:p>
    <w:p w14:paraId="58B95276"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00664C74">
        <w:rPr>
          <w:rFonts w:ascii="Times New Roman" w:eastAsia="Times New Roman" w:hAnsi="Times New Roman" w:cs="Times New Roman"/>
          <w:color w:val="000000" w:themeColor="text1"/>
          <w:sz w:val="28"/>
          <w:szCs w:val="28"/>
          <w:lang w:val="en-US"/>
        </w:rPr>
        <w:t xml:space="preserve">Antonio Alonso Marcos. </w:t>
      </w:r>
      <w:r w:rsidR="224EC238" w:rsidRPr="00664C74">
        <w:rPr>
          <w:rFonts w:ascii="Times New Roman" w:eastAsia="Times New Roman" w:hAnsi="Times New Roman" w:cs="Times New Roman"/>
          <w:color w:val="000000" w:themeColor="text1"/>
          <w:sz w:val="28"/>
          <w:szCs w:val="28"/>
          <w:lang w:val="en-US"/>
        </w:rPr>
        <w:t>The new EU Strategy for CA (2019): two players, one goal</w:t>
      </w:r>
    </w:p>
    <w:p w14:paraId="2B187C7A"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00664C74">
        <w:rPr>
          <w:rFonts w:ascii="Times New Roman" w:eastAsia="Times New Roman" w:hAnsi="Times New Roman" w:cs="Times New Roman"/>
          <w:color w:val="000000" w:themeColor="text1"/>
          <w:sz w:val="28"/>
          <w:szCs w:val="28"/>
          <w:lang w:val="en-US"/>
        </w:rPr>
        <w:t>Antonio Alonso Marcos. Regional cooperation in times of Covid-19: The role of Uzbekistan.</w:t>
      </w:r>
    </w:p>
    <w:p w14:paraId="0E3A2511"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00664C74">
        <w:rPr>
          <w:rFonts w:ascii="Times New Roman" w:eastAsia="Times New Roman" w:hAnsi="Times New Roman" w:cs="Times New Roman"/>
          <w:color w:val="000000" w:themeColor="text1"/>
          <w:sz w:val="28"/>
          <w:szCs w:val="28"/>
          <w:lang w:val="en-US"/>
        </w:rPr>
        <w:t>Zh. Zharmakhanova, Antonio Alonso Marcos. New EU Strategy For Central Asia: Barriers For Its Successful Implementation</w:t>
      </w:r>
    </w:p>
    <w:p w14:paraId="20C050B1"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00664C74">
        <w:rPr>
          <w:rFonts w:ascii="Times New Roman" w:eastAsia="Times New Roman" w:hAnsi="Times New Roman" w:cs="Times New Roman"/>
          <w:color w:val="000000" w:themeColor="text1"/>
          <w:sz w:val="28"/>
          <w:szCs w:val="28"/>
          <w:lang w:val="en-US"/>
        </w:rPr>
        <w:t xml:space="preserve"> Great Powers and Regional Integration in Central Asia: a local Perspective / eds. by M. Esteban, N.de Pedro. – Madrid: Exlibris Ediciones, 2009. – 140 p. </w:t>
      </w:r>
    </w:p>
    <w:p w14:paraId="179744CE"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00664C74">
        <w:rPr>
          <w:rFonts w:ascii="Times New Roman" w:eastAsia="Times New Roman" w:hAnsi="Times New Roman" w:cs="Times New Roman"/>
          <w:color w:val="000000" w:themeColor="text1"/>
          <w:sz w:val="28"/>
          <w:szCs w:val="28"/>
          <w:lang w:val="en-US"/>
        </w:rPr>
        <w:t xml:space="preserve"> Spaiser O.L. The European Union’s Influence in Central Asia. Geopolitical Challenges and Responses. – NY.: Lexington Books, 2018. – 245 p. </w:t>
      </w:r>
    </w:p>
    <w:p w14:paraId="07AFF101"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00664C74">
        <w:rPr>
          <w:rFonts w:ascii="Times New Roman" w:eastAsia="Times New Roman" w:hAnsi="Times New Roman" w:cs="Times New Roman"/>
          <w:color w:val="000000" w:themeColor="text1"/>
          <w:sz w:val="28"/>
          <w:szCs w:val="28"/>
          <w:lang w:val="en-US"/>
        </w:rPr>
        <w:t>Starr S.F., Cornell S.E. The Long Game on the Silk Road: US and EU Strategy for Central Asia and the Caucasus. – Lanham; Boulder: Rowman &amp; Littlefield, 2018. – 160 p.</w:t>
      </w:r>
    </w:p>
    <w:p w14:paraId="58208ECB"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00664C74">
        <w:rPr>
          <w:rFonts w:ascii="Times New Roman" w:eastAsia="Times New Roman" w:hAnsi="Times New Roman" w:cs="Times New Roman"/>
          <w:color w:val="000000" w:themeColor="text1"/>
          <w:sz w:val="28"/>
          <w:szCs w:val="28"/>
          <w:lang w:val="en-US"/>
        </w:rPr>
        <w:t xml:space="preserve"> Cornell Svante E., Starr S. Frederick. A Steady Hand: The EU 2019 Strategy and Policy toward Central Asia. Central Asia-Caucasus Institute &amp; Silk Road Studies Program. – Washington, D.C.: Johns Hopkins University, 2019. – 72 p</w:t>
      </w:r>
    </w:p>
    <w:p w14:paraId="25110D3E"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EUCAM – Europe-Central Asia Monitoring</w:t>
      </w:r>
      <w:r w:rsidR="5F3DAB6D"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lang w:val="en-US"/>
        </w:rPr>
        <w:t xml:space="preserve"> </w:t>
      </w:r>
      <w:hyperlink r:id="rId66">
        <w:r w:rsidRPr="60ECF5C7">
          <w:rPr>
            <w:rStyle w:val="af1"/>
            <w:rFonts w:ascii="Times New Roman" w:eastAsia="Times New Roman" w:hAnsi="Times New Roman" w:cs="Times New Roman"/>
            <w:sz w:val="28"/>
            <w:szCs w:val="28"/>
            <w:lang w:val="en-US"/>
          </w:rPr>
          <w:t>https://eucentralasia.eu/about/</w:t>
        </w:r>
      </w:hyperlink>
      <w:r w:rsidRPr="60ECF5C7">
        <w:rPr>
          <w:rFonts w:ascii="Times New Roman" w:eastAsia="Times New Roman" w:hAnsi="Times New Roman" w:cs="Times New Roman"/>
          <w:color w:val="000000" w:themeColor="text1"/>
          <w:sz w:val="28"/>
          <w:szCs w:val="28"/>
          <w:lang w:val="en-US"/>
        </w:rPr>
        <w:t xml:space="preserve"> </w:t>
      </w:r>
    </w:p>
    <w:p w14:paraId="2A6A9EFA"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 xml:space="preserve">Польская К. Стратегия устарела. Как в ЕС хотят строить отношения с ЦА </w:t>
      </w:r>
      <w:r w:rsidR="0B62D10D" w:rsidRPr="60ECF5C7">
        <w:rPr>
          <w:rFonts w:ascii="Times New Roman" w:eastAsia="Times New Roman" w:hAnsi="Times New Roman" w:cs="Times New Roman"/>
          <w:color w:val="000000" w:themeColor="text1"/>
          <w:sz w:val="28"/>
          <w:szCs w:val="28"/>
        </w:rPr>
        <w:t xml:space="preserve"> // </w:t>
      </w:r>
      <w:hyperlink>
        <w:r w:rsidRPr="60ECF5C7">
          <w:rPr>
            <w:rStyle w:val="af1"/>
            <w:rFonts w:ascii="Times New Roman" w:eastAsia="Times New Roman" w:hAnsi="Times New Roman" w:cs="Times New Roman"/>
            <w:sz w:val="28"/>
            <w:szCs w:val="28"/>
          </w:rPr>
          <w:t>nosenia-s-ca/a-68011370</w:t>
        </w:r>
      </w:hyperlink>
      <w:r w:rsidR="2649A309" w:rsidRPr="60ECF5C7">
        <w:rPr>
          <w:rFonts w:ascii="Times New Roman" w:eastAsia="Times New Roman" w:hAnsi="Times New Roman" w:cs="Times New Roman"/>
          <w:color w:val="000000" w:themeColor="text1"/>
          <w:sz w:val="28"/>
          <w:szCs w:val="28"/>
        </w:rPr>
        <w:t xml:space="preserve"> 22.04.2023</w:t>
      </w:r>
    </w:p>
    <w:p w14:paraId="59C55CB7"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Казанцев А.А. Политика стран Запада в Центральной Азии: ключевые характеристики, дилеммы и противоречия. – М.: МГИМО-Университет, 2009. – 193 с. </w:t>
      </w:r>
    </w:p>
    <w:p w14:paraId="3A35C1CE"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 Малышева Д.Б. Центральная Азия в современных международных отношениях // Год планеты: ежегодник. – М.: Идея-Пресс, 2011. – С. 113-125. </w:t>
      </w:r>
    </w:p>
    <w:p w14:paraId="5F480FBD"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79B2C90B">
        <w:rPr>
          <w:rFonts w:ascii="Times New Roman" w:eastAsia="Times New Roman" w:hAnsi="Times New Roman" w:cs="Times New Roman"/>
          <w:color w:val="000000" w:themeColor="text1"/>
          <w:sz w:val="28"/>
          <w:szCs w:val="28"/>
        </w:rPr>
        <w:t xml:space="preserve">Европейский Союз в XXI веке: время испытаний / под ред. О.Ю. Потемкина, Н.Ю. Кавешников, Н.Б. Кондратьева. – М.: Весь Мир, 2012. – 656 с. 44 </w:t>
      </w:r>
    </w:p>
    <w:p w14:paraId="5E9E6154"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 xml:space="preserve">The Border Management Programme in Central Asia (BOMCA 10). Official website </w:t>
      </w:r>
      <w:r w:rsidR="7CD2BA1E" w:rsidRPr="60ECF5C7">
        <w:rPr>
          <w:rFonts w:ascii="Times New Roman" w:eastAsia="Times New Roman" w:hAnsi="Times New Roman" w:cs="Times New Roman"/>
          <w:color w:val="000000" w:themeColor="text1"/>
          <w:sz w:val="28"/>
          <w:szCs w:val="28"/>
          <w:lang w:val="en-US"/>
        </w:rPr>
        <w:t xml:space="preserve">// </w:t>
      </w:r>
      <w:hyperlink r:id="rId67">
        <w:r w:rsidRPr="60ECF5C7">
          <w:rPr>
            <w:rStyle w:val="af1"/>
            <w:rFonts w:ascii="Times New Roman" w:eastAsia="Times New Roman" w:hAnsi="Times New Roman" w:cs="Times New Roman"/>
            <w:sz w:val="28"/>
            <w:szCs w:val="28"/>
            <w:lang w:val="en-US"/>
          </w:rPr>
          <w:t>https://www.bomca-eu.org/ru/</w:t>
        </w:r>
      </w:hyperlink>
      <w:r w:rsidRPr="60ECF5C7">
        <w:rPr>
          <w:rFonts w:ascii="Times New Roman" w:eastAsia="Times New Roman" w:hAnsi="Times New Roman" w:cs="Times New Roman"/>
          <w:color w:val="000000" w:themeColor="text1"/>
          <w:sz w:val="28"/>
          <w:szCs w:val="28"/>
          <w:lang w:val="en-US"/>
        </w:rPr>
        <w:t xml:space="preserve"> </w:t>
      </w:r>
      <w:r w:rsidR="78E0F322" w:rsidRPr="008E6865">
        <w:rPr>
          <w:rFonts w:ascii="Times New Roman" w:eastAsia="Times New Roman" w:hAnsi="Times New Roman" w:cs="Times New Roman"/>
          <w:color w:val="000000" w:themeColor="text1"/>
          <w:sz w:val="28"/>
          <w:szCs w:val="28"/>
          <w:lang w:val="en-US"/>
        </w:rPr>
        <w:t>22.04.2023</w:t>
      </w:r>
    </w:p>
    <w:p w14:paraId="6E949FA0"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The Central Asia Drug Action Programme (CADAP). Official website</w:t>
      </w:r>
      <w:r w:rsidR="5923C40C" w:rsidRPr="60ECF5C7">
        <w:rPr>
          <w:rFonts w:ascii="Times New Roman" w:eastAsia="Times New Roman" w:hAnsi="Times New Roman" w:cs="Times New Roman"/>
          <w:color w:val="000000" w:themeColor="text1"/>
          <w:sz w:val="28"/>
          <w:szCs w:val="28"/>
          <w:lang w:val="en-US"/>
        </w:rPr>
        <w:t xml:space="preserve"> // </w:t>
      </w:r>
      <w:r w:rsidRPr="60ECF5C7">
        <w:rPr>
          <w:rFonts w:ascii="Times New Roman" w:eastAsia="Times New Roman" w:hAnsi="Times New Roman" w:cs="Times New Roman"/>
          <w:color w:val="000000" w:themeColor="text1"/>
          <w:sz w:val="28"/>
          <w:szCs w:val="28"/>
          <w:lang w:val="en-US"/>
        </w:rPr>
        <w:t xml:space="preserve"> </w:t>
      </w:r>
      <w:hyperlink r:id="rId68">
        <w:r w:rsidRPr="60ECF5C7">
          <w:rPr>
            <w:rStyle w:val="af1"/>
            <w:rFonts w:ascii="Times New Roman" w:eastAsia="Times New Roman" w:hAnsi="Times New Roman" w:cs="Times New Roman"/>
            <w:sz w:val="28"/>
            <w:szCs w:val="28"/>
            <w:lang w:val="en-US"/>
          </w:rPr>
          <w:t>https://www.eu-cadap.org/ru/</w:t>
        </w:r>
      </w:hyperlink>
      <w:r w:rsidRPr="60ECF5C7">
        <w:rPr>
          <w:rFonts w:ascii="Times New Roman" w:eastAsia="Times New Roman" w:hAnsi="Times New Roman" w:cs="Times New Roman"/>
          <w:color w:val="000000" w:themeColor="text1"/>
          <w:sz w:val="28"/>
          <w:szCs w:val="28"/>
          <w:lang w:val="en-US"/>
        </w:rPr>
        <w:t xml:space="preserve"> </w:t>
      </w:r>
      <w:r w:rsidR="4D9E1916" w:rsidRPr="008E6865">
        <w:rPr>
          <w:rFonts w:ascii="Times New Roman" w:eastAsia="Times New Roman" w:hAnsi="Times New Roman" w:cs="Times New Roman"/>
          <w:color w:val="000000" w:themeColor="text1"/>
          <w:sz w:val="28"/>
          <w:szCs w:val="28"/>
          <w:lang w:val="en-US"/>
        </w:rPr>
        <w:t>15</w:t>
      </w:r>
      <w:r w:rsidR="5DCA8647" w:rsidRPr="008E6865">
        <w:rPr>
          <w:rFonts w:ascii="Times New Roman" w:eastAsia="Times New Roman" w:hAnsi="Times New Roman" w:cs="Times New Roman"/>
          <w:color w:val="000000" w:themeColor="text1"/>
          <w:sz w:val="28"/>
          <w:szCs w:val="28"/>
          <w:lang w:val="en-US"/>
        </w:rPr>
        <w:t>.0</w:t>
      </w:r>
      <w:r w:rsidR="48C81E2B" w:rsidRPr="008E6865">
        <w:rPr>
          <w:rFonts w:ascii="Times New Roman" w:eastAsia="Times New Roman" w:hAnsi="Times New Roman" w:cs="Times New Roman"/>
          <w:color w:val="000000" w:themeColor="text1"/>
          <w:sz w:val="28"/>
          <w:szCs w:val="28"/>
          <w:lang w:val="en-US"/>
        </w:rPr>
        <w:t>8</w:t>
      </w:r>
      <w:r w:rsidR="5DCA8647" w:rsidRPr="008E6865">
        <w:rPr>
          <w:rFonts w:ascii="Times New Roman" w:eastAsia="Times New Roman" w:hAnsi="Times New Roman" w:cs="Times New Roman"/>
          <w:color w:val="000000" w:themeColor="text1"/>
          <w:sz w:val="28"/>
          <w:szCs w:val="28"/>
          <w:lang w:val="en-US"/>
        </w:rPr>
        <w:t>.202</w:t>
      </w:r>
      <w:r w:rsidR="37910E67" w:rsidRPr="008E6865">
        <w:rPr>
          <w:rFonts w:ascii="Times New Roman" w:eastAsia="Times New Roman" w:hAnsi="Times New Roman" w:cs="Times New Roman"/>
          <w:color w:val="000000" w:themeColor="text1"/>
          <w:sz w:val="28"/>
          <w:szCs w:val="28"/>
          <w:lang w:val="en-US"/>
        </w:rPr>
        <w:t>4</w:t>
      </w:r>
    </w:p>
    <w:p w14:paraId="6A5A6481" w14:textId="77777777" w:rsidR="2D9C780E"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Европейский Союз – Центральная Азия: сотрудничество в области водных ресурсов, окружающей среды и изменения климата» (WECOOP). Official website</w:t>
      </w:r>
      <w:r w:rsidR="1088984C" w:rsidRPr="60ECF5C7">
        <w:rPr>
          <w:rFonts w:ascii="Times New Roman" w:eastAsia="Times New Roman" w:hAnsi="Times New Roman" w:cs="Times New Roman"/>
          <w:color w:val="000000" w:themeColor="text1"/>
          <w:sz w:val="28"/>
          <w:szCs w:val="28"/>
        </w:rPr>
        <w:t xml:space="preserve"> // </w:t>
      </w:r>
      <w:hyperlink r:id="rId69">
        <w:r w:rsidRPr="60ECF5C7">
          <w:rPr>
            <w:rStyle w:val="af1"/>
            <w:rFonts w:ascii="Times New Roman" w:eastAsia="Times New Roman" w:hAnsi="Times New Roman" w:cs="Times New Roman"/>
            <w:sz w:val="28"/>
            <w:szCs w:val="28"/>
          </w:rPr>
          <w:t>https://wecoop.eu/ru/about/</w:t>
        </w:r>
      </w:hyperlink>
      <w:r w:rsidRPr="60ECF5C7">
        <w:rPr>
          <w:rFonts w:ascii="Times New Roman" w:eastAsia="Times New Roman" w:hAnsi="Times New Roman" w:cs="Times New Roman"/>
          <w:color w:val="000000" w:themeColor="text1"/>
          <w:sz w:val="28"/>
          <w:szCs w:val="28"/>
        </w:rPr>
        <w:t xml:space="preserve"> </w:t>
      </w:r>
      <w:r w:rsidR="1439A6F5" w:rsidRPr="60ECF5C7">
        <w:rPr>
          <w:rFonts w:ascii="Times New Roman" w:eastAsia="Times New Roman" w:hAnsi="Times New Roman" w:cs="Times New Roman"/>
          <w:color w:val="000000" w:themeColor="text1"/>
          <w:sz w:val="28"/>
          <w:szCs w:val="28"/>
        </w:rPr>
        <w:t>15.08.2024</w:t>
      </w:r>
    </w:p>
    <w:p w14:paraId="148DCE1E" w14:textId="77777777" w:rsidR="2D9C780E" w:rsidRPr="00664C74" w:rsidRDefault="2D9C780E"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Sustainalble Eneregy Connectivity in Central Asia. Official website</w:t>
      </w:r>
      <w:r w:rsidR="32FCF4DE" w:rsidRPr="60ECF5C7">
        <w:rPr>
          <w:rFonts w:ascii="Times New Roman" w:eastAsia="Times New Roman" w:hAnsi="Times New Roman" w:cs="Times New Roman"/>
          <w:color w:val="000000" w:themeColor="text1"/>
          <w:sz w:val="28"/>
          <w:szCs w:val="28"/>
          <w:lang w:val="en-US"/>
        </w:rPr>
        <w:t xml:space="preserve"> //</w:t>
      </w:r>
      <w:r w:rsidRPr="60ECF5C7">
        <w:rPr>
          <w:rFonts w:ascii="Times New Roman" w:eastAsia="Times New Roman" w:hAnsi="Times New Roman" w:cs="Times New Roman"/>
          <w:color w:val="000000" w:themeColor="text1"/>
          <w:sz w:val="28"/>
          <w:szCs w:val="28"/>
          <w:lang w:val="en-US"/>
        </w:rPr>
        <w:t xml:space="preserve"> </w:t>
      </w:r>
      <w:hyperlink r:id="rId70">
        <w:r w:rsidRPr="60ECF5C7">
          <w:rPr>
            <w:rStyle w:val="af1"/>
            <w:rFonts w:ascii="Times New Roman" w:eastAsia="Times New Roman" w:hAnsi="Times New Roman" w:cs="Times New Roman"/>
            <w:sz w:val="28"/>
            <w:szCs w:val="28"/>
            <w:lang w:val="en-US"/>
          </w:rPr>
          <w:t>https://secca.eu/ru/</w:t>
        </w:r>
      </w:hyperlink>
      <w:r w:rsidRPr="60ECF5C7">
        <w:rPr>
          <w:rFonts w:ascii="Times New Roman" w:eastAsia="Times New Roman" w:hAnsi="Times New Roman" w:cs="Times New Roman"/>
          <w:color w:val="000000" w:themeColor="text1"/>
          <w:sz w:val="28"/>
          <w:szCs w:val="28"/>
          <w:lang w:val="en-US"/>
        </w:rPr>
        <w:t xml:space="preserve"> </w:t>
      </w:r>
      <w:r w:rsidR="7045ECC9" w:rsidRPr="008E6865">
        <w:rPr>
          <w:rFonts w:ascii="Times New Roman" w:eastAsia="Times New Roman" w:hAnsi="Times New Roman" w:cs="Times New Roman"/>
          <w:color w:val="000000" w:themeColor="text1"/>
          <w:sz w:val="28"/>
          <w:szCs w:val="28"/>
          <w:lang w:val="en-US"/>
        </w:rPr>
        <w:t>15.08.2024</w:t>
      </w:r>
    </w:p>
    <w:p w14:paraId="7762C1EB" w14:textId="77777777" w:rsidR="6FE1878D" w:rsidRDefault="6FE1878D" w:rsidP="60ECF5C7">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Польская К.</w:t>
      </w:r>
      <w:r w:rsidRPr="60ECF5C7">
        <w:rPr>
          <w:rFonts w:ascii="Times New Roman" w:eastAsia="Times New Roman" w:hAnsi="Times New Roman" w:cs="Times New Roman"/>
          <w:sz w:val="28"/>
          <w:szCs w:val="28"/>
        </w:rPr>
        <w:t xml:space="preserve"> Cбл</w:t>
      </w:r>
      <w:r w:rsidRPr="60ECF5C7">
        <w:rPr>
          <w:rStyle w:val="af1"/>
          <w:rFonts w:ascii="Times New Roman" w:eastAsia="Times New Roman" w:hAnsi="Times New Roman" w:cs="Times New Roman"/>
          <w:color w:val="auto"/>
          <w:sz w:val="28"/>
          <w:szCs w:val="28"/>
          <w:u w:val="none"/>
        </w:rPr>
        <w:t xml:space="preserve">ижение ЕС и Центральной Азии: решающий шаг сделан </w:t>
      </w:r>
      <w:r w:rsidR="2FDC36FD" w:rsidRPr="60ECF5C7">
        <w:rPr>
          <w:rFonts w:ascii="Times New Roman" w:eastAsia="Times New Roman" w:hAnsi="Times New Roman" w:cs="Times New Roman"/>
          <w:color w:val="000000" w:themeColor="text1"/>
          <w:sz w:val="28"/>
          <w:szCs w:val="28"/>
        </w:rPr>
        <w:t xml:space="preserve">// </w:t>
      </w:r>
      <w:hyperlink r:id="rId71">
        <w:r w:rsidRPr="60ECF5C7">
          <w:rPr>
            <w:rStyle w:val="af1"/>
            <w:rFonts w:ascii="Times New Roman" w:eastAsia="Times New Roman" w:hAnsi="Times New Roman" w:cs="Times New Roman"/>
            <w:sz w:val="28"/>
            <w:szCs w:val="28"/>
          </w:rPr>
          <w:t>https://www.dw.com/ru/sblizenie-es-i-centralnoj-azii-resausij-sag-sdelan/a-68131801</w:t>
        </w:r>
      </w:hyperlink>
      <w:r w:rsidRPr="60ECF5C7">
        <w:rPr>
          <w:rFonts w:ascii="Times New Roman" w:eastAsia="Times New Roman" w:hAnsi="Times New Roman" w:cs="Times New Roman"/>
          <w:color w:val="000000" w:themeColor="text1"/>
          <w:sz w:val="28"/>
          <w:szCs w:val="28"/>
        </w:rPr>
        <w:t xml:space="preserve"> </w:t>
      </w:r>
      <w:r w:rsidR="1C4B141B" w:rsidRPr="60ECF5C7">
        <w:rPr>
          <w:rFonts w:ascii="Times New Roman" w:eastAsia="Times New Roman" w:hAnsi="Times New Roman" w:cs="Times New Roman"/>
          <w:color w:val="000000" w:themeColor="text1"/>
          <w:sz w:val="28"/>
          <w:szCs w:val="28"/>
        </w:rPr>
        <w:t>15.08.2024</w:t>
      </w:r>
    </w:p>
    <w:p w14:paraId="48FBA03B" w14:textId="77777777" w:rsidR="5D1095B4" w:rsidRPr="008E6865" w:rsidRDefault="5D1095B4" w:rsidP="00DA28EA">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rPr>
      </w:pPr>
      <w:r w:rsidRPr="60ECF5C7">
        <w:rPr>
          <w:rFonts w:ascii="Times New Roman" w:eastAsia="Times New Roman" w:hAnsi="Times New Roman" w:cs="Times New Roman"/>
          <w:color w:val="000000" w:themeColor="text1"/>
          <w:sz w:val="28"/>
          <w:szCs w:val="28"/>
        </w:rPr>
        <w:t>Евросоюз выделяет странам Центральной Азии 1 млрд евро . -  Голоса со всего мира</w:t>
      </w:r>
      <w:r w:rsidR="68BC28EE" w:rsidRPr="60ECF5C7">
        <w:rPr>
          <w:rFonts w:ascii="Times New Roman" w:eastAsia="Times New Roman" w:hAnsi="Times New Roman" w:cs="Times New Roman"/>
          <w:color w:val="000000" w:themeColor="text1"/>
          <w:sz w:val="28"/>
          <w:szCs w:val="28"/>
        </w:rPr>
        <w:t xml:space="preserve"> //</w:t>
      </w:r>
      <w:r w:rsidRPr="008E6865">
        <w:rPr>
          <w:rFonts w:ascii="Times New Roman" w:eastAsia="Times New Roman" w:hAnsi="Times New Roman" w:cs="Times New Roman"/>
          <w:color w:val="000000" w:themeColor="text1"/>
          <w:sz w:val="28"/>
          <w:szCs w:val="28"/>
        </w:rPr>
        <w:t xml:space="preserve"> </w:t>
      </w:r>
      <w:hyperlink r:id="rId72">
        <w:r w:rsidRPr="60ECF5C7">
          <w:rPr>
            <w:rStyle w:val="af1"/>
            <w:rFonts w:ascii="Times New Roman" w:eastAsia="Times New Roman" w:hAnsi="Times New Roman" w:cs="Times New Roman"/>
            <w:sz w:val="28"/>
            <w:szCs w:val="28"/>
            <w:lang w:val="en-US"/>
          </w:rPr>
          <w:t>http</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ru</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rfi</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fr</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tsentralnaya</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aziya</w:t>
        </w:r>
        <w:r w:rsidRPr="008E6865">
          <w:rPr>
            <w:rStyle w:val="af1"/>
            <w:rFonts w:ascii="Times New Roman" w:eastAsia="Times New Roman" w:hAnsi="Times New Roman" w:cs="Times New Roman"/>
            <w:sz w:val="28"/>
            <w:szCs w:val="28"/>
          </w:rPr>
          <w:t>/20141009-</w:t>
        </w:r>
        <w:r w:rsidRPr="60ECF5C7">
          <w:rPr>
            <w:rStyle w:val="af1"/>
            <w:rFonts w:ascii="Times New Roman" w:eastAsia="Times New Roman" w:hAnsi="Times New Roman" w:cs="Times New Roman"/>
            <w:sz w:val="28"/>
            <w:szCs w:val="28"/>
            <w:lang w:val="en-US"/>
          </w:rPr>
          <w:t>evrosoyuz</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vydelyaet</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stranam</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tsentralnoi</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azii</w:t>
        </w:r>
        <w:r w:rsidRPr="008E6865">
          <w:rPr>
            <w:rStyle w:val="af1"/>
            <w:rFonts w:ascii="Times New Roman" w:eastAsia="Times New Roman" w:hAnsi="Times New Roman" w:cs="Times New Roman"/>
            <w:sz w:val="28"/>
            <w:szCs w:val="28"/>
          </w:rPr>
          <w:t>-1-</w:t>
        </w:r>
        <w:r w:rsidRPr="60ECF5C7">
          <w:rPr>
            <w:rStyle w:val="af1"/>
            <w:rFonts w:ascii="Times New Roman" w:eastAsia="Times New Roman" w:hAnsi="Times New Roman" w:cs="Times New Roman"/>
            <w:sz w:val="28"/>
            <w:szCs w:val="28"/>
            <w:lang w:val="en-US"/>
          </w:rPr>
          <w:t>milliard</w:t>
        </w:r>
        <w:r w:rsidRPr="008E6865">
          <w:rPr>
            <w:rStyle w:val="af1"/>
            <w:rFonts w:ascii="Times New Roman" w:eastAsia="Times New Roman" w:hAnsi="Times New Roman" w:cs="Times New Roman"/>
            <w:sz w:val="28"/>
            <w:szCs w:val="28"/>
          </w:rPr>
          <w:t>-</w:t>
        </w:r>
        <w:r w:rsidRPr="60ECF5C7">
          <w:rPr>
            <w:rStyle w:val="af1"/>
            <w:rFonts w:ascii="Times New Roman" w:eastAsia="Times New Roman" w:hAnsi="Times New Roman" w:cs="Times New Roman"/>
            <w:sz w:val="28"/>
            <w:szCs w:val="28"/>
            <w:lang w:val="en-US"/>
          </w:rPr>
          <w:t>evro</w:t>
        </w:r>
      </w:hyperlink>
      <w:r w:rsidRPr="008E6865">
        <w:rPr>
          <w:rFonts w:ascii="Times New Roman" w:eastAsia="Times New Roman" w:hAnsi="Times New Roman" w:cs="Times New Roman"/>
          <w:color w:val="000000" w:themeColor="text1"/>
          <w:sz w:val="28"/>
          <w:szCs w:val="28"/>
        </w:rPr>
        <w:t xml:space="preserve">  </w:t>
      </w:r>
      <w:r w:rsidR="42AE293B" w:rsidRPr="60ECF5C7">
        <w:rPr>
          <w:rFonts w:ascii="Times New Roman" w:eastAsia="Times New Roman" w:hAnsi="Times New Roman" w:cs="Times New Roman"/>
          <w:color w:val="000000" w:themeColor="text1"/>
          <w:sz w:val="28"/>
          <w:szCs w:val="28"/>
        </w:rPr>
        <w:t>15.08.2024</w:t>
      </w:r>
    </w:p>
    <w:p w14:paraId="0ADE6F4C" w14:textId="77777777" w:rsidR="39718A41" w:rsidRPr="008E6865" w:rsidRDefault="39718A41" w:rsidP="60ECF5C7">
      <w:pPr>
        <w:pStyle w:val="ae"/>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val="en-US"/>
        </w:rPr>
      </w:pPr>
      <w:r w:rsidRPr="60ECF5C7">
        <w:rPr>
          <w:rFonts w:ascii="Times New Roman" w:eastAsia="Times New Roman" w:hAnsi="Times New Roman" w:cs="Times New Roman"/>
          <w:color w:val="000000" w:themeColor="text1"/>
          <w:sz w:val="28"/>
          <w:szCs w:val="28"/>
          <w:lang w:val="en-US"/>
        </w:rPr>
        <w:t>Marci</w:t>
      </w:r>
      <w:r w:rsidR="795AB9D5" w:rsidRPr="60ECF5C7">
        <w:rPr>
          <w:rFonts w:ascii="Times New Roman" w:eastAsia="Times New Roman" w:hAnsi="Times New Roman" w:cs="Times New Roman"/>
          <w:color w:val="000000" w:themeColor="text1"/>
          <w:sz w:val="28"/>
          <w:szCs w:val="28"/>
          <w:lang w:val="en-US"/>
        </w:rPr>
        <w:t xml:space="preserve">n Poplawski. </w:t>
      </w:r>
      <w:r w:rsidR="7AD5D068" w:rsidRPr="60ECF5C7">
        <w:rPr>
          <w:rFonts w:ascii="Times New Roman" w:eastAsia="Times New Roman" w:hAnsi="Times New Roman" w:cs="Times New Roman"/>
          <w:color w:val="000000" w:themeColor="text1"/>
          <w:sz w:val="28"/>
          <w:szCs w:val="28"/>
          <w:lang w:val="en-US"/>
        </w:rPr>
        <w:t>Crisis as an opportunity. A new stage in EU-Central Asia relations</w:t>
      </w:r>
      <w:r w:rsidR="46E648B7" w:rsidRPr="60ECF5C7">
        <w:rPr>
          <w:rFonts w:ascii="Times New Roman" w:eastAsia="Times New Roman" w:hAnsi="Times New Roman" w:cs="Times New Roman"/>
          <w:color w:val="000000" w:themeColor="text1"/>
          <w:sz w:val="28"/>
          <w:szCs w:val="28"/>
          <w:lang w:val="en-US"/>
        </w:rPr>
        <w:t xml:space="preserve"> // </w:t>
      </w:r>
      <w:hyperlink r:id="rId73">
        <w:r w:rsidR="46E648B7" w:rsidRPr="60ECF5C7">
          <w:rPr>
            <w:rStyle w:val="af1"/>
            <w:rFonts w:ascii="Times New Roman" w:eastAsia="Times New Roman" w:hAnsi="Times New Roman" w:cs="Times New Roman"/>
            <w:sz w:val="28"/>
            <w:szCs w:val="28"/>
            <w:lang w:val="en-US"/>
          </w:rPr>
          <w:t>https://www.osw.waw.pl/en/publikacje/osw-commentary/2024-04-26/crisis-opportunity-a-new-stage-eu-central-asia-relations</w:t>
        </w:r>
      </w:hyperlink>
      <w:r w:rsidR="46E648B7" w:rsidRPr="60ECF5C7">
        <w:rPr>
          <w:rFonts w:ascii="Times New Roman" w:eastAsia="Times New Roman" w:hAnsi="Times New Roman" w:cs="Times New Roman"/>
          <w:color w:val="000000" w:themeColor="text1"/>
          <w:sz w:val="28"/>
          <w:szCs w:val="28"/>
          <w:lang w:val="en-US"/>
        </w:rPr>
        <w:t xml:space="preserve"> </w:t>
      </w:r>
      <w:r w:rsidR="2E8B97FA" w:rsidRPr="008E6865">
        <w:rPr>
          <w:rFonts w:ascii="Times New Roman" w:eastAsia="Times New Roman" w:hAnsi="Times New Roman" w:cs="Times New Roman"/>
          <w:color w:val="000000" w:themeColor="text1"/>
          <w:sz w:val="28"/>
          <w:szCs w:val="28"/>
          <w:lang w:val="en-US"/>
        </w:rPr>
        <w:t>15.08.2024</w:t>
      </w:r>
    </w:p>
    <w:p w14:paraId="2D3F0BEC" w14:textId="77777777" w:rsidR="60ECF5C7" w:rsidRDefault="60ECF5C7" w:rsidP="60ECF5C7">
      <w:pPr>
        <w:pStyle w:val="ae"/>
        <w:spacing w:after="0" w:line="240" w:lineRule="auto"/>
        <w:ind w:left="709" w:firstLine="709"/>
        <w:jc w:val="both"/>
        <w:rPr>
          <w:rFonts w:ascii="Times New Roman" w:eastAsia="Times New Roman" w:hAnsi="Times New Roman" w:cs="Times New Roman"/>
          <w:color w:val="000000" w:themeColor="text1"/>
          <w:sz w:val="28"/>
          <w:szCs w:val="28"/>
          <w:lang w:val="en-US"/>
        </w:rPr>
      </w:pPr>
    </w:p>
    <w:p w14:paraId="75CF4315" w14:textId="77777777" w:rsidR="79B2C90B" w:rsidRDefault="79B2C90B" w:rsidP="50F76268">
      <w:pPr>
        <w:pStyle w:val="ae"/>
        <w:jc w:val="both"/>
        <w:rPr>
          <w:rFonts w:ascii="Times New Roman" w:eastAsia="Times New Roman" w:hAnsi="Times New Roman" w:cs="Times New Roman"/>
          <w:color w:val="000000" w:themeColor="text1"/>
          <w:sz w:val="28"/>
          <w:szCs w:val="28"/>
          <w:lang w:val="en-US"/>
        </w:rPr>
      </w:pPr>
    </w:p>
    <w:p w14:paraId="3CB648E9" w14:textId="77777777" w:rsidR="0BE2D7A4" w:rsidRPr="00664C74" w:rsidRDefault="0BE2D7A4" w:rsidP="79B2C90B">
      <w:pPr>
        <w:spacing w:line="240" w:lineRule="auto"/>
        <w:ind w:left="708"/>
        <w:jc w:val="both"/>
        <w:rPr>
          <w:rFonts w:ascii="Times New Roman" w:eastAsia="Times New Roman" w:hAnsi="Times New Roman" w:cs="Times New Roman"/>
          <w:sz w:val="28"/>
          <w:szCs w:val="28"/>
          <w:lang w:val="en-US"/>
        </w:rPr>
      </w:pPr>
    </w:p>
    <w:sectPr w:rsidR="0BE2D7A4" w:rsidRPr="00664C74" w:rsidSect="008E6865">
      <w:headerReference w:type="default" r:id="rId74"/>
      <w:footerReference w:type="default" r:id="rId75"/>
      <w:headerReference w:type="first" r:id="rId76"/>
      <w:footerReference w:type="first" r:id="rId77"/>
      <w:pgSz w:w="11906" w:h="16838"/>
      <w:pgMar w:top="1134" w:right="567" w:bottom="1134" w:left="1701"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29A85" w14:textId="77777777" w:rsidR="00EC2D59" w:rsidRDefault="00EC2D59">
      <w:pPr>
        <w:spacing w:after="0" w:line="240" w:lineRule="auto"/>
      </w:pPr>
      <w:r>
        <w:separator/>
      </w:r>
    </w:p>
  </w:endnote>
  <w:endnote w:type="continuationSeparator" w:id="0">
    <w:p w14:paraId="46E257BE" w14:textId="77777777" w:rsidR="00EC2D59" w:rsidRDefault="00EC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IBM Plex Sans">
    <w:altName w:val="Arial"/>
    <w:charset w:val="00"/>
    <w:family w:val="swiss"/>
    <w:pitch w:val="variable"/>
    <w:sig w:usb0="00000001" w:usb1="5000207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8E6865" w14:paraId="18F999B5" w14:textId="77777777" w:rsidTr="0BE2D7A4">
      <w:trPr>
        <w:trHeight w:val="300"/>
      </w:trPr>
      <w:tc>
        <w:tcPr>
          <w:tcW w:w="3005" w:type="dxa"/>
        </w:tcPr>
        <w:p w14:paraId="13C326F3" w14:textId="77777777" w:rsidR="008E6865" w:rsidRDefault="008E6865" w:rsidP="0BE2D7A4">
          <w:pPr>
            <w:pStyle w:val="a4"/>
            <w:ind w:left="-115"/>
          </w:pPr>
        </w:p>
      </w:tc>
      <w:tc>
        <w:tcPr>
          <w:tcW w:w="3005" w:type="dxa"/>
        </w:tcPr>
        <w:p w14:paraId="4853B841" w14:textId="77777777" w:rsidR="008E6865" w:rsidRDefault="008E6865" w:rsidP="0BE2D7A4">
          <w:pPr>
            <w:pStyle w:val="a4"/>
            <w:jc w:val="center"/>
          </w:pPr>
        </w:p>
      </w:tc>
      <w:tc>
        <w:tcPr>
          <w:tcW w:w="3005" w:type="dxa"/>
        </w:tcPr>
        <w:p w14:paraId="7144751B" w14:textId="77777777" w:rsidR="008E6865" w:rsidRDefault="008E6865" w:rsidP="0BE2D7A4">
          <w:pPr>
            <w:pStyle w:val="a4"/>
            <w:ind w:right="-115"/>
            <w:jc w:val="right"/>
          </w:pPr>
          <w:r>
            <w:fldChar w:fldCharType="begin"/>
          </w:r>
          <w:r>
            <w:instrText>PAGE</w:instrText>
          </w:r>
          <w:r>
            <w:fldChar w:fldCharType="separate"/>
          </w:r>
          <w:r w:rsidR="00331C14">
            <w:rPr>
              <w:noProof/>
            </w:rPr>
            <w:t>21</w:t>
          </w:r>
          <w:r>
            <w:fldChar w:fldCharType="end"/>
          </w:r>
        </w:p>
      </w:tc>
    </w:tr>
  </w:tbl>
  <w:p w14:paraId="50125231" w14:textId="77777777" w:rsidR="008E6865" w:rsidRDefault="008E6865" w:rsidP="0BE2D7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8E6865" w14:paraId="20BD9A1A" w14:textId="77777777" w:rsidTr="7315D5B6">
      <w:trPr>
        <w:trHeight w:val="300"/>
      </w:trPr>
      <w:tc>
        <w:tcPr>
          <w:tcW w:w="3005" w:type="dxa"/>
        </w:tcPr>
        <w:p w14:paraId="0C136CF1" w14:textId="77777777" w:rsidR="008E6865" w:rsidRDefault="008E6865" w:rsidP="7315D5B6">
          <w:pPr>
            <w:pStyle w:val="a4"/>
            <w:ind w:left="-115"/>
          </w:pPr>
        </w:p>
      </w:tc>
      <w:tc>
        <w:tcPr>
          <w:tcW w:w="3005" w:type="dxa"/>
        </w:tcPr>
        <w:p w14:paraId="0A392C6A" w14:textId="77777777" w:rsidR="008E6865" w:rsidRDefault="008E6865" w:rsidP="7315D5B6">
          <w:pPr>
            <w:pStyle w:val="a4"/>
            <w:jc w:val="center"/>
          </w:pPr>
        </w:p>
      </w:tc>
      <w:tc>
        <w:tcPr>
          <w:tcW w:w="3005" w:type="dxa"/>
        </w:tcPr>
        <w:p w14:paraId="290583F9" w14:textId="77777777" w:rsidR="008E6865" w:rsidRDefault="008E6865" w:rsidP="7315D5B6">
          <w:pPr>
            <w:pStyle w:val="a4"/>
            <w:ind w:right="-115"/>
            <w:jc w:val="right"/>
          </w:pPr>
        </w:p>
      </w:tc>
    </w:tr>
  </w:tbl>
  <w:p w14:paraId="68F21D90" w14:textId="77777777" w:rsidR="008E6865" w:rsidRDefault="008E6865" w:rsidP="7315D5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BF961" w14:textId="77777777" w:rsidR="00EC2D59" w:rsidRDefault="00EC2D59">
      <w:pPr>
        <w:spacing w:after="0" w:line="240" w:lineRule="auto"/>
      </w:pPr>
      <w:r>
        <w:separator/>
      </w:r>
    </w:p>
  </w:footnote>
  <w:footnote w:type="continuationSeparator" w:id="0">
    <w:p w14:paraId="6782705D" w14:textId="77777777" w:rsidR="00EC2D59" w:rsidRDefault="00EC2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8E6865" w14:paraId="47341341" w14:textId="77777777" w:rsidTr="0BE2D7A4">
      <w:trPr>
        <w:trHeight w:val="300"/>
      </w:trPr>
      <w:tc>
        <w:tcPr>
          <w:tcW w:w="3005" w:type="dxa"/>
        </w:tcPr>
        <w:p w14:paraId="42EF2083" w14:textId="77777777" w:rsidR="008E6865" w:rsidRDefault="008E6865" w:rsidP="0BE2D7A4">
          <w:pPr>
            <w:pStyle w:val="a4"/>
            <w:ind w:left="-115"/>
          </w:pPr>
        </w:p>
      </w:tc>
      <w:tc>
        <w:tcPr>
          <w:tcW w:w="3005" w:type="dxa"/>
        </w:tcPr>
        <w:p w14:paraId="7B40C951" w14:textId="77777777" w:rsidR="008E6865" w:rsidRDefault="008E6865" w:rsidP="0BE2D7A4">
          <w:pPr>
            <w:pStyle w:val="a4"/>
            <w:jc w:val="center"/>
          </w:pPr>
        </w:p>
      </w:tc>
      <w:tc>
        <w:tcPr>
          <w:tcW w:w="3005" w:type="dxa"/>
        </w:tcPr>
        <w:p w14:paraId="4B4D7232" w14:textId="77777777" w:rsidR="008E6865" w:rsidRDefault="008E6865" w:rsidP="0BE2D7A4">
          <w:pPr>
            <w:pStyle w:val="a4"/>
            <w:ind w:right="-115"/>
            <w:jc w:val="right"/>
          </w:pPr>
        </w:p>
      </w:tc>
    </w:tr>
  </w:tbl>
  <w:p w14:paraId="2093CA67" w14:textId="77777777" w:rsidR="008E6865" w:rsidRDefault="008E6865" w:rsidP="0BE2D7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8E6865" w14:paraId="0C178E9E" w14:textId="77777777" w:rsidTr="7315D5B6">
      <w:trPr>
        <w:trHeight w:val="300"/>
      </w:trPr>
      <w:tc>
        <w:tcPr>
          <w:tcW w:w="3005" w:type="dxa"/>
        </w:tcPr>
        <w:p w14:paraId="3C0395D3" w14:textId="77777777" w:rsidR="008E6865" w:rsidRDefault="008E6865" w:rsidP="7315D5B6">
          <w:pPr>
            <w:pStyle w:val="a4"/>
            <w:ind w:left="-115"/>
          </w:pPr>
        </w:p>
      </w:tc>
      <w:tc>
        <w:tcPr>
          <w:tcW w:w="3005" w:type="dxa"/>
        </w:tcPr>
        <w:p w14:paraId="3254BC2F" w14:textId="77777777" w:rsidR="008E6865" w:rsidRDefault="008E6865" w:rsidP="7315D5B6">
          <w:pPr>
            <w:pStyle w:val="a4"/>
            <w:jc w:val="center"/>
          </w:pPr>
        </w:p>
      </w:tc>
      <w:tc>
        <w:tcPr>
          <w:tcW w:w="3005" w:type="dxa"/>
        </w:tcPr>
        <w:p w14:paraId="651E9592" w14:textId="77777777" w:rsidR="008E6865" w:rsidRDefault="008E6865" w:rsidP="7315D5B6">
          <w:pPr>
            <w:pStyle w:val="a4"/>
            <w:ind w:right="-115"/>
            <w:jc w:val="right"/>
          </w:pPr>
        </w:p>
      </w:tc>
    </w:tr>
  </w:tbl>
  <w:p w14:paraId="269E314A" w14:textId="77777777" w:rsidR="008E6865" w:rsidRDefault="008E6865" w:rsidP="7315D5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D476"/>
    <w:multiLevelType w:val="hybridMultilevel"/>
    <w:tmpl w:val="3CB07898"/>
    <w:lvl w:ilvl="0" w:tplc="D5B400F6">
      <w:start w:val="1"/>
      <w:numFmt w:val="bullet"/>
      <w:lvlText w:val="-"/>
      <w:lvlJc w:val="left"/>
      <w:pPr>
        <w:ind w:left="720" w:hanging="360"/>
      </w:pPr>
      <w:rPr>
        <w:rFonts w:ascii="Aptos" w:hAnsi="Aptos" w:hint="default"/>
      </w:rPr>
    </w:lvl>
    <w:lvl w:ilvl="1" w:tplc="15CEC010">
      <w:start w:val="1"/>
      <w:numFmt w:val="bullet"/>
      <w:lvlText w:val="o"/>
      <w:lvlJc w:val="left"/>
      <w:pPr>
        <w:ind w:left="1440" w:hanging="360"/>
      </w:pPr>
      <w:rPr>
        <w:rFonts w:ascii="Courier New" w:hAnsi="Courier New" w:hint="default"/>
      </w:rPr>
    </w:lvl>
    <w:lvl w:ilvl="2" w:tplc="9A3C9844">
      <w:start w:val="1"/>
      <w:numFmt w:val="bullet"/>
      <w:lvlText w:val=""/>
      <w:lvlJc w:val="left"/>
      <w:pPr>
        <w:ind w:left="2160" w:hanging="360"/>
      </w:pPr>
      <w:rPr>
        <w:rFonts w:ascii="Wingdings" w:hAnsi="Wingdings" w:hint="default"/>
      </w:rPr>
    </w:lvl>
    <w:lvl w:ilvl="3" w:tplc="0574A92A">
      <w:start w:val="1"/>
      <w:numFmt w:val="bullet"/>
      <w:lvlText w:val=""/>
      <w:lvlJc w:val="left"/>
      <w:pPr>
        <w:ind w:left="2880" w:hanging="360"/>
      </w:pPr>
      <w:rPr>
        <w:rFonts w:ascii="Symbol" w:hAnsi="Symbol" w:hint="default"/>
      </w:rPr>
    </w:lvl>
    <w:lvl w:ilvl="4" w:tplc="25741A7E">
      <w:start w:val="1"/>
      <w:numFmt w:val="bullet"/>
      <w:lvlText w:val="o"/>
      <w:lvlJc w:val="left"/>
      <w:pPr>
        <w:ind w:left="3600" w:hanging="360"/>
      </w:pPr>
      <w:rPr>
        <w:rFonts w:ascii="Courier New" w:hAnsi="Courier New" w:hint="default"/>
      </w:rPr>
    </w:lvl>
    <w:lvl w:ilvl="5" w:tplc="AA96DC66">
      <w:start w:val="1"/>
      <w:numFmt w:val="bullet"/>
      <w:lvlText w:val=""/>
      <w:lvlJc w:val="left"/>
      <w:pPr>
        <w:ind w:left="4320" w:hanging="360"/>
      </w:pPr>
      <w:rPr>
        <w:rFonts w:ascii="Wingdings" w:hAnsi="Wingdings" w:hint="default"/>
      </w:rPr>
    </w:lvl>
    <w:lvl w:ilvl="6" w:tplc="E7121A46">
      <w:start w:val="1"/>
      <w:numFmt w:val="bullet"/>
      <w:lvlText w:val=""/>
      <w:lvlJc w:val="left"/>
      <w:pPr>
        <w:ind w:left="5040" w:hanging="360"/>
      </w:pPr>
      <w:rPr>
        <w:rFonts w:ascii="Symbol" w:hAnsi="Symbol" w:hint="default"/>
      </w:rPr>
    </w:lvl>
    <w:lvl w:ilvl="7" w:tplc="69963DD0">
      <w:start w:val="1"/>
      <w:numFmt w:val="bullet"/>
      <w:lvlText w:val="o"/>
      <w:lvlJc w:val="left"/>
      <w:pPr>
        <w:ind w:left="5760" w:hanging="360"/>
      </w:pPr>
      <w:rPr>
        <w:rFonts w:ascii="Courier New" w:hAnsi="Courier New" w:hint="default"/>
      </w:rPr>
    </w:lvl>
    <w:lvl w:ilvl="8" w:tplc="BA780794">
      <w:start w:val="1"/>
      <w:numFmt w:val="bullet"/>
      <w:lvlText w:val=""/>
      <w:lvlJc w:val="left"/>
      <w:pPr>
        <w:ind w:left="6480" w:hanging="360"/>
      </w:pPr>
      <w:rPr>
        <w:rFonts w:ascii="Wingdings" w:hAnsi="Wingdings" w:hint="default"/>
      </w:rPr>
    </w:lvl>
  </w:abstractNum>
  <w:abstractNum w:abstractNumId="1" w15:restartNumberingAfterBreak="0">
    <w:nsid w:val="03E931B9"/>
    <w:multiLevelType w:val="hybridMultilevel"/>
    <w:tmpl w:val="46BE75CE"/>
    <w:lvl w:ilvl="0" w:tplc="CFC2DBC8">
      <w:start w:val="1"/>
      <w:numFmt w:val="decimal"/>
      <w:lvlText w:val="%1."/>
      <w:lvlJc w:val="left"/>
      <w:pPr>
        <w:ind w:left="1080" w:hanging="360"/>
      </w:pPr>
    </w:lvl>
    <w:lvl w:ilvl="1" w:tplc="42A66DC6">
      <w:start w:val="1"/>
      <w:numFmt w:val="lowerLetter"/>
      <w:lvlText w:val="%2."/>
      <w:lvlJc w:val="left"/>
      <w:pPr>
        <w:ind w:left="1800" w:hanging="360"/>
      </w:pPr>
    </w:lvl>
    <w:lvl w:ilvl="2" w:tplc="9E2470A4">
      <w:start w:val="1"/>
      <w:numFmt w:val="lowerRoman"/>
      <w:lvlText w:val="%3."/>
      <w:lvlJc w:val="right"/>
      <w:pPr>
        <w:ind w:left="2520" w:hanging="180"/>
      </w:pPr>
    </w:lvl>
    <w:lvl w:ilvl="3" w:tplc="CEA2D390">
      <w:start w:val="1"/>
      <w:numFmt w:val="decimal"/>
      <w:lvlText w:val="%4."/>
      <w:lvlJc w:val="left"/>
      <w:pPr>
        <w:ind w:left="3240" w:hanging="360"/>
      </w:pPr>
    </w:lvl>
    <w:lvl w:ilvl="4" w:tplc="EDD0C5CE">
      <w:start w:val="1"/>
      <w:numFmt w:val="lowerLetter"/>
      <w:lvlText w:val="%5."/>
      <w:lvlJc w:val="left"/>
      <w:pPr>
        <w:ind w:left="3960" w:hanging="360"/>
      </w:pPr>
    </w:lvl>
    <w:lvl w:ilvl="5" w:tplc="F47E2CE0">
      <w:start w:val="1"/>
      <w:numFmt w:val="lowerRoman"/>
      <w:lvlText w:val="%6."/>
      <w:lvlJc w:val="right"/>
      <w:pPr>
        <w:ind w:left="4680" w:hanging="180"/>
      </w:pPr>
    </w:lvl>
    <w:lvl w:ilvl="6" w:tplc="0B6EDD02">
      <w:start w:val="1"/>
      <w:numFmt w:val="decimal"/>
      <w:lvlText w:val="%7."/>
      <w:lvlJc w:val="left"/>
      <w:pPr>
        <w:ind w:left="5400" w:hanging="360"/>
      </w:pPr>
    </w:lvl>
    <w:lvl w:ilvl="7" w:tplc="4ECEBCD8">
      <w:start w:val="1"/>
      <w:numFmt w:val="lowerLetter"/>
      <w:lvlText w:val="%8."/>
      <w:lvlJc w:val="left"/>
      <w:pPr>
        <w:ind w:left="6120" w:hanging="360"/>
      </w:pPr>
    </w:lvl>
    <w:lvl w:ilvl="8" w:tplc="63AE930C">
      <w:start w:val="1"/>
      <w:numFmt w:val="lowerRoman"/>
      <w:lvlText w:val="%9."/>
      <w:lvlJc w:val="right"/>
      <w:pPr>
        <w:ind w:left="6840" w:hanging="180"/>
      </w:pPr>
    </w:lvl>
  </w:abstractNum>
  <w:abstractNum w:abstractNumId="2" w15:restartNumberingAfterBreak="0">
    <w:nsid w:val="08391857"/>
    <w:multiLevelType w:val="hybridMultilevel"/>
    <w:tmpl w:val="07D86C4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090BC761"/>
    <w:multiLevelType w:val="multilevel"/>
    <w:tmpl w:val="AF6404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DB3A20"/>
    <w:multiLevelType w:val="hybridMultilevel"/>
    <w:tmpl w:val="08A6471C"/>
    <w:lvl w:ilvl="0" w:tplc="782E187C">
      <w:start w:val="1"/>
      <w:numFmt w:val="bullet"/>
      <w:lvlText w:val="-"/>
      <w:lvlJc w:val="left"/>
      <w:pPr>
        <w:ind w:left="720" w:hanging="360"/>
      </w:pPr>
      <w:rPr>
        <w:rFonts w:ascii="Aptos" w:hAnsi="Aptos" w:hint="default"/>
      </w:rPr>
    </w:lvl>
    <w:lvl w:ilvl="1" w:tplc="AD1C7644">
      <w:start w:val="1"/>
      <w:numFmt w:val="bullet"/>
      <w:lvlText w:val="o"/>
      <w:lvlJc w:val="left"/>
      <w:pPr>
        <w:ind w:left="1440" w:hanging="360"/>
      </w:pPr>
      <w:rPr>
        <w:rFonts w:ascii="Courier New" w:hAnsi="Courier New" w:hint="default"/>
      </w:rPr>
    </w:lvl>
    <w:lvl w:ilvl="2" w:tplc="AC5CB3AE">
      <w:start w:val="1"/>
      <w:numFmt w:val="bullet"/>
      <w:lvlText w:val=""/>
      <w:lvlJc w:val="left"/>
      <w:pPr>
        <w:ind w:left="2160" w:hanging="360"/>
      </w:pPr>
      <w:rPr>
        <w:rFonts w:ascii="Wingdings" w:hAnsi="Wingdings" w:hint="default"/>
      </w:rPr>
    </w:lvl>
    <w:lvl w:ilvl="3" w:tplc="B2A052D0">
      <w:start w:val="1"/>
      <w:numFmt w:val="bullet"/>
      <w:lvlText w:val=""/>
      <w:lvlJc w:val="left"/>
      <w:pPr>
        <w:ind w:left="2880" w:hanging="360"/>
      </w:pPr>
      <w:rPr>
        <w:rFonts w:ascii="Symbol" w:hAnsi="Symbol" w:hint="default"/>
      </w:rPr>
    </w:lvl>
    <w:lvl w:ilvl="4" w:tplc="634A909A">
      <w:start w:val="1"/>
      <w:numFmt w:val="bullet"/>
      <w:lvlText w:val="o"/>
      <w:lvlJc w:val="left"/>
      <w:pPr>
        <w:ind w:left="3600" w:hanging="360"/>
      </w:pPr>
      <w:rPr>
        <w:rFonts w:ascii="Courier New" w:hAnsi="Courier New" w:hint="default"/>
      </w:rPr>
    </w:lvl>
    <w:lvl w:ilvl="5" w:tplc="FDF8C812">
      <w:start w:val="1"/>
      <w:numFmt w:val="bullet"/>
      <w:lvlText w:val=""/>
      <w:lvlJc w:val="left"/>
      <w:pPr>
        <w:ind w:left="4320" w:hanging="360"/>
      </w:pPr>
      <w:rPr>
        <w:rFonts w:ascii="Wingdings" w:hAnsi="Wingdings" w:hint="default"/>
      </w:rPr>
    </w:lvl>
    <w:lvl w:ilvl="6" w:tplc="05E80002">
      <w:start w:val="1"/>
      <w:numFmt w:val="bullet"/>
      <w:lvlText w:val=""/>
      <w:lvlJc w:val="left"/>
      <w:pPr>
        <w:ind w:left="5040" w:hanging="360"/>
      </w:pPr>
      <w:rPr>
        <w:rFonts w:ascii="Symbol" w:hAnsi="Symbol" w:hint="default"/>
      </w:rPr>
    </w:lvl>
    <w:lvl w:ilvl="7" w:tplc="952EB074">
      <w:start w:val="1"/>
      <w:numFmt w:val="bullet"/>
      <w:lvlText w:val="o"/>
      <w:lvlJc w:val="left"/>
      <w:pPr>
        <w:ind w:left="5760" w:hanging="360"/>
      </w:pPr>
      <w:rPr>
        <w:rFonts w:ascii="Courier New" w:hAnsi="Courier New" w:hint="default"/>
      </w:rPr>
    </w:lvl>
    <w:lvl w:ilvl="8" w:tplc="F8AEE82A">
      <w:start w:val="1"/>
      <w:numFmt w:val="bullet"/>
      <w:lvlText w:val=""/>
      <w:lvlJc w:val="left"/>
      <w:pPr>
        <w:ind w:left="6480" w:hanging="360"/>
      </w:pPr>
      <w:rPr>
        <w:rFonts w:ascii="Wingdings" w:hAnsi="Wingdings" w:hint="default"/>
      </w:rPr>
    </w:lvl>
  </w:abstractNum>
  <w:abstractNum w:abstractNumId="5" w15:restartNumberingAfterBreak="0">
    <w:nsid w:val="0F66A194"/>
    <w:multiLevelType w:val="hybridMultilevel"/>
    <w:tmpl w:val="D52A5BDA"/>
    <w:lvl w:ilvl="0" w:tplc="40C4333E">
      <w:start w:val="1"/>
      <w:numFmt w:val="decimal"/>
      <w:lvlText w:val="%1."/>
      <w:lvlJc w:val="left"/>
      <w:pPr>
        <w:ind w:left="1080" w:hanging="360"/>
      </w:pPr>
    </w:lvl>
    <w:lvl w:ilvl="1" w:tplc="1AA483F8">
      <w:start w:val="1"/>
      <w:numFmt w:val="lowerLetter"/>
      <w:lvlText w:val="%2."/>
      <w:lvlJc w:val="left"/>
      <w:pPr>
        <w:ind w:left="1800" w:hanging="360"/>
      </w:pPr>
    </w:lvl>
    <w:lvl w:ilvl="2" w:tplc="507E68A6">
      <w:start w:val="1"/>
      <w:numFmt w:val="lowerRoman"/>
      <w:lvlText w:val="%3."/>
      <w:lvlJc w:val="right"/>
      <w:pPr>
        <w:ind w:left="2520" w:hanging="180"/>
      </w:pPr>
    </w:lvl>
    <w:lvl w:ilvl="3" w:tplc="2D5EB73A">
      <w:start w:val="1"/>
      <w:numFmt w:val="decimal"/>
      <w:lvlText w:val="%4."/>
      <w:lvlJc w:val="left"/>
      <w:pPr>
        <w:ind w:left="3240" w:hanging="360"/>
      </w:pPr>
    </w:lvl>
    <w:lvl w:ilvl="4" w:tplc="C7B86F1A">
      <w:start w:val="1"/>
      <w:numFmt w:val="lowerLetter"/>
      <w:lvlText w:val="%5."/>
      <w:lvlJc w:val="left"/>
      <w:pPr>
        <w:ind w:left="3960" w:hanging="360"/>
      </w:pPr>
    </w:lvl>
    <w:lvl w:ilvl="5" w:tplc="9AAAE1AE">
      <w:start w:val="1"/>
      <w:numFmt w:val="lowerRoman"/>
      <w:lvlText w:val="%6."/>
      <w:lvlJc w:val="right"/>
      <w:pPr>
        <w:ind w:left="4680" w:hanging="180"/>
      </w:pPr>
    </w:lvl>
    <w:lvl w:ilvl="6" w:tplc="8B26A7A4">
      <w:start w:val="1"/>
      <w:numFmt w:val="decimal"/>
      <w:lvlText w:val="%7."/>
      <w:lvlJc w:val="left"/>
      <w:pPr>
        <w:ind w:left="5400" w:hanging="360"/>
      </w:pPr>
    </w:lvl>
    <w:lvl w:ilvl="7" w:tplc="C5E0DA0C">
      <w:start w:val="1"/>
      <w:numFmt w:val="lowerLetter"/>
      <w:lvlText w:val="%8."/>
      <w:lvlJc w:val="left"/>
      <w:pPr>
        <w:ind w:left="6120" w:hanging="360"/>
      </w:pPr>
    </w:lvl>
    <w:lvl w:ilvl="8" w:tplc="ABA6AC42">
      <w:start w:val="1"/>
      <w:numFmt w:val="lowerRoman"/>
      <w:lvlText w:val="%9."/>
      <w:lvlJc w:val="right"/>
      <w:pPr>
        <w:ind w:left="6840" w:hanging="180"/>
      </w:pPr>
    </w:lvl>
  </w:abstractNum>
  <w:abstractNum w:abstractNumId="6" w15:restartNumberingAfterBreak="0">
    <w:nsid w:val="175D512F"/>
    <w:multiLevelType w:val="multilevel"/>
    <w:tmpl w:val="BCC6A3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83FB315"/>
    <w:multiLevelType w:val="hybridMultilevel"/>
    <w:tmpl w:val="2362B5E2"/>
    <w:lvl w:ilvl="0" w:tplc="0FBE287E">
      <w:start w:val="1"/>
      <w:numFmt w:val="bullet"/>
      <w:lvlText w:val="-"/>
      <w:lvlJc w:val="left"/>
      <w:pPr>
        <w:ind w:left="1068" w:hanging="360"/>
      </w:pPr>
      <w:rPr>
        <w:rFonts w:ascii="Aptos" w:hAnsi="Aptos" w:hint="default"/>
      </w:rPr>
    </w:lvl>
    <w:lvl w:ilvl="1" w:tplc="D1AEB748">
      <w:start w:val="1"/>
      <w:numFmt w:val="bullet"/>
      <w:lvlText w:val="o"/>
      <w:lvlJc w:val="left"/>
      <w:pPr>
        <w:ind w:left="1788" w:hanging="360"/>
      </w:pPr>
      <w:rPr>
        <w:rFonts w:ascii="Courier New" w:hAnsi="Courier New" w:hint="default"/>
      </w:rPr>
    </w:lvl>
    <w:lvl w:ilvl="2" w:tplc="EDAC5D30">
      <w:start w:val="1"/>
      <w:numFmt w:val="bullet"/>
      <w:lvlText w:val=""/>
      <w:lvlJc w:val="left"/>
      <w:pPr>
        <w:ind w:left="2508" w:hanging="360"/>
      </w:pPr>
      <w:rPr>
        <w:rFonts w:ascii="Wingdings" w:hAnsi="Wingdings" w:hint="default"/>
      </w:rPr>
    </w:lvl>
    <w:lvl w:ilvl="3" w:tplc="5AC843C2">
      <w:start w:val="1"/>
      <w:numFmt w:val="bullet"/>
      <w:lvlText w:val=""/>
      <w:lvlJc w:val="left"/>
      <w:pPr>
        <w:ind w:left="3228" w:hanging="360"/>
      </w:pPr>
      <w:rPr>
        <w:rFonts w:ascii="Symbol" w:hAnsi="Symbol" w:hint="default"/>
      </w:rPr>
    </w:lvl>
    <w:lvl w:ilvl="4" w:tplc="C07E32C4">
      <w:start w:val="1"/>
      <w:numFmt w:val="bullet"/>
      <w:lvlText w:val="o"/>
      <w:lvlJc w:val="left"/>
      <w:pPr>
        <w:ind w:left="3948" w:hanging="360"/>
      </w:pPr>
      <w:rPr>
        <w:rFonts w:ascii="Courier New" w:hAnsi="Courier New" w:hint="default"/>
      </w:rPr>
    </w:lvl>
    <w:lvl w:ilvl="5" w:tplc="CEA4E5BE">
      <w:start w:val="1"/>
      <w:numFmt w:val="bullet"/>
      <w:lvlText w:val=""/>
      <w:lvlJc w:val="left"/>
      <w:pPr>
        <w:ind w:left="4668" w:hanging="360"/>
      </w:pPr>
      <w:rPr>
        <w:rFonts w:ascii="Wingdings" w:hAnsi="Wingdings" w:hint="default"/>
      </w:rPr>
    </w:lvl>
    <w:lvl w:ilvl="6" w:tplc="25C69B86">
      <w:start w:val="1"/>
      <w:numFmt w:val="bullet"/>
      <w:lvlText w:val=""/>
      <w:lvlJc w:val="left"/>
      <w:pPr>
        <w:ind w:left="5388" w:hanging="360"/>
      </w:pPr>
      <w:rPr>
        <w:rFonts w:ascii="Symbol" w:hAnsi="Symbol" w:hint="default"/>
      </w:rPr>
    </w:lvl>
    <w:lvl w:ilvl="7" w:tplc="0BA2B8A4">
      <w:start w:val="1"/>
      <w:numFmt w:val="bullet"/>
      <w:lvlText w:val="o"/>
      <w:lvlJc w:val="left"/>
      <w:pPr>
        <w:ind w:left="6108" w:hanging="360"/>
      </w:pPr>
      <w:rPr>
        <w:rFonts w:ascii="Courier New" w:hAnsi="Courier New" w:hint="default"/>
      </w:rPr>
    </w:lvl>
    <w:lvl w:ilvl="8" w:tplc="FD309EFE">
      <w:start w:val="1"/>
      <w:numFmt w:val="bullet"/>
      <w:lvlText w:val=""/>
      <w:lvlJc w:val="left"/>
      <w:pPr>
        <w:ind w:left="6828" w:hanging="360"/>
      </w:pPr>
      <w:rPr>
        <w:rFonts w:ascii="Wingdings" w:hAnsi="Wingdings" w:hint="default"/>
      </w:rPr>
    </w:lvl>
  </w:abstractNum>
  <w:abstractNum w:abstractNumId="8" w15:restartNumberingAfterBreak="0">
    <w:nsid w:val="1BED309D"/>
    <w:multiLevelType w:val="multilevel"/>
    <w:tmpl w:val="700C0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512F3DF"/>
    <w:multiLevelType w:val="hybridMultilevel"/>
    <w:tmpl w:val="5C56D338"/>
    <w:lvl w:ilvl="0" w:tplc="B2EC87C6">
      <w:start w:val="1"/>
      <w:numFmt w:val="bullet"/>
      <w:lvlText w:val="-"/>
      <w:lvlJc w:val="left"/>
      <w:pPr>
        <w:ind w:left="1068" w:hanging="360"/>
      </w:pPr>
      <w:rPr>
        <w:rFonts w:ascii="Aptos" w:hAnsi="Aptos" w:hint="default"/>
      </w:rPr>
    </w:lvl>
    <w:lvl w:ilvl="1" w:tplc="1C684C74">
      <w:start w:val="1"/>
      <w:numFmt w:val="bullet"/>
      <w:lvlText w:val="o"/>
      <w:lvlJc w:val="left"/>
      <w:pPr>
        <w:ind w:left="1788" w:hanging="360"/>
      </w:pPr>
      <w:rPr>
        <w:rFonts w:ascii="Courier New" w:hAnsi="Courier New" w:hint="default"/>
      </w:rPr>
    </w:lvl>
    <w:lvl w:ilvl="2" w:tplc="6FAEC2C6">
      <w:start w:val="1"/>
      <w:numFmt w:val="bullet"/>
      <w:lvlText w:val=""/>
      <w:lvlJc w:val="left"/>
      <w:pPr>
        <w:ind w:left="2508" w:hanging="360"/>
      </w:pPr>
      <w:rPr>
        <w:rFonts w:ascii="Wingdings" w:hAnsi="Wingdings" w:hint="default"/>
      </w:rPr>
    </w:lvl>
    <w:lvl w:ilvl="3" w:tplc="D8B422E0">
      <w:start w:val="1"/>
      <w:numFmt w:val="bullet"/>
      <w:lvlText w:val=""/>
      <w:lvlJc w:val="left"/>
      <w:pPr>
        <w:ind w:left="3228" w:hanging="360"/>
      </w:pPr>
      <w:rPr>
        <w:rFonts w:ascii="Symbol" w:hAnsi="Symbol" w:hint="default"/>
      </w:rPr>
    </w:lvl>
    <w:lvl w:ilvl="4" w:tplc="4078B684">
      <w:start w:val="1"/>
      <w:numFmt w:val="bullet"/>
      <w:lvlText w:val="o"/>
      <w:lvlJc w:val="left"/>
      <w:pPr>
        <w:ind w:left="3948" w:hanging="360"/>
      </w:pPr>
      <w:rPr>
        <w:rFonts w:ascii="Courier New" w:hAnsi="Courier New" w:hint="default"/>
      </w:rPr>
    </w:lvl>
    <w:lvl w:ilvl="5" w:tplc="924A933A">
      <w:start w:val="1"/>
      <w:numFmt w:val="bullet"/>
      <w:lvlText w:val=""/>
      <w:lvlJc w:val="left"/>
      <w:pPr>
        <w:ind w:left="4668" w:hanging="360"/>
      </w:pPr>
      <w:rPr>
        <w:rFonts w:ascii="Wingdings" w:hAnsi="Wingdings" w:hint="default"/>
      </w:rPr>
    </w:lvl>
    <w:lvl w:ilvl="6" w:tplc="B17A201E">
      <w:start w:val="1"/>
      <w:numFmt w:val="bullet"/>
      <w:lvlText w:val=""/>
      <w:lvlJc w:val="left"/>
      <w:pPr>
        <w:ind w:left="5388" w:hanging="360"/>
      </w:pPr>
      <w:rPr>
        <w:rFonts w:ascii="Symbol" w:hAnsi="Symbol" w:hint="default"/>
      </w:rPr>
    </w:lvl>
    <w:lvl w:ilvl="7" w:tplc="81947816">
      <w:start w:val="1"/>
      <w:numFmt w:val="bullet"/>
      <w:lvlText w:val="o"/>
      <w:lvlJc w:val="left"/>
      <w:pPr>
        <w:ind w:left="6108" w:hanging="360"/>
      </w:pPr>
      <w:rPr>
        <w:rFonts w:ascii="Courier New" w:hAnsi="Courier New" w:hint="default"/>
      </w:rPr>
    </w:lvl>
    <w:lvl w:ilvl="8" w:tplc="4776E07A">
      <w:start w:val="1"/>
      <w:numFmt w:val="bullet"/>
      <w:lvlText w:val=""/>
      <w:lvlJc w:val="left"/>
      <w:pPr>
        <w:ind w:left="6828" w:hanging="360"/>
      </w:pPr>
      <w:rPr>
        <w:rFonts w:ascii="Wingdings" w:hAnsi="Wingdings" w:hint="default"/>
      </w:rPr>
    </w:lvl>
  </w:abstractNum>
  <w:abstractNum w:abstractNumId="10" w15:restartNumberingAfterBreak="0">
    <w:nsid w:val="2C67D5FF"/>
    <w:multiLevelType w:val="hybridMultilevel"/>
    <w:tmpl w:val="E5102E4A"/>
    <w:lvl w:ilvl="0" w:tplc="14FE9610">
      <w:start w:val="1"/>
      <w:numFmt w:val="decimal"/>
      <w:lvlText w:val="%1."/>
      <w:lvlJc w:val="left"/>
      <w:pPr>
        <w:ind w:left="1080" w:hanging="360"/>
      </w:pPr>
    </w:lvl>
    <w:lvl w:ilvl="1" w:tplc="747C5796">
      <w:start w:val="1"/>
      <w:numFmt w:val="lowerLetter"/>
      <w:lvlText w:val="%2."/>
      <w:lvlJc w:val="left"/>
      <w:pPr>
        <w:ind w:left="1800" w:hanging="360"/>
      </w:pPr>
    </w:lvl>
    <w:lvl w:ilvl="2" w:tplc="88F21BBA">
      <w:start w:val="1"/>
      <w:numFmt w:val="lowerRoman"/>
      <w:lvlText w:val="%3."/>
      <w:lvlJc w:val="right"/>
      <w:pPr>
        <w:ind w:left="2520" w:hanging="180"/>
      </w:pPr>
    </w:lvl>
    <w:lvl w:ilvl="3" w:tplc="23D62FE8">
      <w:start w:val="1"/>
      <w:numFmt w:val="decimal"/>
      <w:lvlText w:val="%4."/>
      <w:lvlJc w:val="left"/>
      <w:pPr>
        <w:ind w:left="3240" w:hanging="360"/>
      </w:pPr>
    </w:lvl>
    <w:lvl w:ilvl="4" w:tplc="273CA460">
      <w:start w:val="1"/>
      <w:numFmt w:val="lowerLetter"/>
      <w:lvlText w:val="%5."/>
      <w:lvlJc w:val="left"/>
      <w:pPr>
        <w:ind w:left="3960" w:hanging="360"/>
      </w:pPr>
    </w:lvl>
    <w:lvl w:ilvl="5" w:tplc="78442688">
      <w:start w:val="1"/>
      <w:numFmt w:val="lowerRoman"/>
      <w:lvlText w:val="%6."/>
      <w:lvlJc w:val="right"/>
      <w:pPr>
        <w:ind w:left="4680" w:hanging="180"/>
      </w:pPr>
    </w:lvl>
    <w:lvl w:ilvl="6" w:tplc="7CB23DC8">
      <w:start w:val="1"/>
      <w:numFmt w:val="decimal"/>
      <w:lvlText w:val="%7."/>
      <w:lvlJc w:val="left"/>
      <w:pPr>
        <w:ind w:left="5400" w:hanging="360"/>
      </w:pPr>
    </w:lvl>
    <w:lvl w:ilvl="7" w:tplc="978665F8">
      <w:start w:val="1"/>
      <w:numFmt w:val="lowerLetter"/>
      <w:lvlText w:val="%8."/>
      <w:lvlJc w:val="left"/>
      <w:pPr>
        <w:ind w:left="6120" w:hanging="360"/>
      </w:pPr>
    </w:lvl>
    <w:lvl w:ilvl="8" w:tplc="6534041E">
      <w:start w:val="1"/>
      <w:numFmt w:val="lowerRoman"/>
      <w:lvlText w:val="%9."/>
      <w:lvlJc w:val="right"/>
      <w:pPr>
        <w:ind w:left="6840" w:hanging="180"/>
      </w:pPr>
    </w:lvl>
  </w:abstractNum>
  <w:abstractNum w:abstractNumId="11" w15:restartNumberingAfterBreak="0">
    <w:nsid w:val="2DF112A2"/>
    <w:multiLevelType w:val="hybridMultilevel"/>
    <w:tmpl w:val="D542EE0C"/>
    <w:lvl w:ilvl="0" w:tplc="E25C64F8">
      <w:start w:val="1"/>
      <w:numFmt w:val="bullet"/>
      <w:lvlText w:val="-"/>
      <w:lvlJc w:val="left"/>
      <w:pPr>
        <w:ind w:left="1080" w:hanging="360"/>
      </w:pPr>
      <w:rPr>
        <w:rFonts w:ascii="Aptos" w:hAnsi="Aptos" w:hint="default"/>
      </w:rPr>
    </w:lvl>
    <w:lvl w:ilvl="1" w:tplc="0E507AF6">
      <w:start w:val="1"/>
      <w:numFmt w:val="bullet"/>
      <w:lvlText w:val="o"/>
      <w:lvlJc w:val="left"/>
      <w:pPr>
        <w:ind w:left="1800" w:hanging="360"/>
      </w:pPr>
      <w:rPr>
        <w:rFonts w:ascii="Courier New" w:hAnsi="Courier New" w:hint="default"/>
      </w:rPr>
    </w:lvl>
    <w:lvl w:ilvl="2" w:tplc="964EBC46">
      <w:start w:val="1"/>
      <w:numFmt w:val="bullet"/>
      <w:lvlText w:val=""/>
      <w:lvlJc w:val="left"/>
      <w:pPr>
        <w:ind w:left="2520" w:hanging="360"/>
      </w:pPr>
      <w:rPr>
        <w:rFonts w:ascii="Wingdings" w:hAnsi="Wingdings" w:hint="default"/>
      </w:rPr>
    </w:lvl>
    <w:lvl w:ilvl="3" w:tplc="8130A10A">
      <w:start w:val="1"/>
      <w:numFmt w:val="bullet"/>
      <w:lvlText w:val=""/>
      <w:lvlJc w:val="left"/>
      <w:pPr>
        <w:ind w:left="3240" w:hanging="360"/>
      </w:pPr>
      <w:rPr>
        <w:rFonts w:ascii="Symbol" w:hAnsi="Symbol" w:hint="default"/>
      </w:rPr>
    </w:lvl>
    <w:lvl w:ilvl="4" w:tplc="78D4D65A">
      <w:start w:val="1"/>
      <w:numFmt w:val="bullet"/>
      <w:lvlText w:val="o"/>
      <w:lvlJc w:val="left"/>
      <w:pPr>
        <w:ind w:left="3960" w:hanging="360"/>
      </w:pPr>
      <w:rPr>
        <w:rFonts w:ascii="Courier New" w:hAnsi="Courier New" w:hint="default"/>
      </w:rPr>
    </w:lvl>
    <w:lvl w:ilvl="5" w:tplc="CE6A38BA">
      <w:start w:val="1"/>
      <w:numFmt w:val="bullet"/>
      <w:lvlText w:val=""/>
      <w:lvlJc w:val="left"/>
      <w:pPr>
        <w:ind w:left="4680" w:hanging="360"/>
      </w:pPr>
      <w:rPr>
        <w:rFonts w:ascii="Wingdings" w:hAnsi="Wingdings" w:hint="default"/>
      </w:rPr>
    </w:lvl>
    <w:lvl w:ilvl="6" w:tplc="AE687F9E">
      <w:start w:val="1"/>
      <w:numFmt w:val="bullet"/>
      <w:lvlText w:val=""/>
      <w:lvlJc w:val="left"/>
      <w:pPr>
        <w:ind w:left="5400" w:hanging="360"/>
      </w:pPr>
      <w:rPr>
        <w:rFonts w:ascii="Symbol" w:hAnsi="Symbol" w:hint="default"/>
      </w:rPr>
    </w:lvl>
    <w:lvl w:ilvl="7" w:tplc="44CE05BE">
      <w:start w:val="1"/>
      <w:numFmt w:val="bullet"/>
      <w:lvlText w:val="o"/>
      <w:lvlJc w:val="left"/>
      <w:pPr>
        <w:ind w:left="6120" w:hanging="360"/>
      </w:pPr>
      <w:rPr>
        <w:rFonts w:ascii="Courier New" w:hAnsi="Courier New" w:hint="default"/>
      </w:rPr>
    </w:lvl>
    <w:lvl w:ilvl="8" w:tplc="BE0EB8C4">
      <w:start w:val="1"/>
      <w:numFmt w:val="bullet"/>
      <w:lvlText w:val=""/>
      <w:lvlJc w:val="left"/>
      <w:pPr>
        <w:ind w:left="6840" w:hanging="360"/>
      </w:pPr>
      <w:rPr>
        <w:rFonts w:ascii="Wingdings" w:hAnsi="Wingdings" w:hint="default"/>
      </w:rPr>
    </w:lvl>
  </w:abstractNum>
  <w:abstractNum w:abstractNumId="12" w15:restartNumberingAfterBreak="0">
    <w:nsid w:val="3C2F395E"/>
    <w:multiLevelType w:val="hybridMultilevel"/>
    <w:tmpl w:val="967EE92C"/>
    <w:lvl w:ilvl="0" w:tplc="D73A78EE">
      <w:start w:val="1"/>
      <w:numFmt w:val="bullet"/>
      <w:lvlText w:val="-"/>
      <w:lvlJc w:val="left"/>
      <w:pPr>
        <w:ind w:left="1035" w:hanging="360"/>
      </w:pPr>
      <w:rPr>
        <w:rFonts w:ascii="Aptos" w:hAnsi="Aptos" w:hint="default"/>
      </w:rPr>
    </w:lvl>
    <w:lvl w:ilvl="1" w:tplc="9F8EAAA4">
      <w:start w:val="1"/>
      <w:numFmt w:val="bullet"/>
      <w:lvlText w:val="o"/>
      <w:lvlJc w:val="left"/>
      <w:pPr>
        <w:ind w:left="1755" w:hanging="360"/>
      </w:pPr>
      <w:rPr>
        <w:rFonts w:ascii="Courier New" w:hAnsi="Courier New" w:hint="default"/>
      </w:rPr>
    </w:lvl>
    <w:lvl w:ilvl="2" w:tplc="C808587C">
      <w:start w:val="1"/>
      <w:numFmt w:val="bullet"/>
      <w:lvlText w:val=""/>
      <w:lvlJc w:val="left"/>
      <w:pPr>
        <w:ind w:left="2475" w:hanging="360"/>
      </w:pPr>
      <w:rPr>
        <w:rFonts w:ascii="Wingdings" w:hAnsi="Wingdings" w:hint="default"/>
      </w:rPr>
    </w:lvl>
    <w:lvl w:ilvl="3" w:tplc="E4FC21B0">
      <w:start w:val="1"/>
      <w:numFmt w:val="bullet"/>
      <w:lvlText w:val=""/>
      <w:lvlJc w:val="left"/>
      <w:pPr>
        <w:ind w:left="3195" w:hanging="360"/>
      </w:pPr>
      <w:rPr>
        <w:rFonts w:ascii="Symbol" w:hAnsi="Symbol" w:hint="default"/>
      </w:rPr>
    </w:lvl>
    <w:lvl w:ilvl="4" w:tplc="DAE2C038">
      <w:start w:val="1"/>
      <w:numFmt w:val="bullet"/>
      <w:lvlText w:val="o"/>
      <w:lvlJc w:val="left"/>
      <w:pPr>
        <w:ind w:left="3915" w:hanging="360"/>
      </w:pPr>
      <w:rPr>
        <w:rFonts w:ascii="Courier New" w:hAnsi="Courier New" w:hint="default"/>
      </w:rPr>
    </w:lvl>
    <w:lvl w:ilvl="5" w:tplc="D65865C4">
      <w:start w:val="1"/>
      <w:numFmt w:val="bullet"/>
      <w:lvlText w:val=""/>
      <w:lvlJc w:val="left"/>
      <w:pPr>
        <w:ind w:left="4635" w:hanging="360"/>
      </w:pPr>
      <w:rPr>
        <w:rFonts w:ascii="Wingdings" w:hAnsi="Wingdings" w:hint="default"/>
      </w:rPr>
    </w:lvl>
    <w:lvl w:ilvl="6" w:tplc="98CAFF4A">
      <w:start w:val="1"/>
      <w:numFmt w:val="bullet"/>
      <w:lvlText w:val=""/>
      <w:lvlJc w:val="left"/>
      <w:pPr>
        <w:ind w:left="5355" w:hanging="360"/>
      </w:pPr>
      <w:rPr>
        <w:rFonts w:ascii="Symbol" w:hAnsi="Symbol" w:hint="default"/>
      </w:rPr>
    </w:lvl>
    <w:lvl w:ilvl="7" w:tplc="7DD49AEC">
      <w:start w:val="1"/>
      <w:numFmt w:val="bullet"/>
      <w:lvlText w:val="o"/>
      <w:lvlJc w:val="left"/>
      <w:pPr>
        <w:ind w:left="6075" w:hanging="360"/>
      </w:pPr>
      <w:rPr>
        <w:rFonts w:ascii="Courier New" w:hAnsi="Courier New" w:hint="default"/>
      </w:rPr>
    </w:lvl>
    <w:lvl w:ilvl="8" w:tplc="CF6CFFEC">
      <w:start w:val="1"/>
      <w:numFmt w:val="bullet"/>
      <w:lvlText w:val=""/>
      <w:lvlJc w:val="left"/>
      <w:pPr>
        <w:ind w:left="6795" w:hanging="360"/>
      </w:pPr>
      <w:rPr>
        <w:rFonts w:ascii="Wingdings" w:hAnsi="Wingdings" w:hint="default"/>
      </w:rPr>
    </w:lvl>
  </w:abstractNum>
  <w:abstractNum w:abstractNumId="13" w15:restartNumberingAfterBreak="0">
    <w:nsid w:val="40AB17D5"/>
    <w:multiLevelType w:val="multilevel"/>
    <w:tmpl w:val="B6E03CAA"/>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4" w15:restartNumberingAfterBreak="0">
    <w:nsid w:val="414E4C32"/>
    <w:multiLevelType w:val="multilevel"/>
    <w:tmpl w:val="E0D4D95E"/>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92051A"/>
    <w:multiLevelType w:val="multilevel"/>
    <w:tmpl w:val="1E5641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F755BF7"/>
    <w:multiLevelType w:val="hybridMultilevel"/>
    <w:tmpl w:val="8112FCB2"/>
    <w:lvl w:ilvl="0" w:tplc="F8E4C8D6">
      <w:start w:val="1"/>
      <w:numFmt w:val="bullet"/>
      <w:lvlText w:val="-"/>
      <w:lvlJc w:val="left"/>
      <w:pPr>
        <w:ind w:left="1035" w:hanging="360"/>
      </w:pPr>
      <w:rPr>
        <w:rFonts w:ascii="Aptos" w:hAnsi="Aptos" w:hint="default"/>
      </w:rPr>
    </w:lvl>
    <w:lvl w:ilvl="1" w:tplc="3A229710">
      <w:start w:val="1"/>
      <w:numFmt w:val="bullet"/>
      <w:lvlText w:val="o"/>
      <w:lvlJc w:val="left"/>
      <w:pPr>
        <w:ind w:left="1755" w:hanging="360"/>
      </w:pPr>
      <w:rPr>
        <w:rFonts w:ascii="Courier New" w:hAnsi="Courier New" w:hint="default"/>
      </w:rPr>
    </w:lvl>
    <w:lvl w:ilvl="2" w:tplc="A8624748">
      <w:start w:val="1"/>
      <w:numFmt w:val="bullet"/>
      <w:lvlText w:val=""/>
      <w:lvlJc w:val="left"/>
      <w:pPr>
        <w:ind w:left="2475" w:hanging="360"/>
      </w:pPr>
      <w:rPr>
        <w:rFonts w:ascii="Wingdings" w:hAnsi="Wingdings" w:hint="default"/>
      </w:rPr>
    </w:lvl>
    <w:lvl w:ilvl="3" w:tplc="1F4ABCE0">
      <w:start w:val="1"/>
      <w:numFmt w:val="bullet"/>
      <w:lvlText w:val=""/>
      <w:lvlJc w:val="left"/>
      <w:pPr>
        <w:ind w:left="3195" w:hanging="360"/>
      </w:pPr>
      <w:rPr>
        <w:rFonts w:ascii="Symbol" w:hAnsi="Symbol" w:hint="default"/>
      </w:rPr>
    </w:lvl>
    <w:lvl w:ilvl="4" w:tplc="63D2FAA4">
      <w:start w:val="1"/>
      <w:numFmt w:val="bullet"/>
      <w:lvlText w:val="o"/>
      <w:lvlJc w:val="left"/>
      <w:pPr>
        <w:ind w:left="3915" w:hanging="360"/>
      </w:pPr>
      <w:rPr>
        <w:rFonts w:ascii="Courier New" w:hAnsi="Courier New" w:hint="default"/>
      </w:rPr>
    </w:lvl>
    <w:lvl w:ilvl="5" w:tplc="134CA600">
      <w:start w:val="1"/>
      <w:numFmt w:val="bullet"/>
      <w:lvlText w:val=""/>
      <w:lvlJc w:val="left"/>
      <w:pPr>
        <w:ind w:left="4635" w:hanging="360"/>
      </w:pPr>
      <w:rPr>
        <w:rFonts w:ascii="Wingdings" w:hAnsi="Wingdings" w:hint="default"/>
      </w:rPr>
    </w:lvl>
    <w:lvl w:ilvl="6" w:tplc="C23C10D2">
      <w:start w:val="1"/>
      <w:numFmt w:val="bullet"/>
      <w:lvlText w:val=""/>
      <w:lvlJc w:val="left"/>
      <w:pPr>
        <w:ind w:left="5355" w:hanging="360"/>
      </w:pPr>
      <w:rPr>
        <w:rFonts w:ascii="Symbol" w:hAnsi="Symbol" w:hint="default"/>
      </w:rPr>
    </w:lvl>
    <w:lvl w:ilvl="7" w:tplc="9EBE7B56">
      <w:start w:val="1"/>
      <w:numFmt w:val="bullet"/>
      <w:lvlText w:val="o"/>
      <w:lvlJc w:val="left"/>
      <w:pPr>
        <w:ind w:left="6075" w:hanging="360"/>
      </w:pPr>
      <w:rPr>
        <w:rFonts w:ascii="Courier New" w:hAnsi="Courier New" w:hint="default"/>
      </w:rPr>
    </w:lvl>
    <w:lvl w:ilvl="8" w:tplc="F5C054AA">
      <w:start w:val="1"/>
      <w:numFmt w:val="bullet"/>
      <w:lvlText w:val=""/>
      <w:lvlJc w:val="left"/>
      <w:pPr>
        <w:ind w:left="6795" w:hanging="360"/>
      </w:pPr>
      <w:rPr>
        <w:rFonts w:ascii="Wingdings" w:hAnsi="Wingdings" w:hint="default"/>
      </w:rPr>
    </w:lvl>
  </w:abstractNum>
  <w:abstractNum w:abstractNumId="17" w15:restartNumberingAfterBreak="0">
    <w:nsid w:val="534B1275"/>
    <w:multiLevelType w:val="hybridMultilevel"/>
    <w:tmpl w:val="EE7C88FA"/>
    <w:lvl w:ilvl="0" w:tplc="68FE71C4">
      <w:start w:val="1"/>
      <w:numFmt w:val="decimal"/>
      <w:lvlText w:val="%1."/>
      <w:lvlJc w:val="left"/>
      <w:pPr>
        <w:ind w:left="720" w:hanging="360"/>
      </w:pPr>
    </w:lvl>
    <w:lvl w:ilvl="1" w:tplc="10E2EEC6">
      <w:start w:val="1"/>
      <w:numFmt w:val="lowerLetter"/>
      <w:lvlText w:val="%2."/>
      <w:lvlJc w:val="left"/>
      <w:pPr>
        <w:ind w:left="1440" w:hanging="360"/>
      </w:pPr>
    </w:lvl>
    <w:lvl w:ilvl="2" w:tplc="E8D0F33E">
      <w:start w:val="1"/>
      <w:numFmt w:val="lowerRoman"/>
      <w:lvlText w:val="%3."/>
      <w:lvlJc w:val="right"/>
      <w:pPr>
        <w:ind w:left="2160" w:hanging="180"/>
      </w:pPr>
    </w:lvl>
    <w:lvl w:ilvl="3" w:tplc="52B08B12">
      <w:start w:val="1"/>
      <w:numFmt w:val="decimal"/>
      <w:lvlText w:val="%4."/>
      <w:lvlJc w:val="left"/>
      <w:pPr>
        <w:ind w:left="2880" w:hanging="360"/>
      </w:pPr>
    </w:lvl>
    <w:lvl w:ilvl="4" w:tplc="AEDEE89E">
      <w:start w:val="1"/>
      <w:numFmt w:val="lowerLetter"/>
      <w:lvlText w:val="%5."/>
      <w:lvlJc w:val="left"/>
      <w:pPr>
        <w:ind w:left="3600" w:hanging="360"/>
      </w:pPr>
    </w:lvl>
    <w:lvl w:ilvl="5" w:tplc="A4D6520C">
      <w:start w:val="1"/>
      <w:numFmt w:val="lowerRoman"/>
      <w:lvlText w:val="%6."/>
      <w:lvlJc w:val="right"/>
      <w:pPr>
        <w:ind w:left="4320" w:hanging="180"/>
      </w:pPr>
    </w:lvl>
    <w:lvl w:ilvl="6" w:tplc="EACC4696">
      <w:start w:val="1"/>
      <w:numFmt w:val="decimal"/>
      <w:lvlText w:val="%7."/>
      <w:lvlJc w:val="left"/>
      <w:pPr>
        <w:ind w:left="5040" w:hanging="360"/>
      </w:pPr>
    </w:lvl>
    <w:lvl w:ilvl="7" w:tplc="3D4AB570">
      <w:start w:val="1"/>
      <w:numFmt w:val="lowerLetter"/>
      <w:lvlText w:val="%8."/>
      <w:lvlJc w:val="left"/>
      <w:pPr>
        <w:ind w:left="5760" w:hanging="360"/>
      </w:pPr>
    </w:lvl>
    <w:lvl w:ilvl="8" w:tplc="0C7E8564">
      <w:start w:val="1"/>
      <w:numFmt w:val="lowerRoman"/>
      <w:lvlText w:val="%9."/>
      <w:lvlJc w:val="right"/>
      <w:pPr>
        <w:ind w:left="6480" w:hanging="180"/>
      </w:pPr>
    </w:lvl>
  </w:abstractNum>
  <w:abstractNum w:abstractNumId="18" w15:restartNumberingAfterBreak="0">
    <w:nsid w:val="54570F0B"/>
    <w:multiLevelType w:val="multilevel"/>
    <w:tmpl w:val="90602F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5F37041"/>
    <w:multiLevelType w:val="multilevel"/>
    <w:tmpl w:val="9580E8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C3A3CBF"/>
    <w:multiLevelType w:val="hybridMultilevel"/>
    <w:tmpl w:val="541419E0"/>
    <w:lvl w:ilvl="0" w:tplc="0E289946">
      <w:start w:val="1"/>
      <w:numFmt w:val="bullet"/>
      <w:lvlText w:val="-"/>
      <w:lvlJc w:val="left"/>
      <w:pPr>
        <w:ind w:left="1068" w:hanging="360"/>
      </w:pPr>
      <w:rPr>
        <w:rFonts w:ascii="Aptos" w:hAnsi="Aptos" w:hint="default"/>
      </w:rPr>
    </w:lvl>
    <w:lvl w:ilvl="1" w:tplc="77AC9260">
      <w:start w:val="1"/>
      <w:numFmt w:val="bullet"/>
      <w:lvlText w:val="o"/>
      <w:lvlJc w:val="left"/>
      <w:pPr>
        <w:ind w:left="1788" w:hanging="360"/>
      </w:pPr>
      <w:rPr>
        <w:rFonts w:ascii="Courier New" w:hAnsi="Courier New" w:hint="default"/>
      </w:rPr>
    </w:lvl>
    <w:lvl w:ilvl="2" w:tplc="F2BCAE5C">
      <w:start w:val="1"/>
      <w:numFmt w:val="bullet"/>
      <w:lvlText w:val=""/>
      <w:lvlJc w:val="left"/>
      <w:pPr>
        <w:ind w:left="2508" w:hanging="360"/>
      </w:pPr>
      <w:rPr>
        <w:rFonts w:ascii="Wingdings" w:hAnsi="Wingdings" w:hint="default"/>
      </w:rPr>
    </w:lvl>
    <w:lvl w:ilvl="3" w:tplc="B01A8650">
      <w:start w:val="1"/>
      <w:numFmt w:val="bullet"/>
      <w:lvlText w:val=""/>
      <w:lvlJc w:val="left"/>
      <w:pPr>
        <w:ind w:left="3228" w:hanging="360"/>
      </w:pPr>
      <w:rPr>
        <w:rFonts w:ascii="Symbol" w:hAnsi="Symbol" w:hint="default"/>
      </w:rPr>
    </w:lvl>
    <w:lvl w:ilvl="4" w:tplc="530EBA1C">
      <w:start w:val="1"/>
      <w:numFmt w:val="bullet"/>
      <w:lvlText w:val="o"/>
      <w:lvlJc w:val="left"/>
      <w:pPr>
        <w:ind w:left="3948" w:hanging="360"/>
      </w:pPr>
      <w:rPr>
        <w:rFonts w:ascii="Courier New" w:hAnsi="Courier New" w:hint="default"/>
      </w:rPr>
    </w:lvl>
    <w:lvl w:ilvl="5" w:tplc="35BE0ABA">
      <w:start w:val="1"/>
      <w:numFmt w:val="bullet"/>
      <w:lvlText w:val=""/>
      <w:lvlJc w:val="left"/>
      <w:pPr>
        <w:ind w:left="4668" w:hanging="360"/>
      </w:pPr>
      <w:rPr>
        <w:rFonts w:ascii="Wingdings" w:hAnsi="Wingdings" w:hint="default"/>
      </w:rPr>
    </w:lvl>
    <w:lvl w:ilvl="6" w:tplc="F04AC5DE">
      <w:start w:val="1"/>
      <w:numFmt w:val="bullet"/>
      <w:lvlText w:val=""/>
      <w:lvlJc w:val="left"/>
      <w:pPr>
        <w:ind w:left="5388" w:hanging="360"/>
      </w:pPr>
      <w:rPr>
        <w:rFonts w:ascii="Symbol" w:hAnsi="Symbol" w:hint="default"/>
      </w:rPr>
    </w:lvl>
    <w:lvl w:ilvl="7" w:tplc="79DA0C0E">
      <w:start w:val="1"/>
      <w:numFmt w:val="bullet"/>
      <w:lvlText w:val="o"/>
      <w:lvlJc w:val="left"/>
      <w:pPr>
        <w:ind w:left="6108" w:hanging="360"/>
      </w:pPr>
      <w:rPr>
        <w:rFonts w:ascii="Courier New" w:hAnsi="Courier New" w:hint="default"/>
      </w:rPr>
    </w:lvl>
    <w:lvl w:ilvl="8" w:tplc="CDD291A2">
      <w:start w:val="1"/>
      <w:numFmt w:val="bullet"/>
      <w:lvlText w:val=""/>
      <w:lvlJc w:val="left"/>
      <w:pPr>
        <w:ind w:left="6828" w:hanging="360"/>
      </w:pPr>
      <w:rPr>
        <w:rFonts w:ascii="Wingdings" w:hAnsi="Wingdings" w:hint="default"/>
      </w:rPr>
    </w:lvl>
  </w:abstractNum>
  <w:abstractNum w:abstractNumId="21" w15:restartNumberingAfterBreak="0">
    <w:nsid w:val="5E2135B9"/>
    <w:multiLevelType w:val="multilevel"/>
    <w:tmpl w:val="B3AA0D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659DF32"/>
    <w:multiLevelType w:val="multilevel"/>
    <w:tmpl w:val="DFC40A3E"/>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3" w15:restartNumberingAfterBreak="0">
    <w:nsid w:val="69CF4C4B"/>
    <w:multiLevelType w:val="hybridMultilevel"/>
    <w:tmpl w:val="20B40C32"/>
    <w:lvl w:ilvl="0" w:tplc="4F5832CA">
      <w:start w:val="1"/>
      <w:numFmt w:val="decimal"/>
      <w:lvlText w:val="%1."/>
      <w:lvlJc w:val="left"/>
      <w:pPr>
        <w:ind w:left="720" w:hanging="360"/>
      </w:pPr>
    </w:lvl>
    <w:lvl w:ilvl="1" w:tplc="D35C1800">
      <w:start w:val="1"/>
      <w:numFmt w:val="lowerLetter"/>
      <w:lvlText w:val="%2."/>
      <w:lvlJc w:val="left"/>
      <w:pPr>
        <w:ind w:left="1440" w:hanging="360"/>
      </w:pPr>
    </w:lvl>
    <w:lvl w:ilvl="2" w:tplc="3C04BA7A">
      <w:start w:val="1"/>
      <w:numFmt w:val="lowerRoman"/>
      <w:lvlText w:val="%3."/>
      <w:lvlJc w:val="right"/>
      <w:pPr>
        <w:ind w:left="2160" w:hanging="180"/>
      </w:pPr>
    </w:lvl>
    <w:lvl w:ilvl="3" w:tplc="755E2B6C">
      <w:start w:val="1"/>
      <w:numFmt w:val="decimal"/>
      <w:lvlText w:val="%4."/>
      <w:lvlJc w:val="left"/>
      <w:pPr>
        <w:ind w:left="2880" w:hanging="360"/>
      </w:pPr>
    </w:lvl>
    <w:lvl w:ilvl="4" w:tplc="23B42A5C">
      <w:start w:val="1"/>
      <w:numFmt w:val="lowerLetter"/>
      <w:lvlText w:val="%5."/>
      <w:lvlJc w:val="left"/>
      <w:pPr>
        <w:ind w:left="3600" w:hanging="360"/>
      </w:pPr>
    </w:lvl>
    <w:lvl w:ilvl="5" w:tplc="65306282">
      <w:start w:val="1"/>
      <w:numFmt w:val="lowerRoman"/>
      <w:lvlText w:val="%6."/>
      <w:lvlJc w:val="right"/>
      <w:pPr>
        <w:ind w:left="4320" w:hanging="180"/>
      </w:pPr>
    </w:lvl>
    <w:lvl w:ilvl="6" w:tplc="872E7F64">
      <w:start w:val="1"/>
      <w:numFmt w:val="decimal"/>
      <w:lvlText w:val="%7."/>
      <w:lvlJc w:val="left"/>
      <w:pPr>
        <w:ind w:left="5040" w:hanging="360"/>
      </w:pPr>
    </w:lvl>
    <w:lvl w:ilvl="7" w:tplc="C85032B6">
      <w:start w:val="1"/>
      <w:numFmt w:val="lowerLetter"/>
      <w:lvlText w:val="%8."/>
      <w:lvlJc w:val="left"/>
      <w:pPr>
        <w:ind w:left="5760" w:hanging="360"/>
      </w:pPr>
    </w:lvl>
    <w:lvl w:ilvl="8" w:tplc="C38A340A">
      <w:start w:val="1"/>
      <w:numFmt w:val="lowerRoman"/>
      <w:lvlText w:val="%9."/>
      <w:lvlJc w:val="right"/>
      <w:pPr>
        <w:ind w:left="6480" w:hanging="180"/>
      </w:pPr>
    </w:lvl>
  </w:abstractNum>
  <w:abstractNum w:abstractNumId="24" w15:restartNumberingAfterBreak="0">
    <w:nsid w:val="69F7696C"/>
    <w:multiLevelType w:val="hybridMultilevel"/>
    <w:tmpl w:val="1B6C75AE"/>
    <w:lvl w:ilvl="0" w:tplc="0A1E79BA">
      <w:start w:val="1"/>
      <w:numFmt w:val="decimal"/>
      <w:lvlText w:val="%1."/>
      <w:lvlJc w:val="left"/>
      <w:pPr>
        <w:ind w:left="1035" w:hanging="360"/>
      </w:pPr>
    </w:lvl>
    <w:lvl w:ilvl="1" w:tplc="446E8D84">
      <w:start w:val="1"/>
      <w:numFmt w:val="lowerLetter"/>
      <w:lvlText w:val="%2."/>
      <w:lvlJc w:val="left"/>
      <w:pPr>
        <w:ind w:left="1755" w:hanging="360"/>
      </w:pPr>
    </w:lvl>
    <w:lvl w:ilvl="2" w:tplc="9C1432FC">
      <w:start w:val="1"/>
      <w:numFmt w:val="lowerRoman"/>
      <w:lvlText w:val="%3."/>
      <w:lvlJc w:val="right"/>
      <w:pPr>
        <w:ind w:left="2475" w:hanging="180"/>
      </w:pPr>
    </w:lvl>
    <w:lvl w:ilvl="3" w:tplc="4E5469EE">
      <w:start w:val="1"/>
      <w:numFmt w:val="decimal"/>
      <w:lvlText w:val="%4."/>
      <w:lvlJc w:val="left"/>
      <w:pPr>
        <w:ind w:left="3195" w:hanging="360"/>
      </w:pPr>
    </w:lvl>
    <w:lvl w:ilvl="4" w:tplc="6714EFAE">
      <w:start w:val="1"/>
      <w:numFmt w:val="lowerLetter"/>
      <w:lvlText w:val="%5."/>
      <w:lvlJc w:val="left"/>
      <w:pPr>
        <w:ind w:left="3915" w:hanging="360"/>
      </w:pPr>
    </w:lvl>
    <w:lvl w:ilvl="5" w:tplc="6F2C565C">
      <w:start w:val="1"/>
      <w:numFmt w:val="lowerRoman"/>
      <w:lvlText w:val="%6."/>
      <w:lvlJc w:val="right"/>
      <w:pPr>
        <w:ind w:left="4635" w:hanging="180"/>
      </w:pPr>
    </w:lvl>
    <w:lvl w:ilvl="6" w:tplc="5AEA1700">
      <w:start w:val="1"/>
      <w:numFmt w:val="decimal"/>
      <w:lvlText w:val="%7."/>
      <w:lvlJc w:val="left"/>
      <w:pPr>
        <w:ind w:left="5355" w:hanging="360"/>
      </w:pPr>
    </w:lvl>
    <w:lvl w:ilvl="7" w:tplc="AD90F512">
      <w:start w:val="1"/>
      <w:numFmt w:val="lowerLetter"/>
      <w:lvlText w:val="%8."/>
      <w:lvlJc w:val="left"/>
      <w:pPr>
        <w:ind w:left="6075" w:hanging="360"/>
      </w:pPr>
    </w:lvl>
    <w:lvl w:ilvl="8" w:tplc="5134A22A">
      <w:start w:val="1"/>
      <w:numFmt w:val="lowerRoman"/>
      <w:lvlText w:val="%9."/>
      <w:lvlJc w:val="right"/>
      <w:pPr>
        <w:ind w:left="6795" w:hanging="180"/>
      </w:pPr>
    </w:lvl>
  </w:abstractNum>
  <w:abstractNum w:abstractNumId="25" w15:restartNumberingAfterBreak="0">
    <w:nsid w:val="7181BA82"/>
    <w:multiLevelType w:val="multilevel"/>
    <w:tmpl w:val="C71ACE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26DBB14"/>
    <w:multiLevelType w:val="multilevel"/>
    <w:tmpl w:val="18EA303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7" w15:restartNumberingAfterBreak="0">
    <w:nsid w:val="772D9ADB"/>
    <w:multiLevelType w:val="hybridMultilevel"/>
    <w:tmpl w:val="8424D45E"/>
    <w:lvl w:ilvl="0" w:tplc="99C47A6E">
      <w:start w:val="1"/>
      <w:numFmt w:val="bullet"/>
      <w:lvlText w:val="-"/>
      <w:lvlJc w:val="left"/>
      <w:pPr>
        <w:ind w:left="1035" w:hanging="360"/>
      </w:pPr>
      <w:rPr>
        <w:rFonts w:ascii="Aptos" w:hAnsi="Aptos" w:hint="default"/>
      </w:rPr>
    </w:lvl>
    <w:lvl w:ilvl="1" w:tplc="694860EE">
      <w:start w:val="1"/>
      <w:numFmt w:val="bullet"/>
      <w:lvlText w:val="o"/>
      <w:lvlJc w:val="left"/>
      <w:pPr>
        <w:ind w:left="1755" w:hanging="360"/>
      </w:pPr>
      <w:rPr>
        <w:rFonts w:ascii="Courier New" w:hAnsi="Courier New" w:hint="default"/>
      </w:rPr>
    </w:lvl>
    <w:lvl w:ilvl="2" w:tplc="18CCA4B4">
      <w:start w:val="1"/>
      <w:numFmt w:val="bullet"/>
      <w:lvlText w:val=""/>
      <w:lvlJc w:val="left"/>
      <w:pPr>
        <w:ind w:left="2475" w:hanging="360"/>
      </w:pPr>
      <w:rPr>
        <w:rFonts w:ascii="Wingdings" w:hAnsi="Wingdings" w:hint="default"/>
      </w:rPr>
    </w:lvl>
    <w:lvl w:ilvl="3" w:tplc="1230157A">
      <w:start w:val="1"/>
      <w:numFmt w:val="bullet"/>
      <w:lvlText w:val=""/>
      <w:lvlJc w:val="left"/>
      <w:pPr>
        <w:ind w:left="3195" w:hanging="360"/>
      </w:pPr>
      <w:rPr>
        <w:rFonts w:ascii="Symbol" w:hAnsi="Symbol" w:hint="default"/>
      </w:rPr>
    </w:lvl>
    <w:lvl w:ilvl="4" w:tplc="30F48E32">
      <w:start w:val="1"/>
      <w:numFmt w:val="bullet"/>
      <w:lvlText w:val="o"/>
      <w:lvlJc w:val="left"/>
      <w:pPr>
        <w:ind w:left="3915" w:hanging="360"/>
      </w:pPr>
      <w:rPr>
        <w:rFonts w:ascii="Courier New" w:hAnsi="Courier New" w:hint="default"/>
      </w:rPr>
    </w:lvl>
    <w:lvl w:ilvl="5" w:tplc="7B224804">
      <w:start w:val="1"/>
      <w:numFmt w:val="bullet"/>
      <w:lvlText w:val=""/>
      <w:lvlJc w:val="left"/>
      <w:pPr>
        <w:ind w:left="4635" w:hanging="360"/>
      </w:pPr>
      <w:rPr>
        <w:rFonts w:ascii="Wingdings" w:hAnsi="Wingdings" w:hint="default"/>
      </w:rPr>
    </w:lvl>
    <w:lvl w:ilvl="6" w:tplc="2E025E4E">
      <w:start w:val="1"/>
      <w:numFmt w:val="bullet"/>
      <w:lvlText w:val=""/>
      <w:lvlJc w:val="left"/>
      <w:pPr>
        <w:ind w:left="5355" w:hanging="360"/>
      </w:pPr>
      <w:rPr>
        <w:rFonts w:ascii="Symbol" w:hAnsi="Symbol" w:hint="default"/>
      </w:rPr>
    </w:lvl>
    <w:lvl w:ilvl="7" w:tplc="6910F50C">
      <w:start w:val="1"/>
      <w:numFmt w:val="bullet"/>
      <w:lvlText w:val="o"/>
      <w:lvlJc w:val="left"/>
      <w:pPr>
        <w:ind w:left="6075" w:hanging="360"/>
      </w:pPr>
      <w:rPr>
        <w:rFonts w:ascii="Courier New" w:hAnsi="Courier New" w:hint="default"/>
      </w:rPr>
    </w:lvl>
    <w:lvl w:ilvl="8" w:tplc="6FFA54B0">
      <w:start w:val="1"/>
      <w:numFmt w:val="bullet"/>
      <w:lvlText w:val=""/>
      <w:lvlJc w:val="left"/>
      <w:pPr>
        <w:ind w:left="6795" w:hanging="360"/>
      </w:pPr>
      <w:rPr>
        <w:rFonts w:ascii="Wingdings" w:hAnsi="Wingdings" w:hint="default"/>
      </w:rPr>
    </w:lvl>
  </w:abstractNum>
  <w:abstractNum w:abstractNumId="28" w15:restartNumberingAfterBreak="0">
    <w:nsid w:val="7954864D"/>
    <w:multiLevelType w:val="hybridMultilevel"/>
    <w:tmpl w:val="9A3C681C"/>
    <w:lvl w:ilvl="0" w:tplc="7E8C2A1C">
      <w:start w:val="1"/>
      <w:numFmt w:val="decimal"/>
      <w:lvlText w:val="%1."/>
      <w:lvlJc w:val="left"/>
      <w:pPr>
        <w:ind w:left="720" w:hanging="360"/>
      </w:pPr>
    </w:lvl>
    <w:lvl w:ilvl="1" w:tplc="CDF493A8">
      <w:start w:val="1"/>
      <w:numFmt w:val="lowerLetter"/>
      <w:lvlText w:val="%2."/>
      <w:lvlJc w:val="left"/>
      <w:pPr>
        <w:ind w:left="1440" w:hanging="360"/>
      </w:pPr>
    </w:lvl>
    <w:lvl w:ilvl="2" w:tplc="F8800514">
      <w:start w:val="1"/>
      <w:numFmt w:val="lowerRoman"/>
      <w:lvlText w:val="%3."/>
      <w:lvlJc w:val="right"/>
      <w:pPr>
        <w:ind w:left="2160" w:hanging="180"/>
      </w:pPr>
    </w:lvl>
    <w:lvl w:ilvl="3" w:tplc="53E4A160">
      <w:start w:val="1"/>
      <w:numFmt w:val="decimal"/>
      <w:lvlText w:val="%4."/>
      <w:lvlJc w:val="left"/>
      <w:pPr>
        <w:ind w:left="2880" w:hanging="360"/>
      </w:pPr>
    </w:lvl>
    <w:lvl w:ilvl="4" w:tplc="61D6D5BA">
      <w:start w:val="1"/>
      <w:numFmt w:val="lowerLetter"/>
      <w:lvlText w:val="%5."/>
      <w:lvlJc w:val="left"/>
      <w:pPr>
        <w:ind w:left="3600" w:hanging="360"/>
      </w:pPr>
    </w:lvl>
    <w:lvl w:ilvl="5" w:tplc="FD347872">
      <w:start w:val="1"/>
      <w:numFmt w:val="lowerRoman"/>
      <w:lvlText w:val="%6."/>
      <w:lvlJc w:val="right"/>
      <w:pPr>
        <w:ind w:left="4320" w:hanging="180"/>
      </w:pPr>
    </w:lvl>
    <w:lvl w:ilvl="6" w:tplc="282437F4">
      <w:start w:val="1"/>
      <w:numFmt w:val="decimal"/>
      <w:lvlText w:val="%7."/>
      <w:lvlJc w:val="left"/>
      <w:pPr>
        <w:ind w:left="5040" w:hanging="360"/>
      </w:pPr>
    </w:lvl>
    <w:lvl w:ilvl="7" w:tplc="E84C50DE">
      <w:start w:val="1"/>
      <w:numFmt w:val="lowerLetter"/>
      <w:lvlText w:val="%8."/>
      <w:lvlJc w:val="left"/>
      <w:pPr>
        <w:ind w:left="5760" w:hanging="360"/>
      </w:pPr>
    </w:lvl>
    <w:lvl w:ilvl="8" w:tplc="B6E4CE36">
      <w:start w:val="1"/>
      <w:numFmt w:val="lowerRoman"/>
      <w:lvlText w:val="%9."/>
      <w:lvlJc w:val="right"/>
      <w:pPr>
        <w:ind w:left="6480" w:hanging="180"/>
      </w:pPr>
    </w:lvl>
  </w:abstractNum>
  <w:abstractNum w:abstractNumId="29" w15:restartNumberingAfterBreak="0">
    <w:nsid w:val="7A141CDD"/>
    <w:multiLevelType w:val="multilevel"/>
    <w:tmpl w:val="3660754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0" w15:restartNumberingAfterBreak="0">
    <w:nsid w:val="7E1EB71A"/>
    <w:multiLevelType w:val="multilevel"/>
    <w:tmpl w:val="7220CA7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4"/>
  </w:num>
  <w:num w:numId="2">
    <w:abstractNumId w:val="12"/>
  </w:num>
  <w:num w:numId="3">
    <w:abstractNumId w:val="27"/>
  </w:num>
  <w:num w:numId="4">
    <w:abstractNumId w:val="20"/>
  </w:num>
  <w:num w:numId="5">
    <w:abstractNumId w:val="16"/>
  </w:num>
  <w:num w:numId="6">
    <w:abstractNumId w:val="9"/>
  </w:num>
  <w:num w:numId="7">
    <w:abstractNumId w:val="5"/>
  </w:num>
  <w:num w:numId="8">
    <w:abstractNumId w:val="10"/>
  </w:num>
  <w:num w:numId="9">
    <w:abstractNumId w:val="1"/>
  </w:num>
  <w:num w:numId="10">
    <w:abstractNumId w:val="17"/>
  </w:num>
  <w:num w:numId="11">
    <w:abstractNumId w:val="14"/>
  </w:num>
  <w:num w:numId="12">
    <w:abstractNumId w:val="0"/>
  </w:num>
  <w:num w:numId="13">
    <w:abstractNumId w:val="4"/>
  </w:num>
  <w:num w:numId="14">
    <w:abstractNumId w:val="11"/>
  </w:num>
  <w:num w:numId="15">
    <w:abstractNumId w:val="7"/>
  </w:num>
  <w:num w:numId="16">
    <w:abstractNumId w:val="28"/>
  </w:num>
  <w:num w:numId="17">
    <w:abstractNumId w:val="23"/>
  </w:num>
  <w:num w:numId="18">
    <w:abstractNumId w:val="6"/>
  </w:num>
  <w:num w:numId="19">
    <w:abstractNumId w:val="3"/>
  </w:num>
  <w:num w:numId="20">
    <w:abstractNumId w:val="8"/>
  </w:num>
  <w:num w:numId="21">
    <w:abstractNumId w:val="30"/>
  </w:num>
  <w:num w:numId="22">
    <w:abstractNumId w:val="15"/>
  </w:num>
  <w:num w:numId="23">
    <w:abstractNumId w:val="22"/>
  </w:num>
  <w:num w:numId="24">
    <w:abstractNumId w:val="13"/>
  </w:num>
  <w:num w:numId="25">
    <w:abstractNumId w:val="26"/>
  </w:num>
  <w:num w:numId="26">
    <w:abstractNumId w:val="29"/>
  </w:num>
  <w:num w:numId="27">
    <w:abstractNumId w:val="19"/>
  </w:num>
  <w:num w:numId="28">
    <w:abstractNumId w:val="25"/>
  </w:num>
  <w:num w:numId="29">
    <w:abstractNumId w:val="18"/>
  </w:num>
  <w:num w:numId="30">
    <w:abstractNumId w:val="2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C60782"/>
    <w:rsid w:val="000F7377"/>
    <w:rsid w:val="00131778"/>
    <w:rsid w:val="0015A043"/>
    <w:rsid w:val="00182A13"/>
    <w:rsid w:val="00331C14"/>
    <w:rsid w:val="00380897"/>
    <w:rsid w:val="00383718"/>
    <w:rsid w:val="003C7EEF"/>
    <w:rsid w:val="003F3E7B"/>
    <w:rsid w:val="004464AE"/>
    <w:rsid w:val="00580AB9"/>
    <w:rsid w:val="005A1A6C"/>
    <w:rsid w:val="00664C74"/>
    <w:rsid w:val="006CBAF0"/>
    <w:rsid w:val="006D1C20"/>
    <w:rsid w:val="0070595E"/>
    <w:rsid w:val="007209C0"/>
    <w:rsid w:val="0076324E"/>
    <w:rsid w:val="00787F97"/>
    <w:rsid w:val="007C55CE"/>
    <w:rsid w:val="00817A6D"/>
    <w:rsid w:val="0087145E"/>
    <w:rsid w:val="008A120A"/>
    <w:rsid w:val="008E6865"/>
    <w:rsid w:val="00954887"/>
    <w:rsid w:val="009D7AB8"/>
    <w:rsid w:val="00A185E8"/>
    <w:rsid w:val="00AD4247"/>
    <w:rsid w:val="00B86915"/>
    <w:rsid w:val="00BE02A5"/>
    <w:rsid w:val="00C7224C"/>
    <w:rsid w:val="00CE4B72"/>
    <w:rsid w:val="00CECD25"/>
    <w:rsid w:val="00D43365"/>
    <w:rsid w:val="00D701F5"/>
    <w:rsid w:val="00DA28EA"/>
    <w:rsid w:val="00DA5A34"/>
    <w:rsid w:val="00DD07CF"/>
    <w:rsid w:val="00E85198"/>
    <w:rsid w:val="00E95D44"/>
    <w:rsid w:val="00EC2D59"/>
    <w:rsid w:val="00EFE740"/>
    <w:rsid w:val="00F90E69"/>
    <w:rsid w:val="00FA3011"/>
    <w:rsid w:val="00FC5740"/>
    <w:rsid w:val="00FC6AE4"/>
    <w:rsid w:val="010BE01E"/>
    <w:rsid w:val="0116254F"/>
    <w:rsid w:val="014AC96C"/>
    <w:rsid w:val="014F8407"/>
    <w:rsid w:val="01573000"/>
    <w:rsid w:val="015B2565"/>
    <w:rsid w:val="016D68E4"/>
    <w:rsid w:val="018198CE"/>
    <w:rsid w:val="01865797"/>
    <w:rsid w:val="01A38643"/>
    <w:rsid w:val="01AE260E"/>
    <w:rsid w:val="01C60782"/>
    <w:rsid w:val="01E16557"/>
    <w:rsid w:val="02035EAF"/>
    <w:rsid w:val="0218940E"/>
    <w:rsid w:val="022ADB11"/>
    <w:rsid w:val="023192B2"/>
    <w:rsid w:val="026C97AF"/>
    <w:rsid w:val="026FACAC"/>
    <w:rsid w:val="02AF3512"/>
    <w:rsid w:val="02CADE2D"/>
    <w:rsid w:val="02DE2684"/>
    <w:rsid w:val="02E0DDF9"/>
    <w:rsid w:val="02F3055D"/>
    <w:rsid w:val="034137D8"/>
    <w:rsid w:val="0365BAF2"/>
    <w:rsid w:val="038BC516"/>
    <w:rsid w:val="03B7E592"/>
    <w:rsid w:val="03BC1B78"/>
    <w:rsid w:val="0417B36A"/>
    <w:rsid w:val="042E6A93"/>
    <w:rsid w:val="04322B93"/>
    <w:rsid w:val="0440B32E"/>
    <w:rsid w:val="04895DF7"/>
    <w:rsid w:val="0489C18B"/>
    <w:rsid w:val="049BBEAD"/>
    <w:rsid w:val="049DA30B"/>
    <w:rsid w:val="04AEAE54"/>
    <w:rsid w:val="04B233F0"/>
    <w:rsid w:val="04EA670E"/>
    <w:rsid w:val="04ED826E"/>
    <w:rsid w:val="04F54BC5"/>
    <w:rsid w:val="05349E18"/>
    <w:rsid w:val="0534C058"/>
    <w:rsid w:val="053F348E"/>
    <w:rsid w:val="0541D322"/>
    <w:rsid w:val="0552BAFC"/>
    <w:rsid w:val="056108B4"/>
    <w:rsid w:val="05674C52"/>
    <w:rsid w:val="058832F5"/>
    <w:rsid w:val="05A1086E"/>
    <w:rsid w:val="05DC9B29"/>
    <w:rsid w:val="0602887D"/>
    <w:rsid w:val="0606CFFD"/>
    <w:rsid w:val="060DB0AD"/>
    <w:rsid w:val="061FBC2F"/>
    <w:rsid w:val="06910209"/>
    <w:rsid w:val="069BDBE3"/>
    <w:rsid w:val="06A27A54"/>
    <w:rsid w:val="06B0FBBA"/>
    <w:rsid w:val="06B9B7D6"/>
    <w:rsid w:val="06CE83F8"/>
    <w:rsid w:val="06D05D09"/>
    <w:rsid w:val="06D8C3EF"/>
    <w:rsid w:val="06DA9999"/>
    <w:rsid w:val="06E11027"/>
    <w:rsid w:val="06E38C8C"/>
    <w:rsid w:val="071B5D09"/>
    <w:rsid w:val="0736F080"/>
    <w:rsid w:val="0777FC7A"/>
    <w:rsid w:val="07883CAB"/>
    <w:rsid w:val="07D4E8F4"/>
    <w:rsid w:val="07E59841"/>
    <w:rsid w:val="07E68EBA"/>
    <w:rsid w:val="07ECDC23"/>
    <w:rsid w:val="082209F5"/>
    <w:rsid w:val="082436BC"/>
    <w:rsid w:val="083790B5"/>
    <w:rsid w:val="084C6BD6"/>
    <w:rsid w:val="084CB7BB"/>
    <w:rsid w:val="086511C4"/>
    <w:rsid w:val="086870E1"/>
    <w:rsid w:val="0885AC42"/>
    <w:rsid w:val="08A24053"/>
    <w:rsid w:val="08AC25C7"/>
    <w:rsid w:val="08D9E76A"/>
    <w:rsid w:val="08F4E6D4"/>
    <w:rsid w:val="090E86F0"/>
    <w:rsid w:val="0925B8F5"/>
    <w:rsid w:val="095A7BDF"/>
    <w:rsid w:val="095B9D66"/>
    <w:rsid w:val="096C9ACC"/>
    <w:rsid w:val="0981BF0A"/>
    <w:rsid w:val="098445FF"/>
    <w:rsid w:val="0995CBFD"/>
    <w:rsid w:val="099C800F"/>
    <w:rsid w:val="09B5E7CC"/>
    <w:rsid w:val="09C51E11"/>
    <w:rsid w:val="09C7E1BF"/>
    <w:rsid w:val="09F0E94A"/>
    <w:rsid w:val="0A0C2F8F"/>
    <w:rsid w:val="0A40097B"/>
    <w:rsid w:val="0A40BF7D"/>
    <w:rsid w:val="0A4DCE89"/>
    <w:rsid w:val="0A5819E0"/>
    <w:rsid w:val="0A6E3948"/>
    <w:rsid w:val="0A8A81BD"/>
    <w:rsid w:val="0A8B2943"/>
    <w:rsid w:val="0A90D8F1"/>
    <w:rsid w:val="0A95E38F"/>
    <w:rsid w:val="0A9E74FB"/>
    <w:rsid w:val="0AAEBCB7"/>
    <w:rsid w:val="0ACDCB78"/>
    <w:rsid w:val="0AD2AEA5"/>
    <w:rsid w:val="0ADCA567"/>
    <w:rsid w:val="0AE06C2E"/>
    <w:rsid w:val="0AEFB21A"/>
    <w:rsid w:val="0B13037A"/>
    <w:rsid w:val="0B1D1BB8"/>
    <w:rsid w:val="0B45856A"/>
    <w:rsid w:val="0B58D780"/>
    <w:rsid w:val="0B62D10D"/>
    <w:rsid w:val="0B6CF167"/>
    <w:rsid w:val="0B8D2312"/>
    <w:rsid w:val="0B9AC5A5"/>
    <w:rsid w:val="0BAF85AF"/>
    <w:rsid w:val="0BB719FB"/>
    <w:rsid w:val="0BCB6A82"/>
    <w:rsid w:val="0BE2D7A4"/>
    <w:rsid w:val="0BE864F3"/>
    <w:rsid w:val="0BF06966"/>
    <w:rsid w:val="0C051B84"/>
    <w:rsid w:val="0C0A8AB1"/>
    <w:rsid w:val="0C12B958"/>
    <w:rsid w:val="0C195E2E"/>
    <w:rsid w:val="0C19C870"/>
    <w:rsid w:val="0C34FA66"/>
    <w:rsid w:val="0C413AEC"/>
    <w:rsid w:val="0C458258"/>
    <w:rsid w:val="0C639DE0"/>
    <w:rsid w:val="0C81687D"/>
    <w:rsid w:val="0C9C04D7"/>
    <w:rsid w:val="0C9F9C95"/>
    <w:rsid w:val="0CA7B2D7"/>
    <w:rsid w:val="0CADBA24"/>
    <w:rsid w:val="0CB35230"/>
    <w:rsid w:val="0CC24535"/>
    <w:rsid w:val="0D0B5994"/>
    <w:rsid w:val="0D12F4E2"/>
    <w:rsid w:val="0D174A39"/>
    <w:rsid w:val="0D1A5B7A"/>
    <w:rsid w:val="0D52EF58"/>
    <w:rsid w:val="0D552644"/>
    <w:rsid w:val="0D72A5BA"/>
    <w:rsid w:val="0D880808"/>
    <w:rsid w:val="0D9060CA"/>
    <w:rsid w:val="0DBE3BD5"/>
    <w:rsid w:val="0DEBA0B1"/>
    <w:rsid w:val="0DF492C3"/>
    <w:rsid w:val="0DFDBA39"/>
    <w:rsid w:val="0E0A4A8F"/>
    <w:rsid w:val="0E13131E"/>
    <w:rsid w:val="0E1A08DF"/>
    <w:rsid w:val="0E30A267"/>
    <w:rsid w:val="0E48E184"/>
    <w:rsid w:val="0E639966"/>
    <w:rsid w:val="0E820122"/>
    <w:rsid w:val="0E978181"/>
    <w:rsid w:val="0EF77C47"/>
    <w:rsid w:val="0F03D3DA"/>
    <w:rsid w:val="0F1EFA7E"/>
    <w:rsid w:val="0F34E633"/>
    <w:rsid w:val="0F469E06"/>
    <w:rsid w:val="0F6BCA40"/>
    <w:rsid w:val="0F9713B9"/>
    <w:rsid w:val="0FA03F9B"/>
    <w:rsid w:val="0FAC73E8"/>
    <w:rsid w:val="0FB690B9"/>
    <w:rsid w:val="0FC1ABEA"/>
    <w:rsid w:val="0FD6A1E8"/>
    <w:rsid w:val="0FE323E1"/>
    <w:rsid w:val="0FE6CDD3"/>
    <w:rsid w:val="10311A4B"/>
    <w:rsid w:val="10399111"/>
    <w:rsid w:val="103B7F7F"/>
    <w:rsid w:val="103BA52F"/>
    <w:rsid w:val="103F9787"/>
    <w:rsid w:val="1041D9FF"/>
    <w:rsid w:val="104FC59F"/>
    <w:rsid w:val="1052B218"/>
    <w:rsid w:val="1054F554"/>
    <w:rsid w:val="105C0AF3"/>
    <w:rsid w:val="105D523D"/>
    <w:rsid w:val="106CB97F"/>
    <w:rsid w:val="1075D3FA"/>
    <w:rsid w:val="107B87F6"/>
    <w:rsid w:val="1088984C"/>
    <w:rsid w:val="10B0E4C3"/>
    <w:rsid w:val="10BB9801"/>
    <w:rsid w:val="10D8BFE0"/>
    <w:rsid w:val="10E89099"/>
    <w:rsid w:val="10EB2665"/>
    <w:rsid w:val="10F48E7B"/>
    <w:rsid w:val="11122C5E"/>
    <w:rsid w:val="113B5ECE"/>
    <w:rsid w:val="1155ED05"/>
    <w:rsid w:val="1184ADCC"/>
    <w:rsid w:val="118AF0A3"/>
    <w:rsid w:val="11925F03"/>
    <w:rsid w:val="11AA0067"/>
    <w:rsid w:val="11AF784C"/>
    <w:rsid w:val="11D39E46"/>
    <w:rsid w:val="11D73D27"/>
    <w:rsid w:val="1204F4B6"/>
    <w:rsid w:val="120AEEC1"/>
    <w:rsid w:val="120CBEBE"/>
    <w:rsid w:val="123DA914"/>
    <w:rsid w:val="124532AD"/>
    <w:rsid w:val="124D4931"/>
    <w:rsid w:val="125457EB"/>
    <w:rsid w:val="129CB199"/>
    <w:rsid w:val="12ABBC06"/>
    <w:rsid w:val="12AD694E"/>
    <w:rsid w:val="12C66301"/>
    <w:rsid w:val="12D732BA"/>
    <w:rsid w:val="12D927D3"/>
    <w:rsid w:val="12DE38C5"/>
    <w:rsid w:val="12E4D66A"/>
    <w:rsid w:val="12E7EBD2"/>
    <w:rsid w:val="12EF0B95"/>
    <w:rsid w:val="131CACF8"/>
    <w:rsid w:val="134F7296"/>
    <w:rsid w:val="1365B69E"/>
    <w:rsid w:val="13799D44"/>
    <w:rsid w:val="13920083"/>
    <w:rsid w:val="13B0C0FB"/>
    <w:rsid w:val="13D9821E"/>
    <w:rsid w:val="13DC5AF9"/>
    <w:rsid w:val="13F140B5"/>
    <w:rsid w:val="13FC14D0"/>
    <w:rsid w:val="14262EE3"/>
    <w:rsid w:val="1439A6F5"/>
    <w:rsid w:val="145E0A38"/>
    <w:rsid w:val="148738CA"/>
    <w:rsid w:val="148B63ED"/>
    <w:rsid w:val="14A9FDA5"/>
    <w:rsid w:val="14CC3072"/>
    <w:rsid w:val="14E4861E"/>
    <w:rsid w:val="14E80931"/>
    <w:rsid w:val="14FE5CE7"/>
    <w:rsid w:val="150425D3"/>
    <w:rsid w:val="150E23EE"/>
    <w:rsid w:val="1518A9B2"/>
    <w:rsid w:val="151C3C8C"/>
    <w:rsid w:val="152E233F"/>
    <w:rsid w:val="15333861"/>
    <w:rsid w:val="154F98A9"/>
    <w:rsid w:val="155010CB"/>
    <w:rsid w:val="157C8119"/>
    <w:rsid w:val="15872ECE"/>
    <w:rsid w:val="15AA6132"/>
    <w:rsid w:val="15AC2212"/>
    <w:rsid w:val="15CA24E1"/>
    <w:rsid w:val="15D8C46B"/>
    <w:rsid w:val="15F9C30E"/>
    <w:rsid w:val="160E6935"/>
    <w:rsid w:val="1640BFE3"/>
    <w:rsid w:val="165A6337"/>
    <w:rsid w:val="165FE493"/>
    <w:rsid w:val="1674CE5D"/>
    <w:rsid w:val="16A8AED2"/>
    <w:rsid w:val="16B492ED"/>
    <w:rsid w:val="16F72387"/>
    <w:rsid w:val="170CC56F"/>
    <w:rsid w:val="1715629E"/>
    <w:rsid w:val="1736A439"/>
    <w:rsid w:val="1768E264"/>
    <w:rsid w:val="1777E529"/>
    <w:rsid w:val="1783AFE9"/>
    <w:rsid w:val="1799BC8F"/>
    <w:rsid w:val="17A6DDE0"/>
    <w:rsid w:val="17CBB6FE"/>
    <w:rsid w:val="17CF6FA5"/>
    <w:rsid w:val="17D29AC1"/>
    <w:rsid w:val="17E83F24"/>
    <w:rsid w:val="17EEA5D8"/>
    <w:rsid w:val="180E4FAB"/>
    <w:rsid w:val="183DC9C1"/>
    <w:rsid w:val="18557CA1"/>
    <w:rsid w:val="187FF2EA"/>
    <w:rsid w:val="18A2CB9D"/>
    <w:rsid w:val="18C37FFD"/>
    <w:rsid w:val="18C617D8"/>
    <w:rsid w:val="18D334F3"/>
    <w:rsid w:val="18F4D4ED"/>
    <w:rsid w:val="191AB53D"/>
    <w:rsid w:val="19268774"/>
    <w:rsid w:val="1937FA2B"/>
    <w:rsid w:val="194D21B7"/>
    <w:rsid w:val="1955A46E"/>
    <w:rsid w:val="1960CF13"/>
    <w:rsid w:val="19908275"/>
    <w:rsid w:val="1992E044"/>
    <w:rsid w:val="19A6AD36"/>
    <w:rsid w:val="19C25851"/>
    <w:rsid w:val="19FB15EA"/>
    <w:rsid w:val="1A00CBD4"/>
    <w:rsid w:val="1A19B4E5"/>
    <w:rsid w:val="1A1CC60C"/>
    <w:rsid w:val="1A231A70"/>
    <w:rsid w:val="1A2A7DB9"/>
    <w:rsid w:val="1A5C3B46"/>
    <w:rsid w:val="1A6E1D77"/>
    <w:rsid w:val="1A76D6C7"/>
    <w:rsid w:val="1A77E02C"/>
    <w:rsid w:val="1AA1A718"/>
    <w:rsid w:val="1AA6F75B"/>
    <w:rsid w:val="1AAB5A97"/>
    <w:rsid w:val="1AB0827D"/>
    <w:rsid w:val="1AB1A77A"/>
    <w:rsid w:val="1ABE0F5B"/>
    <w:rsid w:val="1AD1FCB2"/>
    <w:rsid w:val="1AEC591D"/>
    <w:rsid w:val="1B1E2E28"/>
    <w:rsid w:val="1B5AD563"/>
    <w:rsid w:val="1B749554"/>
    <w:rsid w:val="1B782F6C"/>
    <w:rsid w:val="1B7AE0F2"/>
    <w:rsid w:val="1B7B6E3C"/>
    <w:rsid w:val="1BA45111"/>
    <w:rsid w:val="1BB897FA"/>
    <w:rsid w:val="1BBF8D86"/>
    <w:rsid w:val="1BCE9134"/>
    <w:rsid w:val="1BD51D92"/>
    <w:rsid w:val="1BE0A106"/>
    <w:rsid w:val="1BE13E06"/>
    <w:rsid w:val="1C2F6122"/>
    <w:rsid w:val="1C2F7EB1"/>
    <w:rsid w:val="1C31E423"/>
    <w:rsid w:val="1C336481"/>
    <w:rsid w:val="1C35FCF8"/>
    <w:rsid w:val="1C40E4EF"/>
    <w:rsid w:val="1C4B141B"/>
    <w:rsid w:val="1C5388AA"/>
    <w:rsid w:val="1C7138A1"/>
    <w:rsid w:val="1C7F4FBE"/>
    <w:rsid w:val="1C855CA9"/>
    <w:rsid w:val="1C859CF2"/>
    <w:rsid w:val="1C899C76"/>
    <w:rsid w:val="1CA57077"/>
    <w:rsid w:val="1CBBEF44"/>
    <w:rsid w:val="1CC78DBF"/>
    <w:rsid w:val="1D0802C1"/>
    <w:rsid w:val="1D20960E"/>
    <w:rsid w:val="1D381BBD"/>
    <w:rsid w:val="1D3D3D56"/>
    <w:rsid w:val="1D4D99F5"/>
    <w:rsid w:val="1D706281"/>
    <w:rsid w:val="1D780F63"/>
    <w:rsid w:val="1D7B031F"/>
    <w:rsid w:val="1D824C4B"/>
    <w:rsid w:val="1D896597"/>
    <w:rsid w:val="1D93B0AC"/>
    <w:rsid w:val="1D9A0600"/>
    <w:rsid w:val="1DDCA7ED"/>
    <w:rsid w:val="1DE6CA4E"/>
    <w:rsid w:val="1E1BF85E"/>
    <w:rsid w:val="1E435FB9"/>
    <w:rsid w:val="1E5C0ADD"/>
    <w:rsid w:val="1E7053AC"/>
    <w:rsid w:val="1E758892"/>
    <w:rsid w:val="1E89CC19"/>
    <w:rsid w:val="1EC1588A"/>
    <w:rsid w:val="1EC8CD5E"/>
    <w:rsid w:val="1ED866FD"/>
    <w:rsid w:val="1EDF1926"/>
    <w:rsid w:val="1F0503B6"/>
    <w:rsid w:val="1F2E1610"/>
    <w:rsid w:val="1F3000C9"/>
    <w:rsid w:val="1F3DEB5B"/>
    <w:rsid w:val="1F433AB4"/>
    <w:rsid w:val="1F47E423"/>
    <w:rsid w:val="1F508FDD"/>
    <w:rsid w:val="1F735E84"/>
    <w:rsid w:val="1F78567C"/>
    <w:rsid w:val="1F7BD017"/>
    <w:rsid w:val="1F995D44"/>
    <w:rsid w:val="1FE84BE9"/>
    <w:rsid w:val="20041BA3"/>
    <w:rsid w:val="20094C57"/>
    <w:rsid w:val="2023C942"/>
    <w:rsid w:val="202BC068"/>
    <w:rsid w:val="204566D2"/>
    <w:rsid w:val="20482627"/>
    <w:rsid w:val="205B773B"/>
    <w:rsid w:val="205FD0AF"/>
    <w:rsid w:val="2064F27D"/>
    <w:rsid w:val="207CAAA0"/>
    <w:rsid w:val="208C7F71"/>
    <w:rsid w:val="209D1F59"/>
    <w:rsid w:val="20A802A8"/>
    <w:rsid w:val="20B28CA4"/>
    <w:rsid w:val="20B85BFE"/>
    <w:rsid w:val="210258D7"/>
    <w:rsid w:val="210B32D6"/>
    <w:rsid w:val="211E40B9"/>
    <w:rsid w:val="212316CC"/>
    <w:rsid w:val="215E9ED3"/>
    <w:rsid w:val="216873E1"/>
    <w:rsid w:val="217A02BB"/>
    <w:rsid w:val="21B2DAD4"/>
    <w:rsid w:val="21BE083A"/>
    <w:rsid w:val="21C33100"/>
    <w:rsid w:val="21CECEF9"/>
    <w:rsid w:val="21E87689"/>
    <w:rsid w:val="2222A466"/>
    <w:rsid w:val="22276B6A"/>
    <w:rsid w:val="2227F281"/>
    <w:rsid w:val="222B79F6"/>
    <w:rsid w:val="222FEA69"/>
    <w:rsid w:val="224597B1"/>
    <w:rsid w:val="224A5159"/>
    <w:rsid w:val="224EC238"/>
    <w:rsid w:val="226D925F"/>
    <w:rsid w:val="227F990D"/>
    <w:rsid w:val="2290B258"/>
    <w:rsid w:val="2290C4F4"/>
    <w:rsid w:val="2294852D"/>
    <w:rsid w:val="22B962E3"/>
    <w:rsid w:val="22BF4CC7"/>
    <w:rsid w:val="22E210B4"/>
    <w:rsid w:val="22E3A5F2"/>
    <w:rsid w:val="22EA48DE"/>
    <w:rsid w:val="230047C2"/>
    <w:rsid w:val="2309BD53"/>
    <w:rsid w:val="230D643F"/>
    <w:rsid w:val="2321E000"/>
    <w:rsid w:val="23287190"/>
    <w:rsid w:val="2361B9C0"/>
    <w:rsid w:val="23794C37"/>
    <w:rsid w:val="237982B5"/>
    <w:rsid w:val="2398FC32"/>
    <w:rsid w:val="23DEDFF5"/>
    <w:rsid w:val="23EB9CC0"/>
    <w:rsid w:val="23EF704F"/>
    <w:rsid w:val="23FBAEDD"/>
    <w:rsid w:val="2418899F"/>
    <w:rsid w:val="241A078B"/>
    <w:rsid w:val="2437D864"/>
    <w:rsid w:val="2440A688"/>
    <w:rsid w:val="245D6D05"/>
    <w:rsid w:val="2487064B"/>
    <w:rsid w:val="2489E7B2"/>
    <w:rsid w:val="248A6E92"/>
    <w:rsid w:val="2494A077"/>
    <w:rsid w:val="24B5D224"/>
    <w:rsid w:val="24C0ABB2"/>
    <w:rsid w:val="24C45660"/>
    <w:rsid w:val="24E81EBF"/>
    <w:rsid w:val="24EA12C2"/>
    <w:rsid w:val="24FC29C2"/>
    <w:rsid w:val="252BDFA3"/>
    <w:rsid w:val="254CD4FE"/>
    <w:rsid w:val="25577D37"/>
    <w:rsid w:val="2569B2CE"/>
    <w:rsid w:val="256C1056"/>
    <w:rsid w:val="2576FE48"/>
    <w:rsid w:val="2582C2D3"/>
    <w:rsid w:val="25DB0433"/>
    <w:rsid w:val="25EC409B"/>
    <w:rsid w:val="25F37EC3"/>
    <w:rsid w:val="25FDB731"/>
    <w:rsid w:val="26047AD6"/>
    <w:rsid w:val="26196C61"/>
    <w:rsid w:val="2649A309"/>
    <w:rsid w:val="26650E97"/>
    <w:rsid w:val="26699D1F"/>
    <w:rsid w:val="2669D60C"/>
    <w:rsid w:val="268DA7E0"/>
    <w:rsid w:val="269DE2F0"/>
    <w:rsid w:val="26A212BB"/>
    <w:rsid w:val="26AFDE8D"/>
    <w:rsid w:val="26B52CBA"/>
    <w:rsid w:val="26BDA8F0"/>
    <w:rsid w:val="26C4EE1C"/>
    <w:rsid w:val="26C5F4A1"/>
    <w:rsid w:val="26C7E494"/>
    <w:rsid w:val="26CFE66A"/>
    <w:rsid w:val="26D43279"/>
    <w:rsid w:val="26FF6F9B"/>
    <w:rsid w:val="2727811F"/>
    <w:rsid w:val="274193A9"/>
    <w:rsid w:val="27505F8D"/>
    <w:rsid w:val="2754DE57"/>
    <w:rsid w:val="277CB225"/>
    <w:rsid w:val="277EB959"/>
    <w:rsid w:val="2783FBD4"/>
    <w:rsid w:val="27BCD891"/>
    <w:rsid w:val="27D2BC67"/>
    <w:rsid w:val="27D91A2E"/>
    <w:rsid w:val="27FB21BD"/>
    <w:rsid w:val="2813D5DB"/>
    <w:rsid w:val="2830A890"/>
    <w:rsid w:val="28349980"/>
    <w:rsid w:val="28434545"/>
    <w:rsid w:val="2867F7BB"/>
    <w:rsid w:val="286FE8AB"/>
    <w:rsid w:val="2876732A"/>
    <w:rsid w:val="287ABA0D"/>
    <w:rsid w:val="287F1DA8"/>
    <w:rsid w:val="28AC3DB6"/>
    <w:rsid w:val="28F47F7D"/>
    <w:rsid w:val="28F9DE4A"/>
    <w:rsid w:val="28FA1721"/>
    <w:rsid w:val="29060CE0"/>
    <w:rsid w:val="294C34E9"/>
    <w:rsid w:val="29544F3C"/>
    <w:rsid w:val="2954A745"/>
    <w:rsid w:val="296A8AEE"/>
    <w:rsid w:val="2970E301"/>
    <w:rsid w:val="29771C61"/>
    <w:rsid w:val="2998DC4E"/>
    <w:rsid w:val="29C00AFF"/>
    <w:rsid w:val="29D9F7D0"/>
    <w:rsid w:val="2A0F873D"/>
    <w:rsid w:val="2A29182D"/>
    <w:rsid w:val="2A3E32C2"/>
    <w:rsid w:val="2A5BF539"/>
    <w:rsid w:val="2A64F5BE"/>
    <w:rsid w:val="2A76B119"/>
    <w:rsid w:val="2A90716D"/>
    <w:rsid w:val="2A98102C"/>
    <w:rsid w:val="2A9DF64F"/>
    <w:rsid w:val="2AD1C7D7"/>
    <w:rsid w:val="2AFAEAEA"/>
    <w:rsid w:val="2B17E153"/>
    <w:rsid w:val="2B184949"/>
    <w:rsid w:val="2B22CDF2"/>
    <w:rsid w:val="2B3AFF1E"/>
    <w:rsid w:val="2B48B90B"/>
    <w:rsid w:val="2B493640"/>
    <w:rsid w:val="2B520E54"/>
    <w:rsid w:val="2B77594A"/>
    <w:rsid w:val="2B7A1745"/>
    <w:rsid w:val="2B8E721E"/>
    <w:rsid w:val="2BA2C84D"/>
    <w:rsid w:val="2BA4262B"/>
    <w:rsid w:val="2BAB5D15"/>
    <w:rsid w:val="2BB2F4BC"/>
    <w:rsid w:val="2BC9771F"/>
    <w:rsid w:val="2BD80D8D"/>
    <w:rsid w:val="2C1989F0"/>
    <w:rsid w:val="2C5A927D"/>
    <w:rsid w:val="2C667835"/>
    <w:rsid w:val="2C6D2774"/>
    <w:rsid w:val="2C7AECA4"/>
    <w:rsid w:val="2C968728"/>
    <w:rsid w:val="2CA3A5E8"/>
    <w:rsid w:val="2CA9091F"/>
    <w:rsid w:val="2CACF2A7"/>
    <w:rsid w:val="2CB93BA6"/>
    <w:rsid w:val="2CD98C40"/>
    <w:rsid w:val="2CE75F17"/>
    <w:rsid w:val="2D07C07E"/>
    <w:rsid w:val="2D3508CB"/>
    <w:rsid w:val="2D411609"/>
    <w:rsid w:val="2D4C18F1"/>
    <w:rsid w:val="2D5E08BC"/>
    <w:rsid w:val="2D703FF2"/>
    <w:rsid w:val="2D7689EC"/>
    <w:rsid w:val="2D801585"/>
    <w:rsid w:val="2D8342AD"/>
    <w:rsid w:val="2D9C780E"/>
    <w:rsid w:val="2DD4FEDC"/>
    <w:rsid w:val="2DE6FB22"/>
    <w:rsid w:val="2DFF7619"/>
    <w:rsid w:val="2E013E01"/>
    <w:rsid w:val="2E1C56BC"/>
    <w:rsid w:val="2E2700AC"/>
    <w:rsid w:val="2E3CCAB6"/>
    <w:rsid w:val="2E41A892"/>
    <w:rsid w:val="2E7E83EF"/>
    <w:rsid w:val="2E7F496E"/>
    <w:rsid w:val="2E818110"/>
    <w:rsid w:val="2E834305"/>
    <w:rsid w:val="2E8B97FA"/>
    <w:rsid w:val="2E9654B0"/>
    <w:rsid w:val="2EA187B8"/>
    <w:rsid w:val="2EBCCC94"/>
    <w:rsid w:val="2ECB51C5"/>
    <w:rsid w:val="2ECC7CB9"/>
    <w:rsid w:val="2EE690AD"/>
    <w:rsid w:val="2EEDBEFA"/>
    <w:rsid w:val="2F0C6938"/>
    <w:rsid w:val="2F0D917C"/>
    <w:rsid w:val="2F1A3EED"/>
    <w:rsid w:val="2F1A9B63"/>
    <w:rsid w:val="2F1E803A"/>
    <w:rsid w:val="2F34DE81"/>
    <w:rsid w:val="2FC2D6F3"/>
    <w:rsid w:val="2FC512D7"/>
    <w:rsid w:val="2FC82F7E"/>
    <w:rsid w:val="2FD01310"/>
    <w:rsid w:val="2FD2EF6E"/>
    <w:rsid w:val="2FDC36FD"/>
    <w:rsid w:val="2FDEF68E"/>
    <w:rsid w:val="2FE222A9"/>
    <w:rsid w:val="2FEDFAA2"/>
    <w:rsid w:val="30239F6F"/>
    <w:rsid w:val="3041644F"/>
    <w:rsid w:val="30439ED0"/>
    <w:rsid w:val="307BF551"/>
    <w:rsid w:val="308A1597"/>
    <w:rsid w:val="309A3D79"/>
    <w:rsid w:val="30A0A63F"/>
    <w:rsid w:val="30CD4891"/>
    <w:rsid w:val="30F75B03"/>
    <w:rsid w:val="30FE08A2"/>
    <w:rsid w:val="3100FFC5"/>
    <w:rsid w:val="31014707"/>
    <w:rsid w:val="310177A0"/>
    <w:rsid w:val="31389549"/>
    <w:rsid w:val="313FEAEA"/>
    <w:rsid w:val="319957C9"/>
    <w:rsid w:val="31C67661"/>
    <w:rsid w:val="31FDD998"/>
    <w:rsid w:val="3203A898"/>
    <w:rsid w:val="32202AA3"/>
    <w:rsid w:val="322919C7"/>
    <w:rsid w:val="323767EC"/>
    <w:rsid w:val="329161C4"/>
    <w:rsid w:val="32919C67"/>
    <w:rsid w:val="329E31AC"/>
    <w:rsid w:val="32A88019"/>
    <w:rsid w:val="32B62E1E"/>
    <w:rsid w:val="32C6E805"/>
    <w:rsid w:val="32D54910"/>
    <w:rsid w:val="32D55CFC"/>
    <w:rsid w:val="32E7F7F3"/>
    <w:rsid w:val="32FCF4DE"/>
    <w:rsid w:val="330850B9"/>
    <w:rsid w:val="3323B1A0"/>
    <w:rsid w:val="332B3CE8"/>
    <w:rsid w:val="33310E26"/>
    <w:rsid w:val="33525D57"/>
    <w:rsid w:val="33599C82"/>
    <w:rsid w:val="3366A989"/>
    <w:rsid w:val="3377443F"/>
    <w:rsid w:val="33B531D9"/>
    <w:rsid w:val="33B53F5E"/>
    <w:rsid w:val="33D97435"/>
    <w:rsid w:val="33DE2D8C"/>
    <w:rsid w:val="33F49A88"/>
    <w:rsid w:val="33F53ABC"/>
    <w:rsid w:val="34168687"/>
    <w:rsid w:val="342BF116"/>
    <w:rsid w:val="342E1430"/>
    <w:rsid w:val="3474C8C5"/>
    <w:rsid w:val="34C34189"/>
    <w:rsid w:val="34D4D2F4"/>
    <w:rsid w:val="34E689F2"/>
    <w:rsid w:val="34FA7479"/>
    <w:rsid w:val="350B5787"/>
    <w:rsid w:val="3514EDA7"/>
    <w:rsid w:val="3522E960"/>
    <w:rsid w:val="35253B5D"/>
    <w:rsid w:val="3543D53A"/>
    <w:rsid w:val="354CA618"/>
    <w:rsid w:val="356988AF"/>
    <w:rsid w:val="359D1319"/>
    <w:rsid w:val="35AFDD92"/>
    <w:rsid w:val="35BE6CA3"/>
    <w:rsid w:val="35E281EF"/>
    <w:rsid w:val="35E29DFD"/>
    <w:rsid w:val="363489EB"/>
    <w:rsid w:val="3653FBB1"/>
    <w:rsid w:val="366C3760"/>
    <w:rsid w:val="36B8F69C"/>
    <w:rsid w:val="36C68E4B"/>
    <w:rsid w:val="36CEB4C7"/>
    <w:rsid w:val="36EA2FF7"/>
    <w:rsid w:val="36F0E5F1"/>
    <w:rsid w:val="37205E90"/>
    <w:rsid w:val="37258A78"/>
    <w:rsid w:val="3729094E"/>
    <w:rsid w:val="374CDA5B"/>
    <w:rsid w:val="375E521F"/>
    <w:rsid w:val="37661AE3"/>
    <w:rsid w:val="376EFF8E"/>
    <w:rsid w:val="37910E67"/>
    <w:rsid w:val="37958E5E"/>
    <w:rsid w:val="379F794C"/>
    <w:rsid w:val="37A0131E"/>
    <w:rsid w:val="37E6D407"/>
    <w:rsid w:val="37F55D96"/>
    <w:rsid w:val="380EA5C1"/>
    <w:rsid w:val="380F3A8E"/>
    <w:rsid w:val="382C4715"/>
    <w:rsid w:val="3846FD60"/>
    <w:rsid w:val="3875DA76"/>
    <w:rsid w:val="38895234"/>
    <w:rsid w:val="388C2033"/>
    <w:rsid w:val="38A6BE0B"/>
    <w:rsid w:val="38AC2318"/>
    <w:rsid w:val="38B02DC7"/>
    <w:rsid w:val="38F6A9EF"/>
    <w:rsid w:val="390F780C"/>
    <w:rsid w:val="391484AD"/>
    <w:rsid w:val="3915E1B9"/>
    <w:rsid w:val="39306C09"/>
    <w:rsid w:val="393BED7B"/>
    <w:rsid w:val="39718A41"/>
    <w:rsid w:val="399846D4"/>
    <w:rsid w:val="39A1354A"/>
    <w:rsid w:val="39A25D68"/>
    <w:rsid w:val="39AA1061"/>
    <w:rsid w:val="39E06691"/>
    <w:rsid w:val="39E9C0E2"/>
    <w:rsid w:val="3A1174DC"/>
    <w:rsid w:val="3A1FBB5E"/>
    <w:rsid w:val="3A3A7A47"/>
    <w:rsid w:val="3A3C3700"/>
    <w:rsid w:val="3A55E404"/>
    <w:rsid w:val="3AA8BB41"/>
    <w:rsid w:val="3AF0D2B9"/>
    <w:rsid w:val="3AF362C3"/>
    <w:rsid w:val="3B22F13F"/>
    <w:rsid w:val="3B35CE51"/>
    <w:rsid w:val="3B396603"/>
    <w:rsid w:val="3B71977A"/>
    <w:rsid w:val="3B7CF098"/>
    <w:rsid w:val="3B878FF9"/>
    <w:rsid w:val="3B8CBDE9"/>
    <w:rsid w:val="3BBB8213"/>
    <w:rsid w:val="3BBD50FC"/>
    <w:rsid w:val="3BD3CFBF"/>
    <w:rsid w:val="3BD6ED6E"/>
    <w:rsid w:val="3BE236FB"/>
    <w:rsid w:val="3BE32706"/>
    <w:rsid w:val="3BE9E89D"/>
    <w:rsid w:val="3BEB1351"/>
    <w:rsid w:val="3C04E511"/>
    <w:rsid w:val="3C167783"/>
    <w:rsid w:val="3C179E60"/>
    <w:rsid w:val="3C1E632C"/>
    <w:rsid w:val="3C285569"/>
    <w:rsid w:val="3C4A0C84"/>
    <w:rsid w:val="3C52DB2D"/>
    <w:rsid w:val="3C552ADE"/>
    <w:rsid w:val="3C7E7A0B"/>
    <w:rsid w:val="3C8360DD"/>
    <w:rsid w:val="3C847B1A"/>
    <w:rsid w:val="3C9AE287"/>
    <w:rsid w:val="3CA41F29"/>
    <w:rsid w:val="3CC27EFF"/>
    <w:rsid w:val="3CE84CA7"/>
    <w:rsid w:val="3CFFE5BC"/>
    <w:rsid w:val="3D21DE31"/>
    <w:rsid w:val="3D564ED4"/>
    <w:rsid w:val="3D6BDD49"/>
    <w:rsid w:val="3D7BD3FE"/>
    <w:rsid w:val="3D99952B"/>
    <w:rsid w:val="3DB0D315"/>
    <w:rsid w:val="3E06A53E"/>
    <w:rsid w:val="3E0EB2A8"/>
    <w:rsid w:val="3E228965"/>
    <w:rsid w:val="3E83D279"/>
    <w:rsid w:val="3EC3E652"/>
    <w:rsid w:val="3F123D63"/>
    <w:rsid w:val="3F21F945"/>
    <w:rsid w:val="3F2FBC8C"/>
    <w:rsid w:val="3F3CAFD5"/>
    <w:rsid w:val="3F62EE1E"/>
    <w:rsid w:val="3F64699A"/>
    <w:rsid w:val="3F647D0D"/>
    <w:rsid w:val="3F6D4913"/>
    <w:rsid w:val="3F7986DD"/>
    <w:rsid w:val="3FA66682"/>
    <w:rsid w:val="3FA8A315"/>
    <w:rsid w:val="3FBB901B"/>
    <w:rsid w:val="3FD25773"/>
    <w:rsid w:val="3FF6952F"/>
    <w:rsid w:val="4017EB0B"/>
    <w:rsid w:val="401858C3"/>
    <w:rsid w:val="40587895"/>
    <w:rsid w:val="405F395A"/>
    <w:rsid w:val="40722515"/>
    <w:rsid w:val="40C93AD8"/>
    <w:rsid w:val="40DC013A"/>
    <w:rsid w:val="410D4670"/>
    <w:rsid w:val="4168BE2E"/>
    <w:rsid w:val="41860368"/>
    <w:rsid w:val="41B3DC88"/>
    <w:rsid w:val="41EEA34A"/>
    <w:rsid w:val="41FEC7EA"/>
    <w:rsid w:val="42275863"/>
    <w:rsid w:val="424A36E3"/>
    <w:rsid w:val="4256FCE9"/>
    <w:rsid w:val="42762AFF"/>
    <w:rsid w:val="4287B8AE"/>
    <w:rsid w:val="4291CAF7"/>
    <w:rsid w:val="4292E5CF"/>
    <w:rsid w:val="42A77A17"/>
    <w:rsid w:val="42AE293B"/>
    <w:rsid w:val="42B439E8"/>
    <w:rsid w:val="42BC4607"/>
    <w:rsid w:val="42D28534"/>
    <w:rsid w:val="42F5930F"/>
    <w:rsid w:val="42F8A9D9"/>
    <w:rsid w:val="43047068"/>
    <w:rsid w:val="43057EC9"/>
    <w:rsid w:val="430F9511"/>
    <w:rsid w:val="435B5D28"/>
    <w:rsid w:val="4360809C"/>
    <w:rsid w:val="43650DBB"/>
    <w:rsid w:val="438F1000"/>
    <w:rsid w:val="439BD24F"/>
    <w:rsid w:val="43C026EA"/>
    <w:rsid w:val="43C1E3FE"/>
    <w:rsid w:val="43E07C57"/>
    <w:rsid w:val="43F43843"/>
    <w:rsid w:val="442C851C"/>
    <w:rsid w:val="443C0575"/>
    <w:rsid w:val="443E6AF8"/>
    <w:rsid w:val="445A8E8A"/>
    <w:rsid w:val="447B05BB"/>
    <w:rsid w:val="44DDF02A"/>
    <w:rsid w:val="44FB6B1F"/>
    <w:rsid w:val="44FF0CBD"/>
    <w:rsid w:val="450D97D3"/>
    <w:rsid w:val="45125614"/>
    <w:rsid w:val="453B1B69"/>
    <w:rsid w:val="455B7527"/>
    <w:rsid w:val="456F52FF"/>
    <w:rsid w:val="4573E2D2"/>
    <w:rsid w:val="45B71BF9"/>
    <w:rsid w:val="45C181CB"/>
    <w:rsid w:val="45CB1C27"/>
    <w:rsid w:val="45D0BA9D"/>
    <w:rsid w:val="4605F8CF"/>
    <w:rsid w:val="460AE3CC"/>
    <w:rsid w:val="4638FE04"/>
    <w:rsid w:val="467AB375"/>
    <w:rsid w:val="467D3676"/>
    <w:rsid w:val="4696A0A1"/>
    <w:rsid w:val="469D768C"/>
    <w:rsid w:val="46A0F33F"/>
    <w:rsid w:val="46AB8E8A"/>
    <w:rsid w:val="46CA2145"/>
    <w:rsid w:val="46E648B7"/>
    <w:rsid w:val="470668D7"/>
    <w:rsid w:val="4713013D"/>
    <w:rsid w:val="47175E85"/>
    <w:rsid w:val="4733FCDD"/>
    <w:rsid w:val="4737F45F"/>
    <w:rsid w:val="474C58A8"/>
    <w:rsid w:val="4774C0D4"/>
    <w:rsid w:val="477F4C74"/>
    <w:rsid w:val="478F16E4"/>
    <w:rsid w:val="479C71D3"/>
    <w:rsid w:val="47B7E27E"/>
    <w:rsid w:val="47C3E709"/>
    <w:rsid w:val="47E842E6"/>
    <w:rsid w:val="47EB5060"/>
    <w:rsid w:val="47F172C0"/>
    <w:rsid w:val="48039EC0"/>
    <w:rsid w:val="48105205"/>
    <w:rsid w:val="4812CFD2"/>
    <w:rsid w:val="48186617"/>
    <w:rsid w:val="484A0E4A"/>
    <w:rsid w:val="4868B082"/>
    <w:rsid w:val="48B78DA9"/>
    <w:rsid w:val="48BDB52D"/>
    <w:rsid w:val="48C81E2B"/>
    <w:rsid w:val="48E354F3"/>
    <w:rsid w:val="48EA229D"/>
    <w:rsid w:val="4942AB7C"/>
    <w:rsid w:val="49433CA1"/>
    <w:rsid w:val="494CA1FC"/>
    <w:rsid w:val="497D501E"/>
    <w:rsid w:val="498FA74D"/>
    <w:rsid w:val="499822CD"/>
    <w:rsid w:val="49B0B7F7"/>
    <w:rsid w:val="49C51F59"/>
    <w:rsid w:val="49C83840"/>
    <w:rsid w:val="4A13F2DA"/>
    <w:rsid w:val="4A1906ED"/>
    <w:rsid w:val="4A22BE6A"/>
    <w:rsid w:val="4A47CB67"/>
    <w:rsid w:val="4A48EF69"/>
    <w:rsid w:val="4A490147"/>
    <w:rsid w:val="4A732BE4"/>
    <w:rsid w:val="4A92D461"/>
    <w:rsid w:val="4A997ACD"/>
    <w:rsid w:val="4AB9122E"/>
    <w:rsid w:val="4AB94E01"/>
    <w:rsid w:val="4ACD34A1"/>
    <w:rsid w:val="4AEA4E33"/>
    <w:rsid w:val="4AF0F414"/>
    <w:rsid w:val="4B1A6E3B"/>
    <w:rsid w:val="4B2CA398"/>
    <w:rsid w:val="4B3978F5"/>
    <w:rsid w:val="4B3D8536"/>
    <w:rsid w:val="4B3F76C5"/>
    <w:rsid w:val="4B5BEA44"/>
    <w:rsid w:val="4B7F3EE2"/>
    <w:rsid w:val="4B8CD01D"/>
    <w:rsid w:val="4B97E00A"/>
    <w:rsid w:val="4BA39AA4"/>
    <w:rsid w:val="4BA9DEF8"/>
    <w:rsid w:val="4BBD8502"/>
    <w:rsid w:val="4BCCA229"/>
    <w:rsid w:val="4BD2E501"/>
    <w:rsid w:val="4BD804E0"/>
    <w:rsid w:val="4BFB200E"/>
    <w:rsid w:val="4C4814B0"/>
    <w:rsid w:val="4C4F472D"/>
    <w:rsid w:val="4C591C61"/>
    <w:rsid w:val="4C66CEAF"/>
    <w:rsid w:val="4C69293A"/>
    <w:rsid w:val="4C88D00F"/>
    <w:rsid w:val="4C9C7D16"/>
    <w:rsid w:val="4CE34423"/>
    <w:rsid w:val="4CF716F7"/>
    <w:rsid w:val="4D3F2CDA"/>
    <w:rsid w:val="4D3F8D9E"/>
    <w:rsid w:val="4D3FF666"/>
    <w:rsid w:val="4D41B64E"/>
    <w:rsid w:val="4D48621C"/>
    <w:rsid w:val="4D668DE6"/>
    <w:rsid w:val="4D6BB58B"/>
    <w:rsid w:val="4D810D7F"/>
    <w:rsid w:val="4D9043DD"/>
    <w:rsid w:val="4D9E1916"/>
    <w:rsid w:val="4D9FDD6D"/>
    <w:rsid w:val="4DBAFABF"/>
    <w:rsid w:val="4DDCD9B0"/>
    <w:rsid w:val="4DE2AD24"/>
    <w:rsid w:val="4DF4CA3B"/>
    <w:rsid w:val="4E027E35"/>
    <w:rsid w:val="4E3B7343"/>
    <w:rsid w:val="4E41BEA3"/>
    <w:rsid w:val="4E447606"/>
    <w:rsid w:val="4E4E3394"/>
    <w:rsid w:val="4E781F1D"/>
    <w:rsid w:val="4E8FE60F"/>
    <w:rsid w:val="4E933FE9"/>
    <w:rsid w:val="4EC3939A"/>
    <w:rsid w:val="4ECD8401"/>
    <w:rsid w:val="4EDBE2A3"/>
    <w:rsid w:val="4EE2415F"/>
    <w:rsid w:val="4EE3A88B"/>
    <w:rsid w:val="4EF604C9"/>
    <w:rsid w:val="4EFA2C81"/>
    <w:rsid w:val="4F21945A"/>
    <w:rsid w:val="4F2C832D"/>
    <w:rsid w:val="4F47F7EC"/>
    <w:rsid w:val="4F51DF26"/>
    <w:rsid w:val="4F7292D1"/>
    <w:rsid w:val="4F9B0F9C"/>
    <w:rsid w:val="4FA3747E"/>
    <w:rsid w:val="4FAB7F4C"/>
    <w:rsid w:val="4FC8684C"/>
    <w:rsid w:val="4FCFC833"/>
    <w:rsid w:val="4FE4E50B"/>
    <w:rsid w:val="4FF228FF"/>
    <w:rsid w:val="4FFB09A1"/>
    <w:rsid w:val="500CC347"/>
    <w:rsid w:val="50201610"/>
    <w:rsid w:val="5020A966"/>
    <w:rsid w:val="503518D9"/>
    <w:rsid w:val="5038C69D"/>
    <w:rsid w:val="5056CCC4"/>
    <w:rsid w:val="5084FB48"/>
    <w:rsid w:val="50A6AFEF"/>
    <w:rsid w:val="50BCD51E"/>
    <w:rsid w:val="50C857E8"/>
    <w:rsid w:val="50CB8909"/>
    <w:rsid w:val="50D6A1F6"/>
    <w:rsid w:val="50D97DBF"/>
    <w:rsid w:val="50E762C4"/>
    <w:rsid w:val="50F76268"/>
    <w:rsid w:val="50FBD8F1"/>
    <w:rsid w:val="51003002"/>
    <w:rsid w:val="511A7739"/>
    <w:rsid w:val="51255319"/>
    <w:rsid w:val="51410FA9"/>
    <w:rsid w:val="51471DF6"/>
    <w:rsid w:val="51548326"/>
    <w:rsid w:val="515B4232"/>
    <w:rsid w:val="516CCF6C"/>
    <w:rsid w:val="5178EC47"/>
    <w:rsid w:val="5182B2DF"/>
    <w:rsid w:val="51868C2B"/>
    <w:rsid w:val="51973155"/>
    <w:rsid w:val="51AD52BE"/>
    <w:rsid w:val="51B802F1"/>
    <w:rsid w:val="51C71316"/>
    <w:rsid w:val="51E5E785"/>
    <w:rsid w:val="51EADC80"/>
    <w:rsid w:val="52335DBC"/>
    <w:rsid w:val="524EF0E7"/>
    <w:rsid w:val="5269631A"/>
    <w:rsid w:val="527FACE7"/>
    <w:rsid w:val="52908706"/>
    <w:rsid w:val="52A3B8E7"/>
    <w:rsid w:val="52A44A5E"/>
    <w:rsid w:val="52AA3994"/>
    <w:rsid w:val="52C2AA41"/>
    <w:rsid w:val="52CC72D6"/>
    <w:rsid w:val="52EFD2BF"/>
    <w:rsid w:val="5305625A"/>
    <w:rsid w:val="53183175"/>
    <w:rsid w:val="53265D0C"/>
    <w:rsid w:val="532D6E7B"/>
    <w:rsid w:val="533D48DA"/>
    <w:rsid w:val="534B6548"/>
    <w:rsid w:val="534D8042"/>
    <w:rsid w:val="535BA243"/>
    <w:rsid w:val="535CDD40"/>
    <w:rsid w:val="537EBCD7"/>
    <w:rsid w:val="538BE0A6"/>
    <w:rsid w:val="5390D995"/>
    <w:rsid w:val="53966030"/>
    <w:rsid w:val="53C6F698"/>
    <w:rsid w:val="53E7DEEE"/>
    <w:rsid w:val="53EB3D33"/>
    <w:rsid w:val="540E4A85"/>
    <w:rsid w:val="540F2BBC"/>
    <w:rsid w:val="5417E327"/>
    <w:rsid w:val="541A4DB4"/>
    <w:rsid w:val="5424B127"/>
    <w:rsid w:val="5432D188"/>
    <w:rsid w:val="544EDFE0"/>
    <w:rsid w:val="5453F615"/>
    <w:rsid w:val="54756919"/>
    <w:rsid w:val="547FDE29"/>
    <w:rsid w:val="548E5467"/>
    <w:rsid w:val="54939EDC"/>
    <w:rsid w:val="54B3DB44"/>
    <w:rsid w:val="54C59466"/>
    <w:rsid w:val="54CEFC78"/>
    <w:rsid w:val="54DF28D7"/>
    <w:rsid w:val="54F8C718"/>
    <w:rsid w:val="54FC2A9B"/>
    <w:rsid w:val="5517B182"/>
    <w:rsid w:val="552FC61D"/>
    <w:rsid w:val="554C6072"/>
    <w:rsid w:val="5550C55E"/>
    <w:rsid w:val="556F576D"/>
    <w:rsid w:val="55766CCE"/>
    <w:rsid w:val="559BB9CD"/>
    <w:rsid w:val="55AAF087"/>
    <w:rsid w:val="55E7353B"/>
    <w:rsid w:val="55F17C63"/>
    <w:rsid w:val="5617207D"/>
    <w:rsid w:val="56239387"/>
    <w:rsid w:val="5644917F"/>
    <w:rsid w:val="56861F82"/>
    <w:rsid w:val="569178A5"/>
    <w:rsid w:val="569EDB29"/>
    <w:rsid w:val="56C35245"/>
    <w:rsid w:val="56D42A70"/>
    <w:rsid w:val="570797EE"/>
    <w:rsid w:val="5729BDC0"/>
    <w:rsid w:val="57466682"/>
    <w:rsid w:val="5747E04D"/>
    <w:rsid w:val="5759E1BB"/>
    <w:rsid w:val="57913B71"/>
    <w:rsid w:val="5799C409"/>
    <w:rsid w:val="57AC5C4F"/>
    <w:rsid w:val="57CCDA6C"/>
    <w:rsid w:val="58174722"/>
    <w:rsid w:val="5849E931"/>
    <w:rsid w:val="58598BFA"/>
    <w:rsid w:val="5859C85C"/>
    <w:rsid w:val="5860DF12"/>
    <w:rsid w:val="5874C98D"/>
    <w:rsid w:val="58885435"/>
    <w:rsid w:val="589504EC"/>
    <w:rsid w:val="58B6BBAC"/>
    <w:rsid w:val="58B7B65B"/>
    <w:rsid w:val="58CE1701"/>
    <w:rsid w:val="58E12184"/>
    <w:rsid w:val="58F77AED"/>
    <w:rsid w:val="5902B01C"/>
    <w:rsid w:val="590D36C3"/>
    <w:rsid w:val="5914A7F2"/>
    <w:rsid w:val="591B3660"/>
    <w:rsid w:val="591EDCF4"/>
    <w:rsid w:val="591F5314"/>
    <w:rsid w:val="5923C40C"/>
    <w:rsid w:val="594C440B"/>
    <w:rsid w:val="595868A9"/>
    <w:rsid w:val="5958E8E7"/>
    <w:rsid w:val="59630413"/>
    <w:rsid w:val="5982F0F0"/>
    <w:rsid w:val="59A88BDC"/>
    <w:rsid w:val="59C6C76F"/>
    <w:rsid w:val="59C85F75"/>
    <w:rsid w:val="59D09580"/>
    <w:rsid w:val="59FF7E85"/>
    <w:rsid w:val="5A05C390"/>
    <w:rsid w:val="5A1CF5AB"/>
    <w:rsid w:val="5A26975B"/>
    <w:rsid w:val="5A286FC8"/>
    <w:rsid w:val="5A2B1C14"/>
    <w:rsid w:val="5A392697"/>
    <w:rsid w:val="5A7489B3"/>
    <w:rsid w:val="5A76866D"/>
    <w:rsid w:val="5AAD4E75"/>
    <w:rsid w:val="5AD8CD60"/>
    <w:rsid w:val="5B0BE112"/>
    <w:rsid w:val="5B155825"/>
    <w:rsid w:val="5B306A3B"/>
    <w:rsid w:val="5B34EACF"/>
    <w:rsid w:val="5B409CDB"/>
    <w:rsid w:val="5B4BCDC4"/>
    <w:rsid w:val="5B568081"/>
    <w:rsid w:val="5B5AE3D2"/>
    <w:rsid w:val="5B784FA3"/>
    <w:rsid w:val="5B919ED2"/>
    <w:rsid w:val="5B984B9E"/>
    <w:rsid w:val="5BAB8183"/>
    <w:rsid w:val="5BAFF325"/>
    <w:rsid w:val="5BB7C671"/>
    <w:rsid w:val="5BC07495"/>
    <w:rsid w:val="5BE12A83"/>
    <w:rsid w:val="5BFA657E"/>
    <w:rsid w:val="5C2D805F"/>
    <w:rsid w:val="5C50D517"/>
    <w:rsid w:val="5C62EA30"/>
    <w:rsid w:val="5C63180C"/>
    <w:rsid w:val="5C634853"/>
    <w:rsid w:val="5C8C6AFB"/>
    <w:rsid w:val="5CA09FD4"/>
    <w:rsid w:val="5CAB802C"/>
    <w:rsid w:val="5CC246F9"/>
    <w:rsid w:val="5CD61DE4"/>
    <w:rsid w:val="5D0B8A69"/>
    <w:rsid w:val="5D1095B4"/>
    <w:rsid w:val="5D177DAE"/>
    <w:rsid w:val="5D1CA823"/>
    <w:rsid w:val="5D26D724"/>
    <w:rsid w:val="5D43785B"/>
    <w:rsid w:val="5D462593"/>
    <w:rsid w:val="5D4C2FE5"/>
    <w:rsid w:val="5D5533D7"/>
    <w:rsid w:val="5D744A67"/>
    <w:rsid w:val="5D995A15"/>
    <w:rsid w:val="5DB899A6"/>
    <w:rsid w:val="5DB91068"/>
    <w:rsid w:val="5DCA8647"/>
    <w:rsid w:val="5DD70D54"/>
    <w:rsid w:val="5DE69708"/>
    <w:rsid w:val="5DF8168A"/>
    <w:rsid w:val="5E04155C"/>
    <w:rsid w:val="5E042E8E"/>
    <w:rsid w:val="5E0F98E7"/>
    <w:rsid w:val="5E2722AE"/>
    <w:rsid w:val="5E27C261"/>
    <w:rsid w:val="5E4DAB18"/>
    <w:rsid w:val="5E5DBB84"/>
    <w:rsid w:val="5E6426B2"/>
    <w:rsid w:val="5E757EE9"/>
    <w:rsid w:val="5E84D084"/>
    <w:rsid w:val="5E94D5C0"/>
    <w:rsid w:val="5EA3592A"/>
    <w:rsid w:val="5EA3BECB"/>
    <w:rsid w:val="5EC83211"/>
    <w:rsid w:val="5ECF02AB"/>
    <w:rsid w:val="5ED57318"/>
    <w:rsid w:val="5F0A7953"/>
    <w:rsid w:val="5F25AD5A"/>
    <w:rsid w:val="5F38DC25"/>
    <w:rsid w:val="5F3DAB6D"/>
    <w:rsid w:val="5F4CF866"/>
    <w:rsid w:val="5F6CF18C"/>
    <w:rsid w:val="5F6D95D1"/>
    <w:rsid w:val="5F709189"/>
    <w:rsid w:val="5F8BA308"/>
    <w:rsid w:val="5F971C2C"/>
    <w:rsid w:val="5FA44A1B"/>
    <w:rsid w:val="5FAD6688"/>
    <w:rsid w:val="5FC51E61"/>
    <w:rsid w:val="5FD1C4EF"/>
    <w:rsid w:val="5FD797D0"/>
    <w:rsid w:val="5FE3C50D"/>
    <w:rsid w:val="601E0185"/>
    <w:rsid w:val="602E84EE"/>
    <w:rsid w:val="60494C96"/>
    <w:rsid w:val="604C9163"/>
    <w:rsid w:val="60503A72"/>
    <w:rsid w:val="605D0611"/>
    <w:rsid w:val="6064A4AE"/>
    <w:rsid w:val="607F5231"/>
    <w:rsid w:val="6085FECF"/>
    <w:rsid w:val="608A6634"/>
    <w:rsid w:val="608F78BD"/>
    <w:rsid w:val="60C12534"/>
    <w:rsid w:val="60CC6E63"/>
    <w:rsid w:val="60CF1CAB"/>
    <w:rsid w:val="60D5D686"/>
    <w:rsid w:val="60D74929"/>
    <w:rsid w:val="60ECF5C7"/>
    <w:rsid w:val="60F68C6C"/>
    <w:rsid w:val="60FB6A1D"/>
    <w:rsid w:val="6109934E"/>
    <w:rsid w:val="61107AD7"/>
    <w:rsid w:val="61266DAC"/>
    <w:rsid w:val="615895A4"/>
    <w:rsid w:val="615B8016"/>
    <w:rsid w:val="617A152B"/>
    <w:rsid w:val="617F25A2"/>
    <w:rsid w:val="6182A4DD"/>
    <w:rsid w:val="618CFA8D"/>
    <w:rsid w:val="61A70790"/>
    <w:rsid w:val="61AF7C53"/>
    <w:rsid w:val="61EC6F87"/>
    <w:rsid w:val="61EC71ED"/>
    <w:rsid w:val="61F3BE80"/>
    <w:rsid w:val="62010D3A"/>
    <w:rsid w:val="62054D38"/>
    <w:rsid w:val="621736F7"/>
    <w:rsid w:val="6224AF9E"/>
    <w:rsid w:val="62264CE9"/>
    <w:rsid w:val="622708E1"/>
    <w:rsid w:val="622A9BF4"/>
    <w:rsid w:val="6252D119"/>
    <w:rsid w:val="625ADB9F"/>
    <w:rsid w:val="627963DB"/>
    <w:rsid w:val="6298CC15"/>
    <w:rsid w:val="62D67FBC"/>
    <w:rsid w:val="62EA4AB5"/>
    <w:rsid w:val="62F901C8"/>
    <w:rsid w:val="6302D4C4"/>
    <w:rsid w:val="6317424A"/>
    <w:rsid w:val="631C9DB5"/>
    <w:rsid w:val="631FB54A"/>
    <w:rsid w:val="633FE093"/>
    <w:rsid w:val="636DF1EF"/>
    <w:rsid w:val="638A2056"/>
    <w:rsid w:val="639CE03F"/>
    <w:rsid w:val="63AAABDE"/>
    <w:rsid w:val="63ADBC66"/>
    <w:rsid w:val="63B235C3"/>
    <w:rsid w:val="63C68086"/>
    <w:rsid w:val="63D05232"/>
    <w:rsid w:val="63D5672A"/>
    <w:rsid w:val="6400AEB8"/>
    <w:rsid w:val="6431C686"/>
    <w:rsid w:val="64408472"/>
    <w:rsid w:val="644FCDB6"/>
    <w:rsid w:val="645EC564"/>
    <w:rsid w:val="64633F61"/>
    <w:rsid w:val="6481B3CD"/>
    <w:rsid w:val="64862732"/>
    <w:rsid w:val="64B1D9EA"/>
    <w:rsid w:val="64BEED8C"/>
    <w:rsid w:val="64D674DC"/>
    <w:rsid w:val="64DCEE2E"/>
    <w:rsid w:val="64E52E88"/>
    <w:rsid w:val="65024BCD"/>
    <w:rsid w:val="65157AB3"/>
    <w:rsid w:val="653D2672"/>
    <w:rsid w:val="653EF686"/>
    <w:rsid w:val="6567028C"/>
    <w:rsid w:val="65854429"/>
    <w:rsid w:val="658CE70E"/>
    <w:rsid w:val="6596B95C"/>
    <w:rsid w:val="65C00521"/>
    <w:rsid w:val="65C98ED9"/>
    <w:rsid w:val="65E36028"/>
    <w:rsid w:val="65F3870C"/>
    <w:rsid w:val="65F432DD"/>
    <w:rsid w:val="66007AD7"/>
    <w:rsid w:val="661FDA89"/>
    <w:rsid w:val="6624CA32"/>
    <w:rsid w:val="6634C5DE"/>
    <w:rsid w:val="666F4046"/>
    <w:rsid w:val="66730321"/>
    <w:rsid w:val="6677A509"/>
    <w:rsid w:val="6699FEE1"/>
    <w:rsid w:val="66A1E66E"/>
    <w:rsid w:val="66A4C0CB"/>
    <w:rsid w:val="66B9D30B"/>
    <w:rsid w:val="66BFCBDE"/>
    <w:rsid w:val="66C94557"/>
    <w:rsid w:val="66F7C429"/>
    <w:rsid w:val="66F7E8E0"/>
    <w:rsid w:val="66F8D508"/>
    <w:rsid w:val="6711B43F"/>
    <w:rsid w:val="673139BB"/>
    <w:rsid w:val="67713DBB"/>
    <w:rsid w:val="67927A2C"/>
    <w:rsid w:val="67A60269"/>
    <w:rsid w:val="67C12DB4"/>
    <w:rsid w:val="67E46DE4"/>
    <w:rsid w:val="67E7EA5A"/>
    <w:rsid w:val="67F7E756"/>
    <w:rsid w:val="6811C8EE"/>
    <w:rsid w:val="6828DCE9"/>
    <w:rsid w:val="6840E184"/>
    <w:rsid w:val="68916595"/>
    <w:rsid w:val="68A8F450"/>
    <w:rsid w:val="68ABBAC3"/>
    <w:rsid w:val="68BC28EE"/>
    <w:rsid w:val="68CEBF76"/>
    <w:rsid w:val="68EB97A3"/>
    <w:rsid w:val="68F31350"/>
    <w:rsid w:val="691B72C0"/>
    <w:rsid w:val="6925CD1C"/>
    <w:rsid w:val="6936022D"/>
    <w:rsid w:val="6959C9DC"/>
    <w:rsid w:val="69850ED0"/>
    <w:rsid w:val="69871FC1"/>
    <w:rsid w:val="69D7D39C"/>
    <w:rsid w:val="69E83805"/>
    <w:rsid w:val="69EF24C7"/>
    <w:rsid w:val="6A03FE0C"/>
    <w:rsid w:val="6A07F04D"/>
    <w:rsid w:val="6A0BBB3B"/>
    <w:rsid w:val="6A0CDB25"/>
    <w:rsid w:val="6A0FBB94"/>
    <w:rsid w:val="6A3E2E66"/>
    <w:rsid w:val="6A3FB55C"/>
    <w:rsid w:val="6A5B3937"/>
    <w:rsid w:val="6A5BEF85"/>
    <w:rsid w:val="6A6B7DA0"/>
    <w:rsid w:val="6A6D6207"/>
    <w:rsid w:val="6A857815"/>
    <w:rsid w:val="6A887063"/>
    <w:rsid w:val="6A8BC7A8"/>
    <w:rsid w:val="6AA27513"/>
    <w:rsid w:val="6AAD69ED"/>
    <w:rsid w:val="6AB6C8CA"/>
    <w:rsid w:val="6AB8C320"/>
    <w:rsid w:val="6ABD9FEA"/>
    <w:rsid w:val="6AE0E7B8"/>
    <w:rsid w:val="6AE9657D"/>
    <w:rsid w:val="6B19E530"/>
    <w:rsid w:val="6B3CBC6D"/>
    <w:rsid w:val="6B4B7B09"/>
    <w:rsid w:val="6B7243BC"/>
    <w:rsid w:val="6B91028E"/>
    <w:rsid w:val="6BA03BD1"/>
    <w:rsid w:val="6BB1396E"/>
    <w:rsid w:val="6BBA99F0"/>
    <w:rsid w:val="6BC94D41"/>
    <w:rsid w:val="6C1C3B62"/>
    <w:rsid w:val="6C234CC4"/>
    <w:rsid w:val="6C249223"/>
    <w:rsid w:val="6C3697AF"/>
    <w:rsid w:val="6C439A2D"/>
    <w:rsid w:val="6C45AA50"/>
    <w:rsid w:val="6C674A3E"/>
    <w:rsid w:val="6C7E9555"/>
    <w:rsid w:val="6CAA12AD"/>
    <w:rsid w:val="6CD498A8"/>
    <w:rsid w:val="6CD98CCD"/>
    <w:rsid w:val="6CDEF667"/>
    <w:rsid w:val="6CEC98BD"/>
    <w:rsid w:val="6D1B5996"/>
    <w:rsid w:val="6D1C4288"/>
    <w:rsid w:val="6D317666"/>
    <w:rsid w:val="6D42093F"/>
    <w:rsid w:val="6D765A98"/>
    <w:rsid w:val="6DA8C007"/>
    <w:rsid w:val="6DDECA74"/>
    <w:rsid w:val="6DFDBD90"/>
    <w:rsid w:val="6E143D6E"/>
    <w:rsid w:val="6E1B1404"/>
    <w:rsid w:val="6E2C65BB"/>
    <w:rsid w:val="6E30FF7A"/>
    <w:rsid w:val="6E363568"/>
    <w:rsid w:val="6E469353"/>
    <w:rsid w:val="6E74EA29"/>
    <w:rsid w:val="6E7CF072"/>
    <w:rsid w:val="6E8D74A6"/>
    <w:rsid w:val="6E940246"/>
    <w:rsid w:val="6EA2C06C"/>
    <w:rsid w:val="6EBB4393"/>
    <w:rsid w:val="6EF66842"/>
    <w:rsid w:val="6EF890A4"/>
    <w:rsid w:val="6F070B4F"/>
    <w:rsid w:val="6F1195E6"/>
    <w:rsid w:val="6F218292"/>
    <w:rsid w:val="6F25CEC4"/>
    <w:rsid w:val="6F2D5CC2"/>
    <w:rsid w:val="6F342A26"/>
    <w:rsid w:val="6F525D75"/>
    <w:rsid w:val="6F622D6E"/>
    <w:rsid w:val="6F629689"/>
    <w:rsid w:val="6F81195E"/>
    <w:rsid w:val="6FB2FBAD"/>
    <w:rsid w:val="6FCB8993"/>
    <w:rsid w:val="6FE1878D"/>
    <w:rsid w:val="6FEE7F96"/>
    <w:rsid w:val="6FEEAC85"/>
    <w:rsid w:val="700FE315"/>
    <w:rsid w:val="7017EBC9"/>
    <w:rsid w:val="702D4AF6"/>
    <w:rsid w:val="70352A03"/>
    <w:rsid w:val="70368BA5"/>
    <w:rsid w:val="7045ECC9"/>
    <w:rsid w:val="70589C50"/>
    <w:rsid w:val="7088AF0B"/>
    <w:rsid w:val="70A23393"/>
    <w:rsid w:val="70BF7B19"/>
    <w:rsid w:val="70C6286D"/>
    <w:rsid w:val="70E44938"/>
    <w:rsid w:val="70ECB699"/>
    <w:rsid w:val="710BB018"/>
    <w:rsid w:val="7129E6C6"/>
    <w:rsid w:val="712F8E46"/>
    <w:rsid w:val="712F9C81"/>
    <w:rsid w:val="7133D3A5"/>
    <w:rsid w:val="717F0049"/>
    <w:rsid w:val="7188670F"/>
    <w:rsid w:val="71A5B5E4"/>
    <w:rsid w:val="71B5F10C"/>
    <w:rsid w:val="71D57D20"/>
    <w:rsid w:val="71DA789D"/>
    <w:rsid w:val="71E2405E"/>
    <w:rsid w:val="71ECCAB1"/>
    <w:rsid w:val="72757F82"/>
    <w:rsid w:val="72777B6E"/>
    <w:rsid w:val="727B7192"/>
    <w:rsid w:val="727CE41A"/>
    <w:rsid w:val="72ADC7FA"/>
    <w:rsid w:val="72BC8A8F"/>
    <w:rsid w:val="72C6DAE1"/>
    <w:rsid w:val="72D3D7CB"/>
    <w:rsid w:val="72DA943F"/>
    <w:rsid w:val="72DF6786"/>
    <w:rsid w:val="73035F21"/>
    <w:rsid w:val="7315D5B6"/>
    <w:rsid w:val="7317533F"/>
    <w:rsid w:val="73247B14"/>
    <w:rsid w:val="734892DB"/>
    <w:rsid w:val="736ADB8E"/>
    <w:rsid w:val="737AC779"/>
    <w:rsid w:val="739FD45D"/>
    <w:rsid w:val="73C403B7"/>
    <w:rsid w:val="73D247FC"/>
    <w:rsid w:val="73D8CDD7"/>
    <w:rsid w:val="7414A1AE"/>
    <w:rsid w:val="741D1CB4"/>
    <w:rsid w:val="742542BD"/>
    <w:rsid w:val="7434637C"/>
    <w:rsid w:val="74457C46"/>
    <w:rsid w:val="74604C60"/>
    <w:rsid w:val="746F911F"/>
    <w:rsid w:val="7479A075"/>
    <w:rsid w:val="747EE66C"/>
    <w:rsid w:val="748692CB"/>
    <w:rsid w:val="74895029"/>
    <w:rsid w:val="749296FD"/>
    <w:rsid w:val="74A21CAB"/>
    <w:rsid w:val="74AD8571"/>
    <w:rsid w:val="74BCDD1F"/>
    <w:rsid w:val="74BDD3B8"/>
    <w:rsid w:val="74C18C1B"/>
    <w:rsid w:val="74C67A22"/>
    <w:rsid w:val="74D4F7D3"/>
    <w:rsid w:val="752676ED"/>
    <w:rsid w:val="7549AA0C"/>
    <w:rsid w:val="754B3F67"/>
    <w:rsid w:val="756625EA"/>
    <w:rsid w:val="757AFC7E"/>
    <w:rsid w:val="758EBBA0"/>
    <w:rsid w:val="7590FA64"/>
    <w:rsid w:val="759CA9E1"/>
    <w:rsid w:val="75A26140"/>
    <w:rsid w:val="75B80749"/>
    <w:rsid w:val="75C31D5B"/>
    <w:rsid w:val="75E61A91"/>
    <w:rsid w:val="75EA0E2D"/>
    <w:rsid w:val="76090295"/>
    <w:rsid w:val="76096605"/>
    <w:rsid w:val="7619548D"/>
    <w:rsid w:val="761BB7C6"/>
    <w:rsid w:val="761D1C48"/>
    <w:rsid w:val="766EA565"/>
    <w:rsid w:val="76A92125"/>
    <w:rsid w:val="76F396F6"/>
    <w:rsid w:val="770A9966"/>
    <w:rsid w:val="770AFFC0"/>
    <w:rsid w:val="770FA12E"/>
    <w:rsid w:val="77136697"/>
    <w:rsid w:val="771880D3"/>
    <w:rsid w:val="7719177D"/>
    <w:rsid w:val="771CADCC"/>
    <w:rsid w:val="774D25C9"/>
    <w:rsid w:val="777906F2"/>
    <w:rsid w:val="778573CE"/>
    <w:rsid w:val="77C28D37"/>
    <w:rsid w:val="77D3D596"/>
    <w:rsid w:val="77D7E756"/>
    <w:rsid w:val="77E11DAA"/>
    <w:rsid w:val="77FEE088"/>
    <w:rsid w:val="78096C73"/>
    <w:rsid w:val="780B5DAE"/>
    <w:rsid w:val="781E0D62"/>
    <w:rsid w:val="7859158F"/>
    <w:rsid w:val="785E6542"/>
    <w:rsid w:val="786D0DE0"/>
    <w:rsid w:val="787522B3"/>
    <w:rsid w:val="788FB639"/>
    <w:rsid w:val="78C796ED"/>
    <w:rsid w:val="78CEC6C7"/>
    <w:rsid w:val="78E0F322"/>
    <w:rsid w:val="78E15FBF"/>
    <w:rsid w:val="78F98993"/>
    <w:rsid w:val="78FC45B8"/>
    <w:rsid w:val="78FEAB23"/>
    <w:rsid w:val="795AB9D5"/>
    <w:rsid w:val="796B9F71"/>
    <w:rsid w:val="799EF509"/>
    <w:rsid w:val="79B2C90B"/>
    <w:rsid w:val="79C35C38"/>
    <w:rsid w:val="79C69914"/>
    <w:rsid w:val="79D83B66"/>
    <w:rsid w:val="79DF9733"/>
    <w:rsid w:val="79F9E209"/>
    <w:rsid w:val="7A197861"/>
    <w:rsid w:val="7A3B0814"/>
    <w:rsid w:val="7A698F0E"/>
    <w:rsid w:val="7A7C18C8"/>
    <w:rsid w:val="7A8D70B2"/>
    <w:rsid w:val="7AB6BBAD"/>
    <w:rsid w:val="7ACDA85F"/>
    <w:rsid w:val="7AD52AEA"/>
    <w:rsid w:val="7AD5D068"/>
    <w:rsid w:val="7AE89C9A"/>
    <w:rsid w:val="7AE9FDE5"/>
    <w:rsid w:val="7AF25538"/>
    <w:rsid w:val="7AF6DDC3"/>
    <w:rsid w:val="7B1C3F3C"/>
    <w:rsid w:val="7B2D94B5"/>
    <w:rsid w:val="7B3D77D9"/>
    <w:rsid w:val="7B4E8888"/>
    <w:rsid w:val="7BA2FF7E"/>
    <w:rsid w:val="7BA5A1F1"/>
    <w:rsid w:val="7BAB817D"/>
    <w:rsid w:val="7BDB336F"/>
    <w:rsid w:val="7BDBC086"/>
    <w:rsid w:val="7BDE3DDD"/>
    <w:rsid w:val="7BEF4E6B"/>
    <w:rsid w:val="7BF42A53"/>
    <w:rsid w:val="7BFC0A0C"/>
    <w:rsid w:val="7BFD9F08"/>
    <w:rsid w:val="7C098F00"/>
    <w:rsid w:val="7C10BC4F"/>
    <w:rsid w:val="7C27F0FA"/>
    <w:rsid w:val="7C545C8F"/>
    <w:rsid w:val="7C587968"/>
    <w:rsid w:val="7C84A5F3"/>
    <w:rsid w:val="7C8DAB6C"/>
    <w:rsid w:val="7CA26579"/>
    <w:rsid w:val="7CBD23F8"/>
    <w:rsid w:val="7CD1B786"/>
    <w:rsid w:val="7CD2574E"/>
    <w:rsid w:val="7CD2BA1E"/>
    <w:rsid w:val="7D09A6B9"/>
    <w:rsid w:val="7D0FC1DF"/>
    <w:rsid w:val="7D103DEB"/>
    <w:rsid w:val="7D1789D1"/>
    <w:rsid w:val="7D4631FC"/>
    <w:rsid w:val="7D46C31C"/>
    <w:rsid w:val="7D4F48FF"/>
    <w:rsid w:val="7D530547"/>
    <w:rsid w:val="7D55F4F4"/>
    <w:rsid w:val="7D5CBEE1"/>
    <w:rsid w:val="7D745C63"/>
    <w:rsid w:val="7DA2E99F"/>
    <w:rsid w:val="7DCCF71A"/>
    <w:rsid w:val="7DE72DD4"/>
    <w:rsid w:val="7DEF8642"/>
    <w:rsid w:val="7E7D7F3A"/>
    <w:rsid w:val="7E9CACF1"/>
    <w:rsid w:val="7ECC3E99"/>
    <w:rsid w:val="7EDF1F5E"/>
    <w:rsid w:val="7EE284F9"/>
    <w:rsid w:val="7EE7A3A6"/>
    <w:rsid w:val="7EF14AA2"/>
    <w:rsid w:val="7EFE2CB7"/>
    <w:rsid w:val="7F2EF36D"/>
    <w:rsid w:val="7F303EE6"/>
    <w:rsid w:val="7F32330A"/>
    <w:rsid w:val="7F94CD37"/>
    <w:rsid w:val="7F9877A1"/>
    <w:rsid w:val="7F98DCB5"/>
    <w:rsid w:val="7FB48980"/>
    <w:rsid w:val="7FBC5AED"/>
    <w:rsid w:val="7FD52871"/>
    <w:rsid w:val="7FECDAD8"/>
    <w:rsid w:val="7FECF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5CBA"/>
  <w15:docId w15:val="{7E7FCB9B-2948-4266-AB21-E54DCB0B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74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77674D"/>
  </w:style>
  <w:style w:type="character" w:customStyle="1" w:styleId="a5">
    <w:name w:val="Нижний колонтитул Знак"/>
    <w:basedOn w:val="a0"/>
    <w:link w:val="a6"/>
    <w:uiPriority w:val="99"/>
    <w:qFormat/>
    <w:rsid w:val="0077674D"/>
  </w:style>
  <w:style w:type="character" w:customStyle="1" w:styleId="-">
    <w:name w:val="Интернет-ссылка"/>
    <w:basedOn w:val="a0"/>
    <w:uiPriority w:val="99"/>
    <w:unhideWhenUsed/>
    <w:rsid w:val="0077674D"/>
    <w:rPr>
      <w:color w:val="0563C1" w:themeColor="hyperlink"/>
      <w:u w:val="single"/>
    </w:rPr>
  </w:style>
  <w:style w:type="character" w:styleId="HTML">
    <w:name w:val="HTML Cite"/>
    <w:basedOn w:val="a0"/>
    <w:uiPriority w:val="99"/>
    <w:semiHidden/>
    <w:unhideWhenUsed/>
    <w:qFormat/>
    <w:rsid w:val="00750A57"/>
    <w:rPr>
      <w:i/>
      <w:iCs/>
    </w:rPr>
  </w:style>
  <w:style w:type="character" w:customStyle="1" w:styleId="hlfld-contribauthor">
    <w:name w:val="hlfld-contribauthor"/>
    <w:basedOn w:val="a0"/>
    <w:qFormat/>
    <w:rsid w:val="00C10F9D"/>
  </w:style>
  <w:style w:type="character" w:customStyle="1" w:styleId="nlmgiven-names">
    <w:name w:val="nlm_given-names"/>
    <w:basedOn w:val="a0"/>
    <w:qFormat/>
    <w:rsid w:val="00C10F9D"/>
  </w:style>
  <w:style w:type="character" w:customStyle="1" w:styleId="nlmyear">
    <w:name w:val="nlm_year"/>
    <w:basedOn w:val="a0"/>
    <w:qFormat/>
    <w:rsid w:val="00C10F9D"/>
  </w:style>
  <w:style w:type="character" w:customStyle="1" w:styleId="nlmpublisher-loc">
    <w:name w:val="nlm_publisher-loc"/>
    <w:basedOn w:val="a0"/>
    <w:qFormat/>
    <w:rsid w:val="00C10F9D"/>
  </w:style>
  <w:style w:type="character" w:customStyle="1" w:styleId="nlmpublisher-name">
    <w:name w:val="nlm_publisher-name"/>
    <w:basedOn w:val="a0"/>
    <w:qFormat/>
    <w:rsid w:val="00C10F9D"/>
  </w:style>
  <w:style w:type="character" w:styleId="a7">
    <w:name w:val="Emphasis"/>
    <w:basedOn w:val="a0"/>
    <w:uiPriority w:val="20"/>
    <w:qFormat/>
    <w:rsid w:val="00EA0775"/>
    <w:rPr>
      <w:i/>
      <w:iCs/>
    </w:rPr>
  </w:style>
  <w:style w:type="paragraph" w:styleId="a8">
    <w:name w:val="Title"/>
    <w:basedOn w:val="a"/>
    <w:next w:val="a9"/>
    <w:qFormat/>
    <w:rsid w:val="00580AB9"/>
    <w:pPr>
      <w:keepNext/>
      <w:spacing w:before="240" w:after="120"/>
    </w:pPr>
    <w:rPr>
      <w:rFonts w:ascii="Liberation Sans" w:eastAsia="Microsoft YaHei" w:hAnsi="Liberation Sans" w:cs="Arial"/>
      <w:sz w:val="28"/>
      <w:szCs w:val="28"/>
    </w:rPr>
  </w:style>
  <w:style w:type="paragraph" w:styleId="a9">
    <w:name w:val="Body Text"/>
    <w:basedOn w:val="a"/>
    <w:rsid w:val="00580AB9"/>
    <w:pPr>
      <w:spacing w:after="140" w:line="276" w:lineRule="auto"/>
    </w:pPr>
  </w:style>
  <w:style w:type="paragraph" w:styleId="aa">
    <w:name w:val="List"/>
    <w:basedOn w:val="a9"/>
    <w:rsid w:val="00580AB9"/>
    <w:rPr>
      <w:rFonts w:cs="Arial"/>
    </w:rPr>
  </w:style>
  <w:style w:type="paragraph" w:styleId="ab">
    <w:name w:val="caption"/>
    <w:basedOn w:val="a"/>
    <w:qFormat/>
    <w:rsid w:val="00580AB9"/>
    <w:pPr>
      <w:suppressLineNumbers/>
      <w:spacing w:before="120" w:after="120"/>
    </w:pPr>
    <w:rPr>
      <w:rFonts w:cs="Arial"/>
      <w:i/>
      <w:iCs/>
      <w:sz w:val="24"/>
      <w:szCs w:val="24"/>
    </w:rPr>
  </w:style>
  <w:style w:type="paragraph" w:styleId="ac">
    <w:name w:val="index heading"/>
    <w:basedOn w:val="a"/>
    <w:qFormat/>
    <w:rsid w:val="00580AB9"/>
    <w:pPr>
      <w:suppressLineNumbers/>
    </w:pPr>
    <w:rPr>
      <w:rFonts w:cs="Arial"/>
    </w:rPr>
  </w:style>
  <w:style w:type="paragraph" w:customStyle="1" w:styleId="ad">
    <w:name w:val="Колонтитул"/>
    <w:basedOn w:val="a"/>
    <w:qFormat/>
    <w:rsid w:val="00580AB9"/>
  </w:style>
  <w:style w:type="paragraph" w:styleId="a4">
    <w:name w:val="header"/>
    <w:basedOn w:val="a"/>
    <w:link w:val="a3"/>
    <w:uiPriority w:val="99"/>
    <w:unhideWhenUsed/>
    <w:rsid w:val="0BE2D7A4"/>
    <w:pPr>
      <w:tabs>
        <w:tab w:val="center" w:pos="4680"/>
        <w:tab w:val="right" w:pos="9360"/>
      </w:tabs>
      <w:spacing w:after="0"/>
    </w:pPr>
  </w:style>
  <w:style w:type="paragraph" w:styleId="a6">
    <w:name w:val="footer"/>
    <w:basedOn w:val="a"/>
    <w:link w:val="a5"/>
    <w:uiPriority w:val="99"/>
    <w:unhideWhenUsed/>
    <w:rsid w:val="0BE2D7A4"/>
    <w:pPr>
      <w:tabs>
        <w:tab w:val="center" w:pos="4680"/>
        <w:tab w:val="right" w:pos="9360"/>
      </w:tabs>
      <w:spacing w:after="0"/>
    </w:pPr>
  </w:style>
  <w:style w:type="paragraph" w:styleId="ae">
    <w:name w:val="List Paragraph"/>
    <w:basedOn w:val="a"/>
    <w:uiPriority w:val="34"/>
    <w:qFormat/>
    <w:rsid w:val="00750A57"/>
    <w:pPr>
      <w:ind w:left="720"/>
      <w:contextualSpacing/>
    </w:pPr>
  </w:style>
  <w:style w:type="paragraph" w:styleId="af">
    <w:name w:val="Normal (Web)"/>
    <w:basedOn w:val="a"/>
    <w:uiPriority w:val="99"/>
    <w:unhideWhenUsed/>
    <w:qFormat/>
    <w:rsid w:val="0053407F"/>
    <w:rPr>
      <w:rFonts w:ascii="Times New Roman" w:hAnsi="Times New Roman" w:cs="Times New Roman"/>
      <w:sz w:val="24"/>
      <w:szCs w:val="24"/>
    </w:rPr>
  </w:style>
  <w:style w:type="table" w:styleId="af0">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BE2D7A4"/>
    <w:rPr>
      <w:color w:val="0563C1"/>
      <w:u w:val="single"/>
    </w:rPr>
  </w:style>
  <w:style w:type="paragraph" w:styleId="af2">
    <w:name w:val="Balloon Text"/>
    <w:basedOn w:val="a"/>
    <w:link w:val="af3"/>
    <w:uiPriority w:val="99"/>
    <w:semiHidden/>
    <w:unhideWhenUsed/>
    <w:rsid w:val="00D701F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70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ilium.europa.eu/en/press/pressreleases/2015/04/15/new-eu-special-representative-for-central-asia/" TargetMode="External"/><Relationship Id="rId21" Type="http://schemas.openxmlformats.org/officeDocument/2006/relationships/hyperlink" Target="https://www.akorda.kz/ru/events/international_community/foreign" TargetMode="External"/><Relationship Id="rId42" Type="http://schemas.openxmlformats.org/officeDocument/2006/relationships/hyperlink" Target="https://data.consilium.europa.eu/doc/document" TargetMode="External"/><Relationship Id="rId47" Type="http://schemas.openxmlformats.org/officeDocument/2006/relationships/hyperlink" Target="https://ec.europa.eu/europeaid/regions/central-asia/investment-facility" TargetMode="External"/><Relationship Id="rId63" Type="http://schemas.openxmlformats.org/officeDocument/2006/relationships/hyperlink" Target="https://www.akorda.kz/ru/legal_acts/decrees/o-koncepcii" TargetMode="External"/><Relationship Id="rId68" Type="http://schemas.openxmlformats.org/officeDocument/2006/relationships/hyperlink" Target="https://www.eu-cadap.org/ru/" TargetMode="External"/><Relationship Id="rId16" Type="http://schemas.openxmlformats.org/officeDocument/2006/relationships/hyperlink" Target="https://eeas.europa.eu/sites/default" TargetMode="External"/><Relationship Id="rId11" Type="http://schemas.openxmlformats.org/officeDocument/2006/relationships/hyperlink" Target="http://adilet.zan.kz/rus/docs/U080000653_" TargetMode="External"/><Relationship Id="rId24" Type="http://schemas.openxmlformats.org/officeDocument/2006/relationships/hyperlink" Target="https://eeas.europa.eu/headquarters/headquartersHomepage/19358/ambassador-stiprais-speaks-about-eu-uzbekistan-trade" TargetMode="External"/><Relationship Id="rId32" Type="http://schemas.openxmlformats.org/officeDocument/2006/relationships/hyperlink" Target="https://mift.uz/ru/news/sostojalsja-virtualnyj-ekonomicheskij-forum" TargetMode="External"/><Relationship Id="rId37" Type="http://schemas.openxmlformats.org/officeDocument/2006/relationships/hyperlink" Target="https://eeas.europa.eu/archives/docs/central_asia/rsp" TargetMode="External"/><Relationship Id="rId40" Type="http://schemas.openxmlformats.org/officeDocument/2006/relationships/hyperlink" Target="https://ec.europa.eu/home-affairs/system/files_en?file=2020" TargetMode="External"/><Relationship Id="rId45" Type="http://schemas.openxmlformats.org/officeDocument/2006/relationships/hyperlink" Target="https://nationalbank.kz/ru/news/pryamye-investicii-ponapravleniyu-vlozheniya" TargetMode="External"/><Relationship Id="rId53" Type="http://schemas.openxmlformats.org/officeDocument/2006/relationships/hyperlink" Target="https://cabar.asia/ru/merilin-josefson-es-mozhetsluzhit-primerom-dlya-regionalnoj-integratsii-tsentralnoj-azii" TargetMode="External"/><Relationship Id="rId58" Type="http://schemas.openxmlformats.org/officeDocument/2006/relationships/hyperlink" Target="https://eu2015.lv/news/media-releases/455-latvia-seu-presidency-has-organised-a-conference-on-eu-central-asia" TargetMode="External"/><Relationship Id="rId66" Type="http://schemas.openxmlformats.org/officeDocument/2006/relationships/hyperlink" Target="https://eucentralasia.eu/about/"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kt.kz/rus/politics/strategija" TargetMode="External"/><Relationship Id="rId19" Type="http://schemas.openxmlformats.org/officeDocument/2006/relationships/hyperlink" Target="https://eeas.europa.eu/headquarters/headquartershomepage/12278/mogerini-globalnaya-strategiya-pozvolit-es-realizovat" TargetMode="External"/><Relationship Id="rId14" Type="http://schemas.openxmlformats.org/officeDocument/2006/relationships/hyperlink" Target="https://www.uzbekistan.org.ua/ru/vneshnyaya-politika.html" TargetMode="External"/><Relationship Id="rId22" Type="http://schemas.openxmlformats.org/officeDocument/2006/relationships/hyperlink" Target="https://eeas.europa.eu/delegations/kyrgyzrepublic/87071/&#1079;&#1072;&#1103;&#1074;&#1083;&#1077;&#1085;&#1080;&#1077;-&#1075;&#1083;&#1072;&#1074;&#1099;-&#1077;&#1074;&#1088;&#1086;&#1087;&#1077;&#1081;&#1089;&#1082;&#1086;&#1081;-&#1076;&#1080;&#1087;&#1083;&#1086;&#1084;&#1072;&#1090;&#1080;&#1080;-&#1078;&#1086;&#1079;&#1077;&#1087;&#1072;" TargetMode="External"/><Relationship Id="rId27" Type="http://schemas.openxmlformats.org/officeDocument/2006/relationships/hyperlink" Target="https://eeas.europa.eu/headquarters/headquarters-homepage/6222_en" TargetMode="External"/><Relationship Id="rId30" Type="http://schemas.openxmlformats.org/officeDocument/2006/relationships/hyperlink" Target="https://www.osce.org/files/f/documents/5/2/463287.pdf" TargetMode="External"/><Relationship Id="rId35" Type="http://schemas.openxmlformats.org/officeDocument/2006/relationships/hyperlink" Target="http://www.president.kg/ru/sobytiya" TargetMode="External"/><Relationship Id="rId43" Type="http://schemas.openxmlformats.org/officeDocument/2006/relationships/hyperlink" Target="https://tj.sputniknews.ru/20190607/eu-stroitelstvo-gas-gornij" TargetMode="External"/><Relationship Id="rId48" Type="http://schemas.openxmlformats.org/officeDocument/2006/relationships/hyperlink" Target="https://www.eeas.europa.eu/eeas/%D0%BF%D1%80%D0%B8%D0%BE%D1%80%D0%B8%D1%82%D0%B5%D1%82%D1%8B-%D1%80%D0%B0%D0%B7%D0%B2%D0%B8%D1%82%D0%B8%D1%8F-%D0%B5%D1%81-%D0%B2-%D1%86%D0%B5%D0%BD%D1%82%D1%80%D0%B0%D0%BB%D1%8C%D0%BD%D0%BE%D0%B9-%D0%B0%D0%B7%D0%B8%D0%B8_ru" TargetMode="External"/><Relationship Id="rId56" Type="http://schemas.openxmlformats.org/officeDocument/2006/relationships/hyperlink" Target="https://informburo.kz/novosti/30-afganskihstudentok-pribyli-v-kazahstan-dlya-postupleniya-v-vuzy-po-proektu-es" TargetMode="External"/><Relationship Id="rId64" Type="http://schemas.openxmlformats.org/officeDocument/2006/relationships/hyperlink" Target="http://www.kisi.kz/img/docs/910.pdf" TargetMode="External"/><Relationship Id="rId69" Type="http://schemas.openxmlformats.org/officeDocument/2006/relationships/hyperlink" Target="https://wecoop.eu/ru/about/" TargetMode="External"/><Relationship Id="rId77" Type="http://schemas.openxmlformats.org/officeDocument/2006/relationships/footer" Target="footer2.xml"/><Relationship Id="rId8" Type="http://schemas.openxmlformats.org/officeDocument/2006/relationships/hyperlink" Target="https://www.eeas.europa.eu/sites/default/files/joint_communication_-_the_eu_and_central_asia_-_new_opportunities_for_a_stronger_partnership.pdf" TargetMode="External"/><Relationship Id="rId51" Type="http://schemas.openxmlformats.org/officeDocument/2006/relationships/hyperlink" Target="https://eeas.europa.eu/delegations/unnew-york/58201/&#1077;&#1074;&#1088;&#1086;&#1087;&#1077;&#1081;&#1089;&#1082;&#1080;&#1081;-&#1089;&#1086;&#1102;&#1079;-&#1080;-&#1090;&#1072;&#1076;&#1078;&#1080;&#1082;&#1080;&#1089;&#1090;&#1072;&#1085;-&#1086;&#1073;&#1089;&#1091;&#1078;&#1076;&#1072;&#1102;&#1090;" TargetMode="External"/><Relationship Id="rId72" Type="http://schemas.openxmlformats.org/officeDocument/2006/relationships/hyperlink" Target="http://ru.rfi.fr/tsentralnaya-aziya/20141009-evrosoyuz-vydelyaet-stranam-tsentralnoi-azii-1-milliard-evro" TargetMode="External"/><Relationship Id="rId3" Type="http://schemas.openxmlformats.org/officeDocument/2006/relationships/settings" Target="settings.xml"/><Relationship Id="rId12" Type="http://schemas.openxmlformats.org/officeDocument/2006/relationships/hyperlink" Target="https://mfa.tj/ru/main/view/988/kontseptsiya-vneshnei-politiki" TargetMode="External"/><Relationship Id="rId17" Type="http://schemas.openxmlformats.org/officeDocument/2006/relationships/hyperlink" Target="https://ec.europa.eu/info/strategy/recovery-plan-europe_en" TargetMode="External"/><Relationship Id="rId25" Type="http://schemas.openxmlformats.org/officeDocument/2006/relationships/hyperlink" Target="https://www.carececo.org/main/news/news/vtoraya-vstrecha-predstaviteley-mid-i-parlamentariev-stran-tsentralnoy-azii-po-voprosam-izmeneniya-k/" TargetMode="External"/><Relationship Id="rId33" Type="http://schemas.openxmlformats.org/officeDocument/2006/relationships/hyperlink" Target="http://www.president.kg/ru/sobytiya/novosti/5575_prezident_almazbek" TargetMode="External"/><Relationship Id="rId38" Type="http://schemas.openxmlformats.org/officeDocument/2006/relationships/hyperlink" Target="https://eeas.europa.eu/sites/eeas/files/st_10113_2007_init_en.pdf" TargetMode="External"/><Relationship Id="rId46" Type="http://schemas.openxmlformats.org/officeDocument/2006/relationships/hyperlink" Target="https://ec.europa.eu/" TargetMode="External"/><Relationship Id="rId59" Type="http://schemas.openxmlformats.org/officeDocument/2006/relationships/hyperlink" Target="https://www.euneighbours.eu/sites/default/files/publications/" TargetMode="External"/><Relationship Id="rId67" Type="http://schemas.openxmlformats.org/officeDocument/2006/relationships/hyperlink" Target="https://www.bomca-eu.org/ru/" TargetMode="External"/><Relationship Id="rId20" Type="http://schemas.openxmlformats.org/officeDocument/2006/relationships/hyperlink" Target="https://eeas.europa.eu/headquarters/headquarters-homepage/6222_en" TargetMode="External"/><Relationship Id="rId41" Type="http://schemas.openxmlformats.org/officeDocument/2006/relationships/hyperlink" Target="https://www.eca.europa.eu/Lists/ECADocuments/SR13_13/QJAB13014" TargetMode="External"/><Relationship Id="rId54" Type="http://schemas.openxmlformats.org/officeDocument/2006/relationships/hyperlink" Target="https://rus.azattyk.org/a/" TargetMode="External"/><Relationship Id="rId62" Type="http://schemas.openxmlformats.org/officeDocument/2006/relationships/hyperlink" Target="https://www.uzdaily.uz/ru/post" TargetMode="External"/><Relationship Id="rId70" Type="http://schemas.openxmlformats.org/officeDocument/2006/relationships/hyperlink" Target="https://secca.eu/ru/"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fa.gov.tm/ru/articles/3" TargetMode="External"/><Relationship Id="rId23" Type="http://schemas.openxmlformats.org/officeDocument/2006/relationships/hyperlink" Target="https://eeas.europa.eu/delegations/tajikistan/63525/%D0%B2%D1%8B%D1%81%D1%82%D1%83%D0%BF%D0%BB%D0%B5%D0%BD%D0%B8%D0%B5%D0%BF%D1%80%D0%B5%D0%B4%D1%81%D0%B5%D0%B4%D0%B0%D1%82%D0%B5%D0%BB%D1%8F-%D0%B5%D0%B2%D1%80%D0%BE%D0%BF%D0%B5%D0%B9%D1%81%D0%BA%D0%BE%D0%B3%D0%BE-%D1%81%D0%BE%D0%B2%D0%B5%D1%82%D0%B0-%D0%B3-%D0%BD%D0%B0-%D0%B4%D0%BE%D0%BD%D0%B0%D0%BB%D1%8C%D0%B4%D0%B0-%D1%82%D1%83%D1%81%D0%BA%D0%B0-%D0%BF%D0%BE%D1%81%D0%BB%D0%B5" TargetMode="External"/><Relationship Id="rId28" Type="http://schemas.openxmlformats.org/officeDocument/2006/relationships/hyperlink" Target="https://www.consilium.europa.eu/en/press/pressreleases/2015/04/15/new-eu-special-representative-for-central-asia/" TargetMode="External"/><Relationship Id="rId36" Type="http://schemas.openxmlformats.org/officeDocument/2006/relationships/hyperlink" Target="https://eeas.europa.eu/delegations/kyrgyzrepublic/87071/&#1079;&#1072;&#1103;&#1074;&#1083;&#1077;&#1085;&#1080;&#1077;-&#1075;&#1083;&#1072;&#1074;&#1099;-&#1077;&#1074;&#1088;&#1086;&#1087;&#1077;&#1081;&#1089;&#1082;&#1086;&#1081;-&#1076;&#1080;&#1087;&#1083;&#1086;&#1084;&#1072;&#1090;&#1080;&#1080;-&#1078;&#1086;&#1079;&#1077;&#1087;&#1072;" TargetMode="External"/><Relationship Id="rId49" Type="http://schemas.openxmlformats.org/officeDocument/2006/relationships/hyperlink" Target="https://www.afjournal.ru/2019/4/world-politics/the-european-unions-new-central-asia-strategy-possibilities-and-limits-of-soft-power" TargetMode="External"/><Relationship Id="rId57" Type="http://schemas.openxmlformats.org/officeDocument/2006/relationships/hyperlink" Target="https://www.inform.kz/ru/kazahstan-i-es-podpisalinovoe-soglashenie-o-rasshirennom-partnerstve_a2852216" TargetMode="External"/><Relationship Id="rId10" Type="http://schemas.openxmlformats.org/officeDocument/2006/relationships/hyperlink" Target="https://www.akorda.kz/ru/legal_acts/decrees/o-koncepcii" TargetMode="External"/><Relationship Id="rId31" Type="http://schemas.openxmlformats.org/officeDocument/2006/relationships/hyperlink" Target="https://www.swissinfo.ch/rus/&#1077;&#1089;-&#1079;&#1072;&#1087;&#1091;&#1089;&#1090;&#1080;&#1090;-&#1074;&#1094;&#1077;&#1085;&#1090;&#1088;&#1072;&#1083;&#1100;&#1085;&#1086;&#1081;-&#1072;&#1079;&#1080;&#1080;-&#1085;&#1086;&#1074;&#1099;&#1081;-&#1082;&#1088;&#1091;&#1087;&#1085;&#1099;&#1081;-&#1101;&#1082;&#1086;&#1083;&#1086;&#1075;&#1080;&#1095;&#1077;&#1089;&#1082;&#1080;&#1081;-&#1087;&#1088;&#1086;&#1077;&#1082;&#1090;" TargetMode="External"/><Relationship Id="rId44" Type="http://schemas.openxmlformats.org/officeDocument/2006/relationships/hyperlink" Target="https://kgd.gov.kz/ru/exp_trade_files" TargetMode="External"/><Relationship Id="rId52" Type="http://schemas.openxmlformats.org/officeDocument/2006/relationships/hyperlink" Target="https://eeas.europa.eu/sites/" TargetMode="External"/><Relationship Id="rId60" Type="http://schemas.openxmlformats.org/officeDocument/2006/relationships/hyperlink" Target="https://eurlex.europa.eu/LexUriServ/LexUriServ.do?uri=OJ:L:2005" TargetMode="External"/><Relationship Id="rId65" Type="http://schemas.openxmlformats.org/officeDocument/2006/relationships/hyperlink" Target="http://fescentralasia.de/files/assets/publikationen/Farkhod%20Tolipov_new.pdf/" TargetMode="External"/><Relationship Id="rId73" Type="http://schemas.openxmlformats.org/officeDocument/2006/relationships/hyperlink" Target="https://www.osw.waw.pl/en/publikacje/osw-commentary/2024-04-26/crisis-opportunity-a-new-stage-eu-central-asia-relations"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ilium.europa.eu/media/39778/st10221-en19.pdf" TargetMode="External"/><Relationship Id="rId13" Type="http://schemas.openxmlformats.org/officeDocument/2006/relationships/hyperlink" Target="http://president.kg/ru/sobytiya/13605_prezident_podpisal_ukaz" TargetMode="External"/><Relationship Id="rId18" Type="http://schemas.openxmlformats.org/officeDocument/2006/relationships/hyperlink" Target="https://web.archive.org/web/20061122040007/http://europa.eu/eurlex/en/treaties/dat/EU_consol.pdf" TargetMode="External"/><Relationship Id="rId39" Type="http://schemas.openxmlformats.org/officeDocument/2006/relationships/hyperlink" Target="https://eeas.europa.eu/sites/eeas/files/20160526_1_en.pdf" TargetMode="External"/><Relationship Id="rId34" Type="http://schemas.openxmlformats.org/officeDocument/2006/relationships/hyperlink" Target="https://old.mfa.gov.kg/news/view/idnews/4459" TargetMode="External"/><Relationship Id="rId50" Type="http://schemas.openxmlformats.org/officeDocument/2006/relationships/hyperlink" Target="https://ec.europa.eu/eurostat/" TargetMode="External"/><Relationship Id="rId55" Type="http://schemas.openxmlformats.org/officeDocument/2006/relationships/hyperlink" Target="https://www.dw.com/ru/&#1074;-&#1073;&#1080;&#1096;&#1082;&#1077;&#1082;&#1077;-&#1086;&#1090;&#1082;&#1088;&#1099;&#1083;&#1086;&#1089;&#1100;" TargetMode="External"/><Relationship Id="rId76"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yperlink" Target="https://www.dw.com/ru/sblizenie-es-i-centralnoj-azii-resausij-sag-sdelan/a-68131801" TargetMode="External"/><Relationship Id="rId2" Type="http://schemas.openxmlformats.org/officeDocument/2006/relationships/styles" Target="styles.xml"/><Relationship Id="rId29" Type="http://schemas.openxmlformats.org/officeDocument/2006/relationships/hyperlink" Target="https://eea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43356</Words>
  <Characters>247135</Characters>
  <Application>Microsoft Office Word</Application>
  <DocSecurity>0</DocSecurity>
  <Lines>2059</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Zharmakhanova Zhansaule</dc:creator>
  <cp:lastModifiedBy>user</cp:lastModifiedBy>
  <cp:revision>3</cp:revision>
  <dcterms:created xsi:type="dcterms:W3CDTF">2025-05-16T07:55:00Z</dcterms:created>
  <dcterms:modified xsi:type="dcterms:W3CDTF">2025-05-16T07:55:00Z</dcterms:modified>
  <dc:language>ru-RU</dc:language>
</cp:coreProperties>
</file>