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2C7" w:rsidRDefault="00EA72C7" w:rsidP="00EA72C7">
      <w:pPr>
        <w:spacing w:after="0" w:line="240" w:lineRule="auto"/>
        <w:jc w:val="center"/>
        <w:rPr>
          <w:rFonts w:ascii="Times New Roman" w:eastAsia="Times New Roman" w:hAnsi="Times New Roman" w:cs="Times New Roman"/>
          <w:sz w:val="28"/>
          <w:szCs w:val="28"/>
        </w:rPr>
      </w:pPr>
      <w:bookmarkStart w:id="0" w:name="_GoBack"/>
      <w:bookmarkEnd w:id="0"/>
      <w:r>
        <w:rPr>
          <w:rFonts w:ascii="Times New Roman" w:eastAsia="Times New Roman" w:hAnsi="Times New Roman" w:cs="Times New Roman"/>
          <w:sz w:val="28"/>
          <w:szCs w:val="28"/>
        </w:rPr>
        <w:t>Академия государственного управления при Президенте Республики Казахстан</w:t>
      </w: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УДК 502.131:005.53(574)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На правах рукописи</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center"/>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УТЕПОВ АРМАН ТЛЕУЛЕСОВИЧ</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Развитие экосистемного подхода при принятии управленческих </w:t>
      </w:r>
    </w:p>
    <w:p w:rsidR="00EA72C7" w:rsidRDefault="00EA72C7" w:rsidP="00EA72C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решений в Республике Казахстан</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6D051000 – Государственное и местное управление</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Диссертация на соискание степени</w:t>
      </w: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доктора по профилю</w:t>
      </w:r>
    </w:p>
    <w:p w:rsidR="00EA72C7" w:rsidRDefault="00EA72C7" w:rsidP="00EA72C7">
      <w:pPr>
        <w:spacing w:after="0" w:line="240" w:lineRule="auto"/>
        <w:ind w:left="4536"/>
        <w:rPr>
          <w:rFonts w:ascii="Times New Roman" w:eastAsia="Times New Roman" w:hAnsi="Times New Roman" w:cs="Times New Roman"/>
          <w:sz w:val="28"/>
          <w:szCs w:val="28"/>
        </w:rPr>
      </w:pPr>
    </w:p>
    <w:p w:rsidR="00EA72C7" w:rsidRDefault="00EA72C7" w:rsidP="00EA72C7">
      <w:pPr>
        <w:spacing w:after="0" w:line="240" w:lineRule="auto"/>
        <w:ind w:left="4536"/>
        <w:rPr>
          <w:rFonts w:ascii="Times New Roman" w:eastAsia="Times New Roman" w:hAnsi="Times New Roman" w:cs="Times New Roman"/>
          <w:sz w:val="28"/>
          <w:szCs w:val="28"/>
        </w:rPr>
      </w:pPr>
    </w:p>
    <w:p w:rsidR="00EA72C7" w:rsidRDefault="00EA72C7" w:rsidP="00EA72C7">
      <w:pPr>
        <w:spacing w:after="0" w:line="240" w:lineRule="auto"/>
        <w:ind w:left="4536"/>
        <w:rPr>
          <w:rFonts w:ascii="Times New Roman" w:eastAsia="Times New Roman" w:hAnsi="Times New Roman" w:cs="Times New Roman"/>
          <w:sz w:val="28"/>
          <w:szCs w:val="28"/>
        </w:rPr>
      </w:pPr>
    </w:p>
    <w:p w:rsidR="00EA72C7" w:rsidRDefault="00EA72C7" w:rsidP="00EA72C7">
      <w:pPr>
        <w:spacing w:after="0" w:line="240" w:lineRule="auto"/>
        <w:ind w:left="4536"/>
        <w:rPr>
          <w:rFonts w:ascii="Times New Roman" w:eastAsia="Times New Roman" w:hAnsi="Times New Roman" w:cs="Times New Roman"/>
          <w:sz w:val="28"/>
          <w:szCs w:val="28"/>
        </w:rPr>
      </w:pPr>
    </w:p>
    <w:p w:rsidR="00EA72C7" w:rsidRDefault="00EA72C7" w:rsidP="00EA72C7">
      <w:pPr>
        <w:spacing w:after="0" w:line="240" w:lineRule="auto"/>
        <w:ind w:left="4536"/>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Научный консультант</w:t>
      </w:r>
    </w:p>
    <w:p w:rsidR="00EA72C7" w:rsidRDefault="00EA72C7" w:rsidP="00EA72C7">
      <w:pPr>
        <w:spacing w:after="0" w:line="240" w:lineRule="auto"/>
        <w:ind w:left="4536"/>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кандидат физико-математических наук, профессор, </w:t>
      </w:r>
    </w:p>
    <w:p w:rsidR="00EA72C7" w:rsidRDefault="00EA72C7" w:rsidP="00EA72C7">
      <w:pPr>
        <w:spacing w:after="0" w:line="240" w:lineRule="auto"/>
        <w:ind w:left="4536"/>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С.А. Джумабаев</w:t>
      </w:r>
    </w:p>
    <w:p w:rsidR="00EA72C7" w:rsidRDefault="00EA72C7" w:rsidP="00EA72C7">
      <w:pPr>
        <w:spacing w:after="0" w:line="240" w:lineRule="auto"/>
        <w:ind w:left="4536"/>
        <w:jc w:val="right"/>
        <w:rPr>
          <w:rFonts w:ascii="Times New Roman" w:eastAsia="Times New Roman" w:hAnsi="Times New Roman" w:cs="Times New Roman"/>
          <w:sz w:val="16"/>
          <w:szCs w:val="16"/>
        </w:rPr>
      </w:pPr>
    </w:p>
    <w:p w:rsidR="00EA72C7" w:rsidRDefault="00EA72C7" w:rsidP="00EA72C7">
      <w:pPr>
        <w:spacing w:after="0" w:line="240" w:lineRule="auto"/>
        <w:ind w:left="4536"/>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кандидат географических наук</w:t>
      </w:r>
    </w:p>
    <w:p w:rsidR="00EA72C7" w:rsidRDefault="00EA72C7" w:rsidP="00EA72C7">
      <w:pPr>
        <w:spacing w:after="0" w:line="240" w:lineRule="auto"/>
        <w:ind w:left="4536"/>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А.А. Скакова</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lang w:val="kk-KZ"/>
        </w:rPr>
      </w:pPr>
    </w:p>
    <w:p w:rsidR="00EA72C7" w:rsidRDefault="00EA72C7" w:rsidP="00EA72C7">
      <w:pPr>
        <w:spacing w:after="0" w:line="240" w:lineRule="auto"/>
        <w:ind w:firstLine="709"/>
        <w:jc w:val="both"/>
        <w:rPr>
          <w:rFonts w:ascii="Times New Roman" w:eastAsia="Times New Roman" w:hAnsi="Times New Roman" w:cs="Times New Roman"/>
          <w:sz w:val="28"/>
          <w:szCs w:val="28"/>
          <w:lang w:val="kk-KZ"/>
        </w:rPr>
      </w:pPr>
    </w:p>
    <w:p w:rsidR="00EA72C7" w:rsidRDefault="00EA72C7" w:rsidP="00EA72C7">
      <w:pPr>
        <w:spacing w:after="0" w:line="240" w:lineRule="auto"/>
        <w:ind w:firstLine="709"/>
        <w:jc w:val="both"/>
        <w:rPr>
          <w:rFonts w:ascii="Times New Roman" w:eastAsia="Times New Roman" w:hAnsi="Times New Roman" w:cs="Times New Roman"/>
          <w:sz w:val="28"/>
          <w:szCs w:val="28"/>
          <w:lang w:val="kk-KZ"/>
        </w:rPr>
      </w:pPr>
    </w:p>
    <w:p w:rsidR="00EA72C7" w:rsidRDefault="00EA72C7" w:rsidP="00EA72C7">
      <w:pPr>
        <w:spacing w:after="0" w:line="240" w:lineRule="auto"/>
        <w:ind w:firstLine="709"/>
        <w:jc w:val="both"/>
        <w:rPr>
          <w:rFonts w:ascii="Times New Roman" w:eastAsia="Times New Roman" w:hAnsi="Times New Roman" w:cs="Times New Roman"/>
          <w:sz w:val="28"/>
          <w:szCs w:val="28"/>
          <w:lang w:val="kk-KZ"/>
        </w:rPr>
      </w:pPr>
    </w:p>
    <w:p w:rsidR="00EA72C7" w:rsidRDefault="00EA72C7" w:rsidP="00EA72C7">
      <w:pPr>
        <w:spacing w:after="0" w:line="240" w:lineRule="auto"/>
        <w:ind w:firstLine="709"/>
        <w:jc w:val="both"/>
        <w:rPr>
          <w:rFonts w:ascii="Times New Roman" w:eastAsia="Times New Roman" w:hAnsi="Times New Roman" w:cs="Times New Roman"/>
          <w:sz w:val="28"/>
          <w:szCs w:val="28"/>
          <w:lang w:val="kk-KZ"/>
        </w:rPr>
      </w:pPr>
    </w:p>
    <w:p w:rsidR="00EA72C7" w:rsidRDefault="00EA72C7" w:rsidP="00EA72C7">
      <w:pPr>
        <w:spacing w:after="0" w:line="240" w:lineRule="auto"/>
        <w:ind w:firstLine="709"/>
        <w:jc w:val="both"/>
        <w:rPr>
          <w:rFonts w:ascii="Times New Roman" w:eastAsia="Times New Roman" w:hAnsi="Times New Roman" w:cs="Times New Roman"/>
          <w:sz w:val="28"/>
          <w:szCs w:val="28"/>
          <w:lang w:val="kk-KZ"/>
        </w:rPr>
      </w:pPr>
    </w:p>
    <w:p w:rsidR="00EA72C7" w:rsidRDefault="00EA72C7" w:rsidP="00EA72C7">
      <w:pPr>
        <w:spacing w:after="0" w:line="240" w:lineRule="auto"/>
        <w:ind w:firstLine="709"/>
        <w:jc w:val="both"/>
        <w:rPr>
          <w:rFonts w:ascii="Times New Roman" w:eastAsia="Times New Roman" w:hAnsi="Times New Roman" w:cs="Times New Roman"/>
          <w:sz w:val="28"/>
          <w:szCs w:val="28"/>
          <w:lang w:val="kk-KZ"/>
        </w:rPr>
      </w:pPr>
    </w:p>
    <w:p w:rsidR="00EA72C7" w:rsidRDefault="00EA72C7" w:rsidP="00EA72C7">
      <w:pPr>
        <w:spacing w:after="0" w:line="240" w:lineRule="auto"/>
        <w:ind w:firstLine="709"/>
        <w:jc w:val="both"/>
        <w:rPr>
          <w:rFonts w:ascii="Times New Roman" w:eastAsia="Times New Roman" w:hAnsi="Times New Roman" w:cs="Times New Roman"/>
          <w:sz w:val="28"/>
          <w:szCs w:val="28"/>
          <w:lang w:val="kk-KZ"/>
        </w:rPr>
      </w:pPr>
    </w:p>
    <w:p w:rsidR="00EA72C7" w:rsidRDefault="00EA72C7" w:rsidP="00EA72C7">
      <w:pPr>
        <w:spacing w:after="0" w:line="240" w:lineRule="auto"/>
        <w:ind w:firstLine="709"/>
        <w:jc w:val="both"/>
        <w:rPr>
          <w:rFonts w:ascii="Times New Roman" w:eastAsia="Times New Roman" w:hAnsi="Times New Roman" w:cs="Times New Roman"/>
          <w:sz w:val="28"/>
          <w:szCs w:val="28"/>
          <w:lang w:val="kk-KZ"/>
        </w:rPr>
      </w:pPr>
    </w:p>
    <w:p w:rsidR="00EA72C7" w:rsidRDefault="00EA72C7" w:rsidP="00EA72C7">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Республика Казахстан</w:t>
      </w:r>
    </w:p>
    <w:p w:rsidR="00EA72C7" w:rsidRPr="00602B4F" w:rsidRDefault="00EA72C7" w:rsidP="00EA72C7">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13E7BD5C" wp14:editId="3C583961">
                <wp:simplePos x="0" y="0"/>
                <wp:positionH relativeFrom="column">
                  <wp:posOffset>2672715</wp:posOffset>
                </wp:positionH>
                <wp:positionV relativeFrom="paragraph">
                  <wp:posOffset>258445</wp:posOffset>
                </wp:positionV>
                <wp:extent cx="847725" cy="333375"/>
                <wp:effectExtent l="0" t="0" r="9525" b="9525"/>
                <wp:wrapNone/>
                <wp:docPr id="48" name="Прямоугольник 48"/>
                <wp:cNvGraphicFramePr/>
                <a:graphic xmlns:a="http://schemas.openxmlformats.org/drawingml/2006/main">
                  <a:graphicData uri="http://schemas.microsoft.com/office/word/2010/wordprocessingShape">
                    <wps:wsp>
                      <wps:cNvSpPr/>
                      <wps:spPr>
                        <a:xfrm>
                          <a:off x="0" y="0"/>
                          <a:ext cx="84772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17D5EDD3" id="Прямоугольник 48" o:spid="_x0000_s1026" style="position:absolute;margin-left:210.45pt;margin-top:20.35pt;width:66.75pt;height:26.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" fillcolor="white [3212]" stroked="f" strokeweight="1pt"/>
            </w:pict>
          </mc:Fallback>
        </mc:AlternateContent>
      </w:r>
      <w:r>
        <w:rPr>
          <w:rFonts w:ascii="Times New Roman" w:eastAsia="Times New Roman" w:hAnsi="Times New Roman" w:cs="Times New Roman"/>
          <w:sz w:val="28"/>
          <w:szCs w:val="28"/>
          <w:lang w:val="kk-KZ"/>
        </w:rPr>
        <w:t>Астана, 2022</w:t>
      </w:r>
    </w:p>
    <w:p w:rsidR="00EA72C7" w:rsidRDefault="00EA72C7" w:rsidP="00EA72C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СОДЕРЖАНИЕ</w:t>
      </w:r>
    </w:p>
    <w:p w:rsidR="00EA72C7" w:rsidRDefault="00EA72C7" w:rsidP="00EA72C7">
      <w:pPr>
        <w:spacing w:after="0" w:line="240" w:lineRule="auto"/>
        <w:jc w:val="right"/>
        <w:rPr>
          <w:rFonts w:ascii="Times New Roman" w:eastAsia="Times New Roman" w:hAnsi="Times New Roman" w:cs="Times New Roman"/>
          <w:b/>
          <w:sz w:val="28"/>
          <w:szCs w:val="28"/>
        </w:rPr>
      </w:pPr>
    </w:p>
    <w:tbl>
      <w:tblPr>
        <w:tblW w:w="9747" w:type="dxa"/>
        <w:tblBorders>
          <w:top w:val="nil"/>
          <w:left w:val="nil"/>
          <w:bottom w:val="nil"/>
          <w:right w:val="nil"/>
          <w:insideH w:val="nil"/>
          <w:insideV w:val="nil"/>
        </w:tblBorders>
        <w:tblLayout w:type="fixed"/>
        <w:tblLook w:val="0400" w:firstRow="0" w:lastRow="0" w:firstColumn="0" w:lastColumn="0" w:noHBand="0" w:noVBand="1"/>
      </w:tblPr>
      <w:tblGrid>
        <w:gridCol w:w="9010"/>
        <w:gridCol w:w="737"/>
      </w:tblGrid>
      <w:tr w:rsidR="00EA72C7" w:rsidTr="003E7002">
        <w:tc>
          <w:tcPr>
            <w:tcW w:w="9010" w:type="dxa"/>
          </w:tcPr>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НОРМАТИВНЫЕ ССЫЛКИ</w:t>
            </w:r>
            <w:r>
              <w:rPr>
                <w:rFonts w:ascii="Times New Roman" w:eastAsia="Times New Roman" w:hAnsi="Times New Roman" w:cs="Times New Roman"/>
                <w:sz w:val="28"/>
                <w:szCs w:val="28"/>
              </w:rPr>
              <w:t>……………………………………………..</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EA72C7" w:rsidTr="003E7002">
        <w:tc>
          <w:tcPr>
            <w:tcW w:w="9010" w:type="dxa"/>
          </w:tcPr>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ОПРЕДЕЛЕНИЯ</w:t>
            </w:r>
            <w:r>
              <w:rPr>
                <w:rFonts w:ascii="Times New Roman" w:eastAsia="Times New Roman" w:hAnsi="Times New Roman" w:cs="Times New Roman"/>
                <w:sz w:val="28"/>
                <w:szCs w:val="28"/>
              </w:rPr>
              <w:t>……………………………………………………………</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EA72C7" w:rsidTr="003E7002">
        <w:tc>
          <w:tcPr>
            <w:tcW w:w="9010" w:type="dxa"/>
          </w:tcPr>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ОБОЗНАЧЕНИЯ И СОКРАЩЕНИЯ</w:t>
            </w:r>
            <w:r>
              <w:rPr>
                <w:rFonts w:ascii="Times New Roman" w:eastAsia="Times New Roman" w:hAnsi="Times New Roman" w:cs="Times New Roman"/>
                <w:sz w:val="28"/>
                <w:szCs w:val="28"/>
              </w:rPr>
              <w:t>……………………………………</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EA72C7" w:rsidTr="003E7002">
        <w:tc>
          <w:tcPr>
            <w:tcW w:w="9010" w:type="dxa"/>
          </w:tcPr>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ВВЕДЕНИЕ</w:t>
            </w:r>
            <w:r>
              <w:rPr>
                <w:rFonts w:ascii="Times New Roman" w:eastAsia="Times New Roman" w:hAnsi="Times New Roman" w:cs="Times New Roman"/>
                <w:sz w:val="28"/>
                <w:szCs w:val="28"/>
              </w:rPr>
              <w:t>………………………………………………………………….</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НАУЧНО-ТЕОРЕТИЧЕСКИЕ ОСНОВЫ ЭКОСИСТЕМНОГО ПОДХОДА ПРИ ПРИНЯТИИ УПРАВЛЕНЧЕСКИХ РЕШЕНИЙ</w:t>
            </w:r>
            <w:r>
              <w:rPr>
                <w:rFonts w:ascii="Times New Roman" w:eastAsia="Times New Roman" w:hAnsi="Times New Roman" w:cs="Times New Roman"/>
                <w:sz w:val="28"/>
                <w:szCs w:val="28"/>
              </w:rPr>
              <w:t>….</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p>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Концептуальные основы и эволюция теоретических взглядов на экосистему, экосистемные услуги и экосистемный подход в управлении</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p>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Методы и модели принятия управленческих решений в рамках экосистемного подхода……………………………………………………...</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p>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Мировой опыт применения экосистемного подхода при принятии управленческих решений (зарубежные методики и кейсы)………………</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p>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Выводы по разделу 1………………………………………………………...</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МЕТОДЫ И ИНСТРУМЕНТАРИЙ УПРАВЛЕНИЯ ПРИРОДНЫМИ РЕСУРСАМИ</w:t>
            </w:r>
            <w:r>
              <w:rPr>
                <w:rFonts w:ascii="Times New Roman" w:eastAsia="Times New Roman" w:hAnsi="Times New Roman" w:cs="Times New Roman"/>
                <w:sz w:val="28"/>
                <w:szCs w:val="28"/>
              </w:rPr>
              <w:t>…………………………………………..</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p>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61</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Институциональные и законодательные основы деятельности государственных институтов в сфере управления природными ресурсами и охраны окружающей среды………………………………….</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p>
          <w:p w:rsidR="00EA72C7" w:rsidRDefault="00EA72C7" w:rsidP="00037F18">
            <w:pPr>
              <w:spacing w:after="0" w:line="240" w:lineRule="auto"/>
              <w:rPr>
                <w:rFonts w:ascii="Times New Roman" w:eastAsia="Times New Roman" w:hAnsi="Times New Roman" w:cs="Times New Roman"/>
                <w:sz w:val="28"/>
                <w:szCs w:val="28"/>
              </w:rPr>
            </w:pPr>
          </w:p>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61</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Экономическая оценка экосистемных услуг для обоснования принятия эффективных управленческих решений в городском планировании на примере системы озер Талдыколь……………………..</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p>
          <w:p w:rsidR="00EA72C7" w:rsidRDefault="00EA72C7" w:rsidP="00037F18">
            <w:pPr>
              <w:spacing w:after="0" w:line="240" w:lineRule="auto"/>
              <w:rPr>
                <w:rFonts w:ascii="Times New Roman" w:eastAsia="Times New Roman" w:hAnsi="Times New Roman" w:cs="Times New Roman"/>
                <w:sz w:val="28"/>
                <w:szCs w:val="28"/>
              </w:rPr>
            </w:pPr>
          </w:p>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72</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Выявление и анализ проблем при принятии и реализации управленческих решений в системе государственного управления природными ресурсами Республики Казахстан……………………………</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p>
          <w:p w:rsidR="00EA72C7" w:rsidRDefault="00EA72C7" w:rsidP="00037F18">
            <w:pPr>
              <w:spacing w:after="0" w:line="240" w:lineRule="auto"/>
              <w:rPr>
                <w:rFonts w:ascii="Times New Roman" w:eastAsia="Times New Roman" w:hAnsi="Times New Roman" w:cs="Times New Roman"/>
                <w:sz w:val="28"/>
                <w:szCs w:val="28"/>
              </w:rPr>
            </w:pPr>
          </w:p>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84</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Выводы по разделу 2………………………………………………………...</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98</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 НАПРАВЛЕНИЯ РАЗВИТИЯ ЭКОСИСТЕМНОГО ПОДХОДА ПРИ ПРИНЯТИИ РЕШЕНИЙ В СИСТЕМЕ ГОСУДАРСТВЕННОГО УПРАВЛЕНИЯ</w:t>
            </w:r>
            <w:r>
              <w:rPr>
                <w:rFonts w:ascii="Times New Roman" w:eastAsia="Times New Roman" w:hAnsi="Times New Roman" w:cs="Times New Roman"/>
                <w:sz w:val="28"/>
                <w:szCs w:val="28"/>
              </w:rPr>
              <w:t>………………………………..</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p>
          <w:p w:rsidR="00EA72C7" w:rsidRDefault="00EA72C7" w:rsidP="00037F18">
            <w:pPr>
              <w:spacing w:after="0" w:line="240" w:lineRule="auto"/>
              <w:rPr>
                <w:rFonts w:ascii="Times New Roman" w:eastAsia="Times New Roman" w:hAnsi="Times New Roman" w:cs="Times New Roman"/>
                <w:sz w:val="28"/>
                <w:szCs w:val="28"/>
              </w:rPr>
            </w:pPr>
          </w:p>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Вовлечение заинтересованных сторон в принятие управленческих решений (сase study)…………………………………………………………</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p>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Рекомендации по имплементации экосистемного подхода в управлении экологического конфликта (case study)………………………</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p>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106</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Формирование экологической культуры и управление знаниями……</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118</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Выводы по разделу 3………………………………………………………..</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125</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ЗАКЛЮЧЕНИЕ</w:t>
            </w:r>
            <w:r>
              <w:rPr>
                <w:rFonts w:ascii="Times New Roman" w:eastAsia="Times New Roman" w:hAnsi="Times New Roman" w:cs="Times New Roman"/>
                <w:sz w:val="28"/>
                <w:szCs w:val="28"/>
              </w:rPr>
              <w:t>……………………………………………………………..</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127</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СПИСОК ИСПОЛЬЗОВАННЫХ ИСТОЧНИКОВ</w:t>
            </w:r>
            <w:r>
              <w:rPr>
                <w:rFonts w:ascii="Times New Roman" w:eastAsia="Times New Roman" w:hAnsi="Times New Roman" w:cs="Times New Roman"/>
                <w:sz w:val="28"/>
                <w:szCs w:val="28"/>
              </w:rPr>
              <w:t>……………………</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131</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ПРИЛОЖЕНИЕ А </w:t>
            </w:r>
            <w:r>
              <w:rPr>
                <w:rFonts w:ascii="Times New Roman" w:eastAsia="Times New Roman" w:hAnsi="Times New Roman" w:cs="Times New Roman"/>
                <w:sz w:val="28"/>
                <w:szCs w:val="28"/>
              </w:rPr>
              <w:t>– Оценка экономической ценности ВБУ Талдыкольской системы озер (Категория 1: группа озер Малый Талдыколь + Категория 2: оз. Большой Талдыколь, оз. Ульмес)………..</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p>
          <w:p w:rsidR="00EA72C7" w:rsidRDefault="00EA72C7" w:rsidP="00037F18">
            <w:pPr>
              <w:spacing w:after="0" w:line="240" w:lineRule="auto"/>
              <w:rPr>
                <w:rFonts w:ascii="Times New Roman" w:eastAsia="Times New Roman" w:hAnsi="Times New Roman" w:cs="Times New Roman"/>
                <w:sz w:val="28"/>
                <w:szCs w:val="28"/>
              </w:rPr>
            </w:pPr>
          </w:p>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144</w:t>
            </w:r>
          </w:p>
        </w:tc>
      </w:tr>
      <w:tr w:rsidR="00EA72C7" w:rsidTr="003E7002">
        <w:tc>
          <w:tcPr>
            <w:tcW w:w="9010" w:type="dxa"/>
          </w:tcPr>
          <w:p w:rsidR="00EA72C7" w:rsidRDefault="00EA72C7" w:rsidP="00037F1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ПРИЛОЖЕНИЕ Б </w:t>
            </w:r>
            <w:r>
              <w:rPr>
                <w:rFonts w:ascii="Times New Roman" w:eastAsia="Times New Roman" w:hAnsi="Times New Roman" w:cs="Times New Roman"/>
                <w:sz w:val="28"/>
                <w:szCs w:val="28"/>
              </w:rPr>
              <w:t>– Обзор методов оценки экосистемных услуг……….</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146</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ПРИЛОЖЕНИЕ В </w:t>
            </w:r>
            <w:r>
              <w:rPr>
                <w:rFonts w:ascii="Times New Roman" w:eastAsia="Times New Roman" w:hAnsi="Times New Roman" w:cs="Times New Roman"/>
                <w:sz w:val="28"/>
                <w:szCs w:val="28"/>
              </w:rPr>
              <w:t>– Проект «Гармонизация управления информацией для улучшения знаний и мониторинга глобальной окружающей среды в Грузии»……………………………………………………………………….</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p>
          <w:p w:rsidR="00EA72C7" w:rsidRDefault="00EA72C7" w:rsidP="00037F18">
            <w:pPr>
              <w:spacing w:after="0" w:line="240" w:lineRule="auto"/>
              <w:rPr>
                <w:rFonts w:ascii="Times New Roman" w:eastAsia="Times New Roman" w:hAnsi="Times New Roman" w:cs="Times New Roman"/>
                <w:sz w:val="28"/>
                <w:szCs w:val="28"/>
              </w:rPr>
            </w:pPr>
          </w:p>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151</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ПРИЛОЖЕНИЕ Г </w:t>
            </w:r>
            <w:r>
              <w:rPr>
                <w:rFonts w:ascii="Times New Roman" w:eastAsia="Times New Roman" w:hAnsi="Times New Roman" w:cs="Times New Roman"/>
                <w:sz w:val="28"/>
                <w:szCs w:val="28"/>
              </w:rPr>
              <w:t>– Структура Министерства экологии, геологии и природных ресурсов Республики Казахстан……………………………….</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p>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157</w:t>
            </w:r>
          </w:p>
        </w:tc>
      </w:tr>
      <w:tr w:rsidR="00EA72C7" w:rsidTr="003E7002">
        <w:tc>
          <w:tcPr>
            <w:tcW w:w="9010" w:type="dxa"/>
          </w:tcPr>
          <w:p w:rsidR="00EA72C7" w:rsidRDefault="00EA72C7" w:rsidP="00037F1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ПРИЛОЖЕНИЕ Д </w:t>
            </w:r>
            <w:r>
              <w:rPr>
                <w:rFonts w:ascii="Times New Roman" w:eastAsia="Times New Roman" w:hAnsi="Times New Roman" w:cs="Times New Roman"/>
                <w:sz w:val="28"/>
                <w:szCs w:val="28"/>
              </w:rPr>
              <w:t>– Место исследования - озеро Малый Талдыколь….</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158</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ПРИЛОЖЕНИЕ Е </w:t>
            </w:r>
            <w:r>
              <w:rPr>
                <w:rFonts w:ascii="Times New Roman" w:eastAsia="Times New Roman" w:hAnsi="Times New Roman" w:cs="Times New Roman"/>
                <w:sz w:val="28"/>
                <w:szCs w:val="28"/>
              </w:rPr>
              <w:t>– Опросник «Развитие экосистемного подхода при принятии  управленческих решений»………………………………………</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p>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159</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ПРИЛОЖЕНИЕ Ж </w:t>
            </w:r>
            <w:r>
              <w:rPr>
                <w:rFonts w:ascii="Times New Roman" w:eastAsia="Times New Roman" w:hAnsi="Times New Roman" w:cs="Times New Roman"/>
                <w:sz w:val="28"/>
                <w:szCs w:val="28"/>
              </w:rPr>
              <w:t>– Логическая рамка проекта «Молодежная инициатива по сохранению озера Малый Талдыколь»……………………</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p>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162</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ПРИЛОЖЕНИЕ И </w:t>
            </w:r>
            <w:r>
              <w:rPr>
                <w:rFonts w:ascii="Times New Roman" w:eastAsia="Times New Roman" w:hAnsi="Times New Roman" w:cs="Times New Roman"/>
                <w:sz w:val="28"/>
                <w:szCs w:val="28"/>
              </w:rPr>
              <w:t>– Механизм сбора и обработки данных…………….</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167</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ПРИЛОЖЕНИЕ К </w:t>
            </w:r>
            <w:r>
              <w:rPr>
                <w:rFonts w:ascii="Times New Roman" w:eastAsia="Times New Roman" w:hAnsi="Times New Roman" w:cs="Times New Roman"/>
                <w:sz w:val="28"/>
                <w:szCs w:val="28"/>
              </w:rPr>
              <w:t>– Целевые группы……………………………………</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168</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ПРИЛОЖЕНИЕ Л </w:t>
            </w:r>
            <w:r>
              <w:rPr>
                <w:rFonts w:ascii="Times New Roman" w:eastAsia="Times New Roman" w:hAnsi="Times New Roman" w:cs="Times New Roman"/>
                <w:sz w:val="28"/>
                <w:szCs w:val="28"/>
              </w:rPr>
              <w:t>– Схема информационно-коммуникационного взаимодействия государственных органов………………………………...</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p>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169</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ПРИЛОЖЕНИЕ М </w:t>
            </w:r>
            <w:r>
              <w:rPr>
                <w:rFonts w:ascii="Times New Roman" w:eastAsia="Times New Roman" w:hAnsi="Times New Roman" w:cs="Times New Roman"/>
                <w:sz w:val="28"/>
                <w:szCs w:val="28"/>
              </w:rPr>
              <w:t>– Этапы эскалации конфликта, связанного со строительством на озере Малый Талдыколь………………………………</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p>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170</w:t>
            </w:r>
          </w:p>
        </w:tc>
      </w:tr>
      <w:tr w:rsidR="00EA72C7" w:rsidTr="003E7002">
        <w:tc>
          <w:tcPr>
            <w:tcW w:w="9010" w:type="dxa"/>
          </w:tcPr>
          <w:p w:rsidR="00EA72C7" w:rsidRDefault="00EA72C7" w:rsidP="00037F1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ПРИЛОЖЕНИЕ Н </w:t>
            </w:r>
            <w:r>
              <w:rPr>
                <w:rFonts w:ascii="Times New Roman" w:eastAsia="Times New Roman" w:hAnsi="Times New Roman" w:cs="Times New Roman"/>
                <w:sz w:val="28"/>
                <w:szCs w:val="28"/>
              </w:rPr>
              <w:t>– Предлагаемые показатели оценки эффективности деятельности государственных органов Республики Казахстан…………..</w:t>
            </w:r>
          </w:p>
        </w:tc>
        <w:tc>
          <w:tcPr>
            <w:tcW w:w="737" w:type="dxa"/>
          </w:tcPr>
          <w:p w:rsidR="00EA72C7" w:rsidRDefault="00EA72C7" w:rsidP="00037F18">
            <w:pPr>
              <w:spacing w:after="0" w:line="240" w:lineRule="auto"/>
              <w:rPr>
                <w:rFonts w:ascii="Times New Roman" w:eastAsia="Times New Roman" w:hAnsi="Times New Roman" w:cs="Times New Roman"/>
                <w:sz w:val="28"/>
                <w:szCs w:val="28"/>
              </w:rPr>
            </w:pPr>
          </w:p>
          <w:p w:rsidR="00EA72C7" w:rsidRDefault="00EA72C7" w:rsidP="00037F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174</w:t>
            </w:r>
          </w:p>
        </w:tc>
      </w:tr>
    </w:tbl>
    <w:p w:rsidR="00EA72C7" w:rsidRDefault="00EA72C7" w:rsidP="00EA72C7">
      <w:pPr>
        <w:spacing w:after="0" w:line="240" w:lineRule="auto"/>
        <w:jc w:val="right"/>
        <w:rPr>
          <w:rFonts w:ascii="Times New Roman" w:eastAsia="Times New Roman" w:hAnsi="Times New Roman" w:cs="Times New Roman"/>
          <w:b/>
          <w:sz w:val="28"/>
          <w:szCs w:val="28"/>
        </w:rPr>
      </w:pPr>
    </w:p>
    <w:p w:rsidR="00EA72C7" w:rsidRDefault="00EA72C7" w:rsidP="00EA72C7">
      <w:pPr>
        <w:spacing w:after="0" w:line="240" w:lineRule="auto"/>
        <w:rPr>
          <w:rFonts w:ascii="Times New Roman" w:eastAsia="Times New Roman" w:hAnsi="Times New Roman" w:cs="Times New Roman"/>
          <w:sz w:val="28"/>
          <w:szCs w:val="28"/>
        </w:rPr>
      </w:pPr>
      <w:r>
        <w:t xml:space="preserve">     </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rPr>
          <w:rFonts w:ascii="Times New Roman" w:eastAsia="Times New Roman" w:hAnsi="Times New Roman" w:cs="Times New Roman"/>
          <w:b/>
          <w:sz w:val="28"/>
          <w:szCs w:val="28"/>
        </w:rPr>
      </w:pPr>
      <w:r>
        <w:br w:type="page"/>
      </w:r>
    </w:p>
    <w:p w:rsidR="00EA72C7" w:rsidRDefault="00EA72C7" w:rsidP="00EA72C7">
      <w:pPr>
        <w:pStyle w:val="1"/>
        <w:spacing w:before="0" w:line="240" w:lineRule="auto"/>
        <w:jc w:val="center"/>
        <w:rPr>
          <w:rFonts w:ascii="Times New Roman" w:eastAsia="Times New Roman" w:hAnsi="Times New Roman" w:cs="Times New Roman"/>
          <w:color w:val="000000"/>
        </w:rPr>
      </w:pPr>
      <w:bookmarkStart w:id="1" w:name="_heading=h.gjdgxs" w:colFirst="0" w:colLast="0"/>
      <w:bookmarkEnd w:id="1"/>
      <w:r>
        <w:rPr>
          <w:rFonts w:ascii="Times New Roman" w:eastAsia="Times New Roman" w:hAnsi="Times New Roman" w:cs="Times New Roman"/>
          <w:color w:val="000000"/>
        </w:rPr>
        <w:lastRenderedPageBreak/>
        <w:t>НОРМАТИВНЫЕ ССЫЛКИ</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sidRPr="003A2335">
        <w:rPr>
          <w:rFonts w:ascii="Times New Roman" w:hAnsi="Times New Roman" w:cs="Times New Roman"/>
          <w:sz w:val="28"/>
          <w:szCs w:val="28"/>
        </w:rPr>
        <w:t>В настоящей диссертации использованы ссылки на следующие стандарты</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Конституция Республики Казахстан: принята на республиканском референдуме 30 августа 1995 года.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Конституционный закон Республики Казахстан. О Правительстве Республики Казахстан: принят 18 декабря 1995 года, №2688.</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Кодекс Республики Казахстан. Земельный кодекс: принят 20 июня 2003 года, №442.</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Кодекс Республики Казахстан. Лесной кодекс: принят 8 июля 2003 года, №477.</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Кодекс Республики Казахстан. Водный кодекс: принят 9 июля 2003 года, №481.</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Кодекс Республики Казахстан. О недрах и недропользовании: принят 27 декабря 2017 года, №125.</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Кодекс Республики Казахстан. Экологический кодекс: принят 1 января 2021 года.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Указ Президента Республики Казахстан. Об утверждении Стратегического плана развития Республики Казахстан до 2025 года: утв. 15 февраля 2018 года, №636.</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Президент Республики Казахстан. Третья модернизация Казахстана: глобальная конкурентоспособность: послание народу Казахстана от 31 января 2017 года.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Президент Республики Казахстан. Стратегия «Казахстан-2050»: новый политический курс состоявшегося государства: послание народу Казахстана от 14 декабря 2012 года.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Указ Президента Республики Казахстан. Об утверждении Концепции по вхождению Казахстана в число 30 самых развитых государств мира: утв. 17 января 2014 года, №732.</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Указ Президента Республики Казахстан. Об утверждении Концепции развития зеленой экономики: утв. 30 мая 2013 года, №577.</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Постановление Правительства Республики Казахстан. Об утверждении Плана мероприятий по реализации Концепции по переходу Республики Казахстан к «зеленой экономике» на 2021–2030 годы: утв. 31 июля 2013 года, №750;</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Постановление Правительства Республики Казахстан. Об утверждении Концепции развития топливно-энергетического комплекса Республики Казахстан до 2030 года: утв. 28 июня 2014 года, №724.</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Постановление Правительства Республики Казахстан. Об утверждении Правил ведения Государственного фонда экологической информации: утв. 13 октября 2016 года, №589.</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Постановление Правительства Республики Казахстан. Об утверждении Программы «Национальная экспортная стратегия»: утв. 26 августа 2017 года, №511.</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Постановление Правительства Республики Казахстан. Об утверждении Государственной программы «Цифровой Казахстан: утв. 12 декабря 2017 года, №827.</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Постановление Правительства Республики Казахстан. Об утверждении Концепции вхождения столицы в рейтинг 10-ти лучших городов мира до 2050 года: утв. 29 декабря 2014 года №1394.</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сессии маслихата города Нур-Султан. Об утверждении Программы развития города Нур-Султан на 2021-2025 годы: утв. 15 января 2021 года</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rPr>
        <w:t xml:space="preserve"> №7/1-VII.</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pStyle w:val="1"/>
        <w:spacing w:before="0" w:line="240" w:lineRule="auto"/>
        <w:jc w:val="center"/>
        <w:rPr>
          <w:rFonts w:ascii="Times New Roman" w:eastAsia="Times New Roman" w:hAnsi="Times New Roman" w:cs="Times New Roman"/>
          <w:color w:val="000000"/>
        </w:rPr>
      </w:pPr>
      <w:bookmarkStart w:id="2" w:name="_heading=h.30j0zll" w:colFirst="0" w:colLast="0"/>
      <w:bookmarkEnd w:id="2"/>
      <w:r>
        <w:rPr>
          <w:rFonts w:ascii="Times New Roman" w:eastAsia="Times New Roman" w:hAnsi="Times New Roman" w:cs="Times New Roman"/>
          <w:color w:val="000000"/>
        </w:rPr>
        <w:lastRenderedPageBreak/>
        <w:t>ОПРЕДЕЛЕНИЯ</w:t>
      </w:r>
    </w:p>
    <w:p w:rsidR="00EA72C7" w:rsidRDefault="00EA72C7" w:rsidP="00EA72C7">
      <w:pPr>
        <w:spacing w:after="0" w:line="240" w:lineRule="auto"/>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настоящей диссертации применяют следующие термины с соответствующими определениями: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Управленческое решение</w:t>
      </w:r>
      <w:r>
        <w:rPr>
          <w:rFonts w:ascii="Times New Roman" w:eastAsia="Times New Roman" w:hAnsi="Times New Roman" w:cs="Times New Roman"/>
          <w:sz w:val="28"/>
          <w:szCs w:val="28"/>
        </w:rPr>
        <w:t xml:space="preserve"> – социальный акт; выбранная альтернатива разрешения проблемы и проблемной ситуации, отобранная из множества возможных вариантов на основе критериев эффективности или субъективного предпочтения и воли лица, принимающего решение, подкрепленных соответствующими полномочиями.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Экологическая эффективность</w:t>
      </w:r>
      <w:r>
        <w:rPr>
          <w:rFonts w:ascii="Times New Roman" w:eastAsia="Times New Roman" w:hAnsi="Times New Roman" w:cs="Times New Roman"/>
          <w:sz w:val="28"/>
          <w:szCs w:val="28"/>
        </w:rPr>
        <w:t xml:space="preserve"> – способность фирм, отраслей или экономик производить товары и услуги при меньшем воздействии на окружающую среду и потребляя меньше природных ресурсов.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Экосистема </w:t>
      </w:r>
      <w:r>
        <w:rPr>
          <w:rFonts w:ascii="Times New Roman" w:eastAsia="Times New Roman" w:hAnsi="Times New Roman" w:cs="Times New Roman"/>
          <w:sz w:val="28"/>
          <w:szCs w:val="28"/>
        </w:rPr>
        <w:t xml:space="preserve">– в контексте данного исследования подразумевается сообщество живых организмов и окружающая их среда; это функциональное единство (самого разного объема и вида), включающее все организмы (биоценоз) на данном участке (биотопе) и взаимодействующее с абиотической средой.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Экосистемность</w:t>
      </w:r>
      <w:r>
        <w:rPr>
          <w:rFonts w:ascii="Times New Roman" w:eastAsia="Times New Roman" w:hAnsi="Times New Roman" w:cs="Times New Roman"/>
          <w:sz w:val="28"/>
          <w:szCs w:val="28"/>
        </w:rPr>
        <w:t xml:space="preserve"> – необходимость четко сформулированного и реализуемого на практике, системно-организованного и внутренне непротиворечивого комплекса правовых, экономических и организационных требований относительно приоритетности предупреждений нарушений в экологической сфере и недопущений причинения вреда природе в процессе использования конкретного ресурса, а также окружающей среде в целом.</w:t>
      </w:r>
    </w:p>
    <w:p w:rsidR="00EA72C7" w:rsidRDefault="00EA72C7" w:rsidP="00EA72C7">
      <w:pPr>
        <w:spacing w:after="0" w:line="240" w:lineRule="auto"/>
        <w:ind w:firstLine="709"/>
        <w:jc w:val="both"/>
      </w:pPr>
      <w:r>
        <w:rPr>
          <w:rFonts w:ascii="Times New Roman" w:eastAsia="Times New Roman" w:hAnsi="Times New Roman" w:cs="Times New Roman"/>
          <w:b/>
          <w:sz w:val="28"/>
          <w:szCs w:val="28"/>
        </w:rPr>
        <w:t>Экосистемный подход</w:t>
      </w:r>
      <w:r>
        <w:rPr>
          <w:rFonts w:ascii="Times New Roman" w:eastAsia="Times New Roman" w:hAnsi="Times New Roman" w:cs="Times New Roman"/>
          <w:sz w:val="28"/>
          <w:szCs w:val="28"/>
        </w:rPr>
        <w:t xml:space="preserve"> – предусматривает более целостные, интегративные и адаптивные подходы к управлению, базирующиеся на научной информации, обеспечивают поддержание экосистем в устойчивом состоянии, необходимом для достижения желаемых социально-экономических выгод</w:t>
      </w:r>
      <w: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Экосистемный сервис</w:t>
      </w:r>
      <w:r>
        <w:rPr>
          <w:rFonts w:ascii="Times New Roman" w:eastAsia="Times New Roman" w:hAnsi="Times New Roman" w:cs="Times New Roman"/>
          <w:sz w:val="28"/>
          <w:szCs w:val="28"/>
        </w:rPr>
        <w:t xml:space="preserve"> – преимущества, которые люди получают от экосистем.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Экосистемное управление</w:t>
      </w:r>
      <w:r>
        <w:rPr>
          <w:rFonts w:ascii="Times New Roman" w:eastAsia="Times New Roman" w:hAnsi="Times New Roman" w:cs="Times New Roman"/>
          <w:sz w:val="28"/>
          <w:szCs w:val="28"/>
        </w:rPr>
        <w:t xml:space="preserve"> – «интеграция экологических, экономических и социальных принципов управления биологическими и физическими системами так, чтобы защищать экологическую устойчивость, биологическое разнообразие и продуктивность окружающей среды».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Экосистемные услуги</w:t>
      </w:r>
      <w:r>
        <w:rPr>
          <w:rFonts w:ascii="Times New Roman" w:eastAsia="Times New Roman" w:hAnsi="Times New Roman" w:cs="Times New Roman"/>
          <w:sz w:val="28"/>
          <w:szCs w:val="28"/>
        </w:rPr>
        <w:t xml:space="preserve"> – выгоды, получаемые людьми, прямо или косвенно, от экосистемных функций.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Экосистемный функции</w:t>
      </w:r>
      <w:r>
        <w:rPr>
          <w:rFonts w:ascii="Times New Roman" w:eastAsia="Times New Roman" w:hAnsi="Times New Roman" w:cs="Times New Roman"/>
          <w:sz w:val="28"/>
          <w:szCs w:val="28"/>
        </w:rPr>
        <w:t xml:space="preserve"> – интегральное влияние экосистемы на окружающую среду, сумма процессов, которую она «выдает на выходе» – результат суммарной активности всех входящих в нее живых организмов.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Benefit-relevant indicators (BRIs)</w:t>
      </w:r>
      <w:r>
        <w:rPr>
          <w:rFonts w:ascii="Times New Roman" w:eastAsia="Times New Roman" w:hAnsi="Times New Roman" w:cs="Times New Roman"/>
          <w:sz w:val="28"/>
          <w:szCs w:val="28"/>
        </w:rPr>
        <w:t xml:space="preserve"> – показатели, относящиеся к выгоде - меры, которые фиксируют связь между экологическими изменениями и социальными результатами, рассматривая то, что оценивается людьми, существует ли спрос на услугу, сколько она используется (для потребительских ценностей) или пользуется (для неиспользованной стоимости), и предоставляет ли сайт доступ, необходимый людям для получения выгоды от услуги. </w:t>
      </w:r>
    </w:p>
    <w:p w:rsidR="00EA72C7" w:rsidRDefault="00EA72C7" w:rsidP="00EA72C7">
      <w:pPr>
        <w:spacing w:after="0" w:line="240" w:lineRule="auto"/>
        <w:ind w:left="645"/>
        <w:rPr>
          <w:rFonts w:ascii="Times New Roman" w:eastAsia="Times New Roman" w:hAnsi="Times New Roman" w:cs="Times New Roman"/>
          <w:b/>
          <w:sz w:val="28"/>
          <w:szCs w:val="28"/>
        </w:rPr>
      </w:pPr>
      <w:r>
        <w:br w:type="page"/>
      </w:r>
    </w:p>
    <w:p w:rsidR="00EA72C7" w:rsidRDefault="00EA72C7" w:rsidP="00EA72C7">
      <w:pPr>
        <w:pStyle w:val="1"/>
        <w:spacing w:before="0" w:line="240" w:lineRule="auto"/>
        <w:jc w:val="center"/>
        <w:rPr>
          <w:rFonts w:ascii="Times New Roman" w:eastAsia="Times New Roman" w:hAnsi="Times New Roman" w:cs="Times New Roman"/>
          <w:color w:val="000000"/>
        </w:rPr>
      </w:pPr>
      <w:bookmarkStart w:id="3" w:name="_heading=h.1fob9te" w:colFirst="0" w:colLast="0"/>
      <w:bookmarkEnd w:id="3"/>
      <w:r>
        <w:rPr>
          <w:rFonts w:ascii="Times New Roman" w:eastAsia="Times New Roman" w:hAnsi="Times New Roman" w:cs="Times New Roman"/>
          <w:color w:val="000000"/>
        </w:rPr>
        <w:lastRenderedPageBreak/>
        <w:t>ОБОЗНАЧЕНИЯ И СОКРАЩЕНИЯ</w:t>
      </w:r>
    </w:p>
    <w:p w:rsidR="00EA72C7" w:rsidRDefault="00EA72C7" w:rsidP="00EA72C7">
      <w:pPr>
        <w:spacing w:after="0" w:line="240" w:lineRule="auto"/>
        <w:ind w:left="645" w:firstLine="709"/>
        <w:jc w:val="right"/>
        <w:rPr>
          <w:rFonts w:ascii="Times New Roman" w:eastAsia="Times New Roman" w:hAnsi="Times New Roman" w:cs="Times New Roman"/>
          <w:sz w:val="28"/>
          <w:szCs w:val="28"/>
        </w:rPr>
      </w:pPr>
    </w:p>
    <w:tbl>
      <w:tblPr>
        <w:tblW w:w="9747" w:type="dxa"/>
        <w:tblBorders>
          <w:top w:val="nil"/>
          <w:left w:val="nil"/>
          <w:bottom w:val="nil"/>
          <w:right w:val="nil"/>
          <w:insideH w:val="nil"/>
          <w:insideV w:val="nil"/>
        </w:tblBorders>
        <w:tblLayout w:type="fixed"/>
        <w:tblLook w:val="0400" w:firstRow="0" w:lastRow="0" w:firstColumn="0" w:lastColumn="0" w:noHBand="0" w:noVBand="1"/>
      </w:tblPr>
      <w:tblGrid>
        <w:gridCol w:w="1872"/>
        <w:gridCol w:w="7875"/>
      </w:tblGrid>
      <w:tr w:rsidR="00EA72C7" w:rsidTr="003E7002">
        <w:trPr>
          <w:trHeight w:val="207"/>
        </w:trPr>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АО</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Акционерное общество</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АПК</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Агропромышленный комплекс</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АСБК</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Ассоциация сохранения биоразнообразия Казахстана</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БД</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База данных</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ВБУ</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Водно-болотные угодья</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ВВП</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Валовый внутренний продукт</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ВД РК</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Водный кодекс Республики Казахстан</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ВРП</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405" w:hanging="33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Валовый региональный продукт</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ГФЭИ РК</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Государственной фонд экологической информации Республики Казахстан</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ЕАЭС</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Евразийский экономический союз</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Европейский союз</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 РК</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Земельный кодекс Республики Казахстан </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 ГКПР РК</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Информационная система «Государственные кадастры природных ресурсов» Республики Казахстан</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КС МНЭ РК</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Комитет по статистике Министерства экономики Республики Казахстан</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КЭР</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Комплексное экологическое разрешение</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ЛК РК</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Лесной кодекс Республики Казахстан</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ЛПР</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Лицо, принимающее решение</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МВД РК</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Министерство внутренних дел Республики Казахстан</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МИО</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Местный исполнительный орган</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МИР РК</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Министерство по инвестициям и развитию Республики Казахстан</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МНЭ РК</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Министерство национальной экономики Республики Казахстан</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МСХ РК</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Министерство сельского хозяйства Республики Казахстан</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НИИ</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Научно-исследовательский институт</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НДП</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Наилучшие доступные технологии</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НПА</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Нормативно-правовой акт</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ОВОС</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Оценка воздействия на окружающую среду</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ООН</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Организация объединенных наций</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ООПТ</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Особо охраняемая природная территория</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ОЭСР</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Организация экономического сотрудничества и развития</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ПДД</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Проект детальной планировки</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РК</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Республика Казахстан</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РФ</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Российская Федерация</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СНГ</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Содружество независимых государств</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СЦ</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Ситуационные центры</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ТКП</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Технический Кодекс установившейся Практики</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ТОО</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Товарищество с ограниченной ответственностью</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ТП МИО</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Территориальные подразделения и подведомственные организации местных исполнительных органов в области природных ресурсов и земельных отношений</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ТП ЦГО</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Территориальные подразделения и подведомственные организации центральных государственных органов</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ТЭК</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Топливно-энергетический комплекс</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УАГиЗО</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Управление архитектуры, градостроительства и земельных отношений</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УВС</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Углеводородное сырье</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Управленческое решение</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ЦГО</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Центральные государственные органы и их ведомства</w:t>
            </w:r>
          </w:p>
        </w:tc>
      </w:tr>
      <w:tr w:rsidR="00EA72C7" w:rsidRPr="00037F18"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ЮНЕП</w:t>
            </w:r>
          </w:p>
        </w:tc>
        <w:tc>
          <w:tcPr>
            <w:tcW w:w="7875" w:type="dxa"/>
          </w:tcPr>
          <w:p w:rsidR="00EA72C7" w:rsidRPr="00527375"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lang w:val="en-US"/>
              </w:rPr>
            </w:pPr>
            <w:r w:rsidRPr="00527375">
              <w:rPr>
                <w:rFonts w:ascii="Times New Roman" w:eastAsia="Times New Roman" w:hAnsi="Times New Roman" w:cs="Times New Roman"/>
                <w:color w:val="000000"/>
                <w:sz w:val="28"/>
                <w:szCs w:val="28"/>
                <w:lang w:val="en-US"/>
              </w:rPr>
              <w:t>UNEP, United Nations Environment Programme (</w:t>
            </w:r>
            <w:r>
              <w:rPr>
                <w:rFonts w:ascii="Times New Roman" w:eastAsia="Times New Roman" w:hAnsi="Times New Roman" w:cs="Times New Roman"/>
                <w:color w:val="000000"/>
                <w:sz w:val="28"/>
                <w:szCs w:val="28"/>
              </w:rPr>
              <w:t>Программа</w:t>
            </w:r>
            <w:r w:rsidRPr="00527375">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ООН</w:t>
            </w:r>
            <w:r w:rsidRPr="00527375">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по</w:t>
            </w:r>
            <w:r w:rsidRPr="00527375">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окружающей</w:t>
            </w:r>
            <w:r w:rsidRPr="00527375">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среде</w:t>
            </w:r>
            <w:r w:rsidRPr="00527375">
              <w:rPr>
                <w:rFonts w:ascii="Times New Roman" w:eastAsia="Times New Roman" w:hAnsi="Times New Roman" w:cs="Times New Roman"/>
                <w:color w:val="000000"/>
                <w:sz w:val="28"/>
                <w:szCs w:val="28"/>
                <w:lang w:val="en-US"/>
              </w:rPr>
              <w:t>)</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 РК</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Экологический кодекс Республики Казахстан</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ЭУ (ESS)</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Экосистемные услуги (ecosystem services)</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ЭЭ</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Экологическая эффективность (эко-эффективность)</w:t>
            </w:r>
          </w:p>
        </w:tc>
      </w:tr>
      <w:tr w:rsidR="00EA72C7" w:rsidRPr="00037F18"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BRI</w:t>
            </w:r>
          </w:p>
        </w:tc>
        <w:tc>
          <w:tcPr>
            <w:tcW w:w="7875" w:type="dxa"/>
          </w:tcPr>
          <w:p w:rsidR="00EA72C7" w:rsidRPr="00527375"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lang w:val="en-US"/>
              </w:rPr>
            </w:pPr>
            <w:r w:rsidRPr="00527375">
              <w:rPr>
                <w:rFonts w:ascii="Times New Roman" w:eastAsia="Times New Roman" w:hAnsi="Times New Roman" w:cs="Times New Roman"/>
                <w:color w:val="000000"/>
                <w:sz w:val="28"/>
                <w:szCs w:val="28"/>
                <w:lang w:val="en-US"/>
              </w:rPr>
              <w:t xml:space="preserve">Benefits related to indicators - </w:t>
            </w:r>
            <w:r>
              <w:rPr>
                <w:rFonts w:ascii="Times New Roman" w:eastAsia="Times New Roman" w:hAnsi="Times New Roman" w:cs="Times New Roman"/>
                <w:color w:val="000000"/>
                <w:sz w:val="28"/>
                <w:szCs w:val="28"/>
              </w:rPr>
              <w:t>показатели</w:t>
            </w:r>
            <w:r w:rsidRPr="00527375">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относящиеся</w:t>
            </w:r>
            <w:r w:rsidRPr="00527375">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к</w:t>
            </w:r>
            <w:r w:rsidRPr="00527375">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выгоде</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DEA</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Data Envelopment Analysis (Анализ среды функционирования)</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ELU</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Environmental Load Units (Единица экологической нагрузки)</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ENCA</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Enabling a Natural Capital Approach (Подход с использованием природного капитала)</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EPI</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Environmental Performance Index (Индекс результативности экологической деятельности)</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EPS</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Environmental Priority Strategies in product design – экологические приоритетные стратегии для дизайна продукции</w:t>
            </w:r>
          </w:p>
        </w:tc>
      </w:tr>
      <w:tr w:rsidR="00EA72C7" w:rsidTr="003E7002">
        <w:tc>
          <w:tcPr>
            <w:tcW w:w="1872" w:type="dxa"/>
          </w:tcPr>
          <w:p w:rsidR="00EA72C7" w:rsidRDefault="00EA72C7" w:rsidP="00037F18">
            <w:pPr>
              <w:spacing w:after="0" w:line="240" w:lineRule="auto"/>
              <w:ind w:left="29"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ESMERALDA</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Enhancing ecosystem services mapping for policy and Decision making (Улучшение картографирования экосистемных услуг для политики и принятия решений)</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LCA</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Life Cycle Assessment (Оценка жизненного цикла)</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Millenium ecosystem assessment</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MCDA</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Multiple Criteria Decision Analysis - инструмент системного подхода к сложным проблемам принятия решений, применяемый в различных областях научного и практического знания</w:t>
            </w:r>
          </w:p>
        </w:tc>
      </w:tr>
      <w:tr w:rsidR="00EA72C7" w:rsidRPr="00037F18"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WBCSD</w:t>
            </w:r>
          </w:p>
        </w:tc>
        <w:tc>
          <w:tcPr>
            <w:tcW w:w="7875" w:type="dxa"/>
          </w:tcPr>
          <w:p w:rsidR="00EA72C7" w:rsidRPr="00527375"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lang w:val="en-US"/>
              </w:rPr>
            </w:pPr>
            <w:r w:rsidRPr="00527375">
              <w:rPr>
                <w:rFonts w:ascii="Times New Roman" w:eastAsia="Times New Roman" w:hAnsi="Times New Roman" w:cs="Times New Roman"/>
                <w:color w:val="000000"/>
                <w:sz w:val="28"/>
                <w:szCs w:val="28"/>
                <w:lang w:val="en-US"/>
              </w:rPr>
              <w:t xml:space="preserve">World Business Council for Sustainable Development - </w:t>
            </w:r>
            <w:r>
              <w:rPr>
                <w:rFonts w:ascii="Times New Roman" w:eastAsia="Times New Roman" w:hAnsi="Times New Roman" w:cs="Times New Roman"/>
                <w:color w:val="000000"/>
                <w:sz w:val="28"/>
                <w:szCs w:val="28"/>
              </w:rPr>
              <w:t>Всемирный</w:t>
            </w:r>
            <w:r w:rsidRPr="00527375">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деловой</w:t>
            </w:r>
            <w:r w:rsidRPr="00527375">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совет</w:t>
            </w:r>
            <w:r w:rsidRPr="00527375">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по</w:t>
            </w:r>
            <w:r w:rsidRPr="00527375">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устойчивому</w:t>
            </w:r>
            <w:r w:rsidRPr="00527375">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развитию</w:t>
            </w:r>
            <w:r w:rsidRPr="00527375">
              <w:rPr>
                <w:rFonts w:ascii="Times New Roman" w:eastAsia="Times New Roman" w:hAnsi="Times New Roman" w:cs="Times New Roman"/>
                <w:color w:val="000000"/>
                <w:sz w:val="28"/>
                <w:szCs w:val="28"/>
                <w:lang w:val="en-US"/>
              </w:rPr>
              <w:t xml:space="preserve"> </w:t>
            </w:r>
          </w:p>
        </w:tc>
      </w:tr>
      <w:tr w:rsidR="00EA72C7" w:rsidTr="003E7002">
        <w:tc>
          <w:tcPr>
            <w:tcW w:w="1872" w:type="dxa"/>
          </w:tcPr>
          <w:p w:rsidR="00EA72C7" w:rsidRDefault="00EA72C7" w:rsidP="00037F18">
            <w:pPr>
              <w:spacing w:after="0" w:line="240" w:lineRule="auto"/>
              <w:ind w:left="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WMO</w:t>
            </w:r>
          </w:p>
        </w:tc>
        <w:tc>
          <w:tcPr>
            <w:tcW w:w="7875" w:type="dxa"/>
          </w:tcPr>
          <w:p w:rsidR="00EA72C7" w:rsidRDefault="00EA72C7" w:rsidP="00037F18">
            <w:pPr>
              <w:numPr>
                <w:ilvl w:val="0"/>
                <w:numId w:val="14"/>
              </w:numPr>
              <w:pBdr>
                <w:top w:val="nil"/>
                <w:left w:val="nil"/>
                <w:bottom w:val="nil"/>
                <w:right w:val="nil"/>
                <w:between w:val="nil"/>
              </w:pBdr>
              <w:spacing w:after="0" w:line="240" w:lineRule="auto"/>
              <w:ind w:left="355"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World Meteorological Organization (Всемирная метеорологическая организация)</w:t>
            </w:r>
          </w:p>
        </w:tc>
      </w:tr>
    </w:tbl>
    <w:p w:rsidR="00EA72C7" w:rsidRDefault="00EA72C7" w:rsidP="00EA72C7">
      <w:pPr>
        <w:spacing w:after="0" w:line="240" w:lineRule="auto"/>
        <w:rPr>
          <w:rFonts w:ascii="Times New Roman" w:eastAsia="Times New Roman" w:hAnsi="Times New Roman" w:cs="Times New Roman"/>
          <w:b/>
          <w:sz w:val="28"/>
          <w:szCs w:val="28"/>
        </w:rPr>
      </w:pPr>
      <w:r>
        <w:br w:type="page"/>
      </w:r>
    </w:p>
    <w:p w:rsidR="00EA72C7" w:rsidRDefault="00EA72C7" w:rsidP="00EA72C7">
      <w:pPr>
        <w:pStyle w:val="1"/>
        <w:spacing w:before="0" w:line="240" w:lineRule="auto"/>
        <w:jc w:val="center"/>
        <w:rPr>
          <w:rFonts w:ascii="Times New Roman" w:eastAsia="Times New Roman" w:hAnsi="Times New Roman" w:cs="Times New Roman"/>
          <w:color w:val="000000"/>
        </w:rPr>
      </w:pPr>
      <w:bookmarkStart w:id="4" w:name="_heading=h.3znysh7" w:colFirst="0" w:colLast="0"/>
      <w:bookmarkEnd w:id="4"/>
      <w:r>
        <w:rPr>
          <w:rFonts w:ascii="Times New Roman" w:eastAsia="Times New Roman" w:hAnsi="Times New Roman" w:cs="Times New Roman"/>
          <w:color w:val="000000"/>
        </w:rPr>
        <w:lastRenderedPageBreak/>
        <w:t>ВВЕДЕНИЕ</w:t>
      </w:r>
    </w:p>
    <w:p w:rsidR="00EA72C7" w:rsidRDefault="00EA72C7" w:rsidP="00EA72C7">
      <w:pPr>
        <w:spacing w:after="0" w:line="240" w:lineRule="auto"/>
        <w:ind w:firstLine="709"/>
        <w:jc w:val="both"/>
        <w:rPr>
          <w:rFonts w:ascii="Times New Roman" w:eastAsia="Times New Roman" w:hAnsi="Times New Roman" w:cs="Times New Roman"/>
          <w:b/>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Актуальность темы.</w:t>
      </w:r>
      <w:r>
        <w:rPr>
          <w:rFonts w:ascii="Times New Roman" w:eastAsia="Times New Roman" w:hAnsi="Times New Roman" w:cs="Times New Roman"/>
          <w:sz w:val="28"/>
          <w:szCs w:val="28"/>
        </w:rPr>
        <w:t xml:space="preserve"> Экосистемный подход к управлению является одним из важнейших приоритетов, обозначенных в Программе Организации ООН по окружающей среде (ЮНЕП) </w:t>
      </w:r>
      <w:r w:rsidR="005F2A00">
        <w:rPr>
          <w:rFonts w:ascii="Times New Roman" w:eastAsia="Times New Roman" w:hAnsi="Times New Roman" w:cs="Times New Roman"/>
          <w:sz w:val="28"/>
          <w:szCs w:val="28"/>
        </w:rPr>
        <w:t>[1]</w:t>
      </w:r>
      <w:r>
        <w:rPr>
          <w:rFonts w:ascii="Times New Roman" w:eastAsia="Times New Roman" w:hAnsi="Times New Roman" w:cs="Times New Roman"/>
          <w:sz w:val="28"/>
          <w:szCs w:val="28"/>
        </w:rPr>
        <w:t>, учрежденной 15.12.1972 года. Внедрение экосистемного подхода в управлении продиктовано как неблагоприятными последствиями для человека и природы от процессов интенсивного загрязнения окружающей среды, так и возрастающими рисками от глобального изменения климата, угрожающими устойчивости и сохранению  всей экосистемы Планеты.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Конвенции о биологическом разнообразии </w:t>
      </w:r>
      <w:r w:rsidR="005F2A00">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и Декларации Конференции ООН по окружающей среде и развитию [10] (1992) государства признали экосистемный подход в качестве основы экосистемного развития. В 2001 г. была начата международная рабочая Программа «Оценка экосистем на пороге тысячелетия» </w:t>
      </w:r>
      <w:r w:rsidR="005F2A00">
        <w:rPr>
          <w:rFonts w:ascii="Times New Roman" w:eastAsia="Times New Roman" w:hAnsi="Times New Roman" w:cs="Times New Roman"/>
          <w:sz w:val="28"/>
          <w:szCs w:val="28"/>
        </w:rPr>
        <w:t>[4]</w:t>
      </w:r>
      <w:r>
        <w:rPr>
          <w:rFonts w:ascii="Times New Roman" w:eastAsia="Times New Roman" w:hAnsi="Times New Roman" w:cs="Times New Roman"/>
          <w:sz w:val="28"/>
          <w:szCs w:val="28"/>
        </w:rPr>
        <w:t>, целью которой является определить значение экосистемных изменений для благосостояния человечества и научно обосновать выбор действий в ответ на эти изменения. С тех пор развитию экосистемного подхода в управлении содействуют мощные международные неправительственные организации, в том числе Всемирный банк и Глобальный экологический фонд.</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того чтобы избежать катастрофических для человечества развития событий, в октябре 2015 г. ООН утвердила документ «Преобразование нашего мира: Повестка дня в области устойчивого развития на период до 2030 года» </w:t>
      </w:r>
      <w:r w:rsidR="005F2A00">
        <w:rPr>
          <w:rFonts w:ascii="Times New Roman" w:eastAsia="Times New Roman" w:hAnsi="Times New Roman" w:cs="Times New Roman"/>
          <w:sz w:val="28"/>
          <w:szCs w:val="28"/>
        </w:rPr>
        <w:t>[5]</w:t>
      </w:r>
      <w:r>
        <w:rPr>
          <w:rFonts w:ascii="Times New Roman" w:eastAsia="Times New Roman" w:hAnsi="Times New Roman" w:cs="Times New Roman"/>
          <w:sz w:val="28"/>
          <w:szCs w:val="28"/>
        </w:rPr>
        <w:t>. Впервые на международном уровне были приняты 17 Целей и 169 задач устойчивого развития (далее – ЦУР). Связывающим звеном всех ЦУР является экосистемный подход.</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Республика Казахстан (РК) входит в число стран, где экологические проблемы проявляются довольно остро, но пока не находят адекватного решения на различных уровнях государственного управления.</w:t>
      </w:r>
      <w:r>
        <w:t xml:space="preserve"> </w:t>
      </w:r>
      <w:r>
        <w:rPr>
          <w:rFonts w:ascii="Times New Roman" w:eastAsia="Times New Roman" w:hAnsi="Times New Roman" w:cs="Times New Roman"/>
          <w:sz w:val="28"/>
          <w:szCs w:val="28"/>
        </w:rPr>
        <w:t xml:space="preserve">Экономическая модель развития страны сильно зависит от добывающего сектора. По доказанным запасам нефти РК находится на 12-м месте, и его доля составляет 1,8% мировых запасов. Среди стран СНГ Казахстан также является одним из лидеров по запасам и производству нефти, уступая лишь России. Примерно 70% запасов углеводородов сконцентрировано на западе РК </w:t>
      </w:r>
      <w:r w:rsidR="005F2A00">
        <w:rPr>
          <w:rFonts w:ascii="Times New Roman" w:eastAsia="Times New Roman" w:hAnsi="Times New Roman" w:cs="Times New Roman"/>
          <w:sz w:val="28"/>
          <w:szCs w:val="28"/>
        </w:rPr>
        <w:t>[6]</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Некоторые отрасли экономики уже подвержены последствиям изменения климата, по ряду отраслей ожидается дальнейшее ухудшение экологической ситуации. Учитывая, что экосистемы Казахстана обеспечивают население большим набором жизненно необходимых услуг, но многие из них частично деградированы, внедрение прогрессивных экономических инструментов регулирования природопользования является актуальной задачей.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последние годы Казахстан стал принимать активное участие в деятельности ЮНЕП, в 2016 г. ратифицировал Парижское соглашение по климату от 2015 г. </w:t>
      </w:r>
      <w:r w:rsidR="005F2A00">
        <w:rPr>
          <w:rFonts w:ascii="Times New Roman" w:eastAsia="Times New Roman" w:hAnsi="Times New Roman" w:cs="Times New Roman"/>
          <w:sz w:val="28"/>
          <w:szCs w:val="28"/>
        </w:rPr>
        <w:t xml:space="preserve">[7] </w:t>
      </w:r>
      <w:r>
        <w:rPr>
          <w:rFonts w:ascii="Times New Roman" w:eastAsia="Times New Roman" w:hAnsi="Times New Roman" w:cs="Times New Roman"/>
          <w:sz w:val="28"/>
          <w:szCs w:val="28"/>
        </w:rPr>
        <w:t xml:space="preserve">, активно развивает подходы к обеспечению устойчивого развития, совершенствует экологическое законодательство, основываясь на целесообразности и реальной возможности использования потенциала </w:t>
      </w:r>
      <w:r>
        <w:rPr>
          <w:rFonts w:ascii="Times New Roman" w:eastAsia="Times New Roman" w:hAnsi="Times New Roman" w:cs="Times New Roman"/>
          <w:sz w:val="28"/>
          <w:szCs w:val="28"/>
        </w:rPr>
        <w:lastRenderedPageBreak/>
        <w:t xml:space="preserve">международных организаций и мирового опыта для решения собственных экологических задач.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1 июля 2021 года в республике действует новый Экологический кодекс РК (ЭК РК) </w:t>
      </w:r>
      <w:r w:rsidR="005F2A00">
        <w:rPr>
          <w:rFonts w:ascii="Times New Roman" w:eastAsia="Times New Roman" w:hAnsi="Times New Roman" w:cs="Times New Roman"/>
          <w:sz w:val="28"/>
          <w:szCs w:val="28"/>
        </w:rPr>
        <w:t xml:space="preserve">[8] </w:t>
      </w:r>
      <w:r>
        <w:rPr>
          <w:rFonts w:ascii="Times New Roman" w:eastAsia="Times New Roman" w:hAnsi="Times New Roman" w:cs="Times New Roman"/>
          <w:sz w:val="28"/>
          <w:szCs w:val="28"/>
        </w:rPr>
        <w:t>. Новый ЭК РК базируется на 10 принципах: предотвращения; исправления; предосторожности; пропорциональности; «загрязнитель платит»; устойчивого развития; интеграции; доступности экологической информации; общественного участия; экосистемного подхода. Однако, действие этих принципов нуждается в практической имплементации, к которой лица, принимающие управленческие решения в сфере управления природными ресурсами и охраны окружающей среды, зачастую не готовы.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условиях объявленной ВОЗ пандемии коронавируса в 2020 году при сохранении традиционных вызовов (изменений климата на планете, ухудшения экологической ситуации в различных регионах мира, жесткой конкуренции между производителями и высокой волатильности мирового рынка углеводородов) для достижения поставленных стратегических целей в области устойчивого развития Казахстану необходимо быть готовым к новым угрозам. Реалии 2020 года поставили перед государством и обществом новую задачу - уделять особое внимание эпидемиологической безопасности в контексте экосистемного подхода к управлению.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того чтобы избежать катастрофических для человечества развития событий, в октябре 2015 г. ООН утвердила документ «Преобразование нашего мира: Повестка дня в области устойчивого развития на период до 2030 года», </w:t>
      </w:r>
      <w:r w:rsidR="005F2A00">
        <w:rPr>
          <w:rFonts w:ascii="Times New Roman" w:eastAsia="Times New Roman" w:hAnsi="Times New Roman" w:cs="Times New Roman"/>
          <w:sz w:val="28"/>
          <w:szCs w:val="28"/>
        </w:rPr>
        <w:t>[5]</w:t>
      </w:r>
      <w:r>
        <w:rPr>
          <w:rFonts w:ascii="Times New Roman" w:eastAsia="Times New Roman" w:hAnsi="Times New Roman" w:cs="Times New Roman"/>
          <w:sz w:val="28"/>
          <w:szCs w:val="28"/>
        </w:rPr>
        <w:t>. Впервые на международном уровне были приняты 17 Целей и 169 задач устойчивого развития (далее – ЦУР). Связывающим звеном всех ЦУР является экосистемный подход.</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Экономическое развитие Казахстана сильно зависит от добывающего сектора. По доказанным запасам нефти РК находится на 12-м месте, и его доля составляет 1,8% мировых запасов. Среди стран СНГ Казахстан также является одним из лидеров по запасам и производству нефти, уступая лишь России. Примерно 70% запасов углеводородов сконцентрировано на западе РК </w:t>
      </w:r>
      <w:r w:rsidR="005F2A00">
        <w:rPr>
          <w:rFonts w:ascii="Times New Roman" w:eastAsia="Times New Roman" w:hAnsi="Times New Roman" w:cs="Times New Roman"/>
          <w:sz w:val="28"/>
          <w:szCs w:val="28"/>
        </w:rPr>
        <w:t xml:space="preserve">[6, </w:t>
      </w:r>
      <w:r>
        <w:rPr>
          <w:rFonts w:ascii="Times New Roman" w:eastAsia="Times New Roman" w:hAnsi="Times New Roman" w:cs="Times New Roman"/>
          <w:sz w:val="28"/>
          <w:szCs w:val="28"/>
          <w:lang w:val="kk-KZ"/>
        </w:rPr>
        <w:t>с. 3-15</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Некоторые отрасли экономики уже подвержены последствиям изменения климата, по ряду отраслей ожидается дальнейшее ухудшение экологической ситуации. Учитывая, что экосистемы Казахстана обеспечивают население большим набором жизненно необходимых услуг, но многие из них частично деградированы, внедрение прогрессивных экономических инструментов регулирования природопользования является актуальной задачей. Республика Казахстан (РК) входит в число стран, где экологические проблемы проявляются довольно остро, они требуют эффективного регулирования на различных уровнях государственного управления для недопущения ухудшения окружающей среды и обеспечения устойчивого развития.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это в совокупности явилось основанием для выбора темы настоящей диссертационной работы.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Степень научной проработанности проблемы</w:t>
      </w:r>
      <w:r>
        <w:rPr>
          <w:rFonts w:ascii="Times New Roman" w:eastAsia="Times New Roman" w:hAnsi="Times New Roman" w:cs="Times New Roman"/>
          <w:sz w:val="28"/>
          <w:szCs w:val="28"/>
        </w:rPr>
        <w:t xml:space="preserve"> определяется ее новизной для казахстанской науки, слабой научно-методической и механизмов использования экосистемного подхода при принятии решений в системе государственного управления. Специфика и проблематика принятия управленческих решений в Казахстане в рамках экосистемного подхода до последнего времени практически не изучалась. Отсутствует описание практических кейсов принятия управленческих решений государственными органами на основе экосистемного подхода.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Научно-теоретические и методологические основы принятия управленческих решений в организации заложили в своих трудах М.</w:t>
      </w:r>
      <w:r>
        <w:rPr>
          <w:rFonts w:ascii="Times New Roman" w:eastAsia="Times New Roman" w:hAnsi="Times New Roman" w:cs="Times New Roman"/>
          <w:sz w:val="28"/>
          <w:szCs w:val="28"/>
          <w:lang w:val="kk-KZ"/>
        </w:rPr>
        <w:t> </w:t>
      </w:r>
      <w:r>
        <w:rPr>
          <w:rFonts w:ascii="Times New Roman" w:eastAsia="Times New Roman" w:hAnsi="Times New Roman" w:cs="Times New Roman"/>
          <w:sz w:val="28"/>
          <w:szCs w:val="28"/>
        </w:rPr>
        <w:t>Мескон, Дж. Фон Нейман и О. Моргенштерн, Г. Оуэн, Г. Саймон, А.А.</w:t>
      </w:r>
      <w:r>
        <w:rPr>
          <w:rFonts w:ascii="Times New Roman" w:eastAsia="Times New Roman" w:hAnsi="Times New Roman" w:cs="Times New Roman"/>
          <w:sz w:val="28"/>
          <w:szCs w:val="28"/>
          <w:lang w:val="kk-KZ"/>
        </w:rPr>
        <w:t> </w:t>
      </w:r>
      <w:r>
        <w:rPr>
          <w:rFonts w:ascii="Times New Roman" w:eastAsia="Times New Roman" w:hAnsi="Times New Roman" w:cs="Times New Roman"/>
          <w:sz w:val="28"/>
          <w:szCs w:val="28"/>
        </w:rPr>
        <w:t>Томпсон и А.Д.</w:t>
      </w:r>
      <w:r>
        <w:rPr>
          <w:rFonts w:ascii="Times New Roman" w:eastAsia="Times New Roman" w:hAnsi="Times New Roman" w:cs="Times New Roman"/>
          <w:sz w:val="28"/>
          <w:szCs w:val="28"/>
          <w:lang w:val="kk-KZ"/>
        </w:rPr>
        <w:t> </w:t>
      </w:r>
      <w:r>
        <w:rPr>
          <w:rFonts w:ascii="Times New Roman" w:eastAsia="Times New Roman" w:hAnsi="Times New Roman" w:cs="Times New Roman"/>
          <w:sz w:val="28"/>
          <w:szCs w:val="28"/>
        </w:rPr>
        <w:t>Стрикленд, П. Фишбери, S.O. Hansson, и др.</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истоков разработки экосистемного подхода в управлении стояли такие авторы, как Артур Джордж Тэнсли, Людвиг фон Берталанфи, Владимир Иванович Вернадский, Уильям Росс Эшби, Роберт Хардинг Уиттекер, Клод Вилли и другие исследователи, а также эксперты ООН и подведомственных ООН организаций.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Природу, особенности и классификации экосистемных услуг наиболее глубоко исследуют Р. Грут, Р. Костанза, Г. Дейли, П. Харрисон, С.Н. Бобылев, В.И. Данилов-Данильян и другие авторы. Однако до настоящего времени терминологический аппарат и унифицированная классификация экосистемных услуг в научной литературе не сложились.</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Отдельный массив исследований посвящен методам и моделям оценки экосистемных услуг и оценке экоэффективности. В наибольшей степени в этом направлении продвинулись такие авторы, как Р. Де Фриес, Х. Саарикоски и др. Однако, целый ряд научных проблем в этой области остаются дискуссионными и нерешенными.</w:t>
      </w:r>
    </w:p>
    <w:p w:rsidR="00EA72C7" w:rsidRPr="009531DE" w:rsidRDefault="00EA72C7" w:rsidP="00EA72C7">
      <w:pPr>
        <w:spacing w:after="0" w:line="240" w:lineRule="auto"/>
        <w:ind w:firstLine="709"/>
        <w:jc w:val="both"/>
        <w:rPr>
          <w:rFonts w:ascii="Times New Roman" w:eastAsia="Times New Roman" w:hAnsi="Times New Roman" w:cs="Times New Roman"/>
          <w:color w:val="000000" w:themeColor="text1"/>
          <w:sz w:val="28"/>
          <w:szCs w:val="28"/>
        </w:rPr>
      </w:pPr>
      <w:r w:rsidRPr="009531DE">
        <w:rPr>
          <w:rFonts w:ascii="Times New Roman" w:eastAsia="Times New Roman" w:hAnsi="Times New Roman" w:cs="Times New Roman"/>
          <w:color w:val="000000" w:themeColor="text1"/>
          <w:sz w:val="28"/>
          <w:szCs w:val="28"/>
        </w:rPr>
        <w:t>Важность изучения потребности в знаниях с точки зрения различных заинтересованных сторон, непосредственно</w:t>
      </w:r>
      <w:r>
        <w:rPr>
          <w:rFonts w:ascii="Times New Roman" w:eastAsia="Times New Roman" w:hAnsi="Times New Roman" w:cs="Times New Roman"/>
          <w:color w:val="000000" w:themeColor="text1"/>
          <w:sz w:val="28"/>
          <w:szCs w:val="28"/>
        </w:rPr>
        <w:t xml:space="preserve"> вовлеченных в</w:t>
      </w:r>
      <w:r w:rsidRPr="009531DE">
        <w:rPr>
          <w:rFonts w:ascii="Times New Roman" w:eastAsia="Times New Roman" w:hAnsi="Times New Roman" w:cs="Times New Roman"/>
          <w:color w:val="000000" w:themeColor="text1"/>
          <w:sz w:val="28"/>
          <w:szCs w:val="28"/>
        </w:rPr>
        <w:t xml:space="preserve"> концепци</w:t>
      </w:r>
      <w:r>
        <w:rPr>
          <w:rFonts w:ascii="Times New Roman" w:eastAsia="Times New Roman" w:hAnsi="Times New Roman" w:cs="Times New Roman"/>
          <w:color w:val="000000" w:themeColor="text1"/>
          <w:sz w:val="28"/>
          <w:szCs w:val="28"/>
        </w:rPr>
        <w:t>ю</w:t>
      </w:r>
      <w:r w:rsidRPr="009531DE">
        <w:rPr>
          <w:rFonts w:ascii="Times New Roman" w:eastAsia="Times New Roman" w:hAnsi="Times New Roman" w:cs="Times New Roman"/>
          <w:color w:val="000000" w:themeColor="text1"/>
          <w:sz w:val="28"/>
          <w:szCs w:val="28"/>
        </w:rPr>
        <w:t xml:space="preserve"> экосистемных систем, отмечается в работе Zihan Xua Jian Pengab</w:t>
      </w:r>
      <w:r w:rsidRPr="00E1458B">
        <w:rPr>
          <w:rFonts w:ascii="Times New Roman" w:eastAsia="Times New Roman" w:hAnsi="Times New Roman" w:cs="Times New Roman"/>
          <w:color w:val="000000" w:themeColor="text1"/>
          <w:sz w:val="28"/>
          <w:szCs w:val="28"/>
        </w:rPr>
        <w:t xml:space="preserve"> </w:t>
      </w:r>
      <w:r w:rsidR="005F2A00">
        <w:rPr>
          <w:rFonts w:ascii="Times New Roman" w:eastAsia="Times New Roman" w:hAnsi="Times New Roman" w:cs="Times New Roman"/>
          <w:color w:val="000000" w:themeColor="text1"/>
          <w:sz w:val="28"/>
          <w:szCs w:val="28"/>
        </w:rPr>
        <w:t xml:space="preserve">[9] </w:t>
      </w:r>
      <w:r w:rsidRPr="009531DE">
        <w:rPr>
          <w:rFonts w:ascii="Times New Roman" w:eastAsia="Times New Roman" w:hAnsi="Times New Roman" w:cs="Times New Roman"/>
          <w:color w:val="000000" w:themeColor="text1"/>
          <w:sz w:val="28"/>
          <w:szCs w:val="28"/>
        </w:rPr>
        <w:t xml:space="preserve">. Ключевыми вопросами, которые следует дополнительно исследовать, являются справедливость среди заинтересованных сторон и интеграция многомерных целей в процесс принятия решений. </w:t>
      </w:r>
    </w:p>
    <w:p w:rsidR="00EA72C7" w:rsidRPr="009531DE" w:rsidRDefault="00EA72C7" w:rsidP="00EA72C7">
      <w:pPr>
        <w:spacing w:after="0" w:line="240" w:lineRule="auto"/>
        <w:ind w:firstLine="709"/>
        <w:jc w:val="both"/>
        <w:rPr>
          <w:rFonts w:ascii="Times New Roman" w:eastAsia="Times New Roman" w:hAnsi="Times New Roman" w:cs="Times New Roman"/>
          <w:color w:val="000000" w:themeColor="text1"/>
          <w:sz w:val="28"/>
          <w:szCs w:val="28"/>
        </w:rPr>
      </w:pPr>
      <w:r w:rsidRPr="009531DE">
        <w:rPr>
          <w:rFonts w:ascii="Times New Roman" w:eastAsia="Times New Roman" w:hAnsi="Times New Roman" w:cs="Times New Roman"/>
          <w:color w:val="000000" w:themeColor="text1"/>
          <w:sz w:val="28"/>
          <w:szCs w:val="28"/>
        </w:rPr>
        <w:t>В работе Garcia-Blancoc подчеркивают необходимость рассматривать знание как процесс, ориентированный на действие. Обсуждается потенциал для разработки междисциплинарных исследовательских подходов, инструментов и методов для разработки более совместных практик с другими заинтересованными сторонами и содействия реализации концепции экосистемных услуг в разных контекстах</w:t>
      </w:r>
      <w:r w:rsidRPr="00E1458B">
        <w:rPr>
          <w:rFonts w:ascii="Times New Roman" w:eastAsia="Times New Roman" w:hAnsi="Times New Roman" w:cs="Times New Roman"/>
          <w:color w:val="000000" w:themeColor="text1"/>
          <w:sz w:val="28"/>
          <w:szCs w:val="28"/>
        </w:rPr>
        <w:t xml:space="preserve"> </w:t>
      </w:r>
      <w:r w:rsidR="005F2A00">
        <w:rPr>
          <w:rFonts w:ascii="Times New Roman" w:eastAsia="Times New Roman" w:hAnsi="Times New Roman" w:cs="Times New Roman"/>
          <w:color w:val="000000" w:themeColor="text1"/>
          <w:sz w:val="28"/>
          <w:szCs w:val="28"/>
        </w:rPr>
        <w:t xml:space="preserve">[10] </w:t>
      </w:r>
      <w:r w:rsidRPr="009531DE">
        <w:rPr>
          <w:rFonts w:ascii="Times New Roman" w:eastAsia="Times New Roman" w:hAnsi="Times New Roman" w:cs="Times New Roman"/>
          <w:color w:val="000000" w:themeColor="text1"/>
          <w:sz w:val="28"/>
          <w:szCs w:val="28"/>
        </w:rPr>
        <w:t>. В работе Jen Iris Allan рассмотрены подходы к экосистемным услугам как концепции международного управления, утверждается в практике экосистемных услуг преобладает наращивание потенциала, а не оценка природы</w:t>
      </w:r>
      <w:r w:rsidRPr="00E1458B">
        <w:rPr>
          <w:rFonts w:ascii="Times New Roman" w:eastAsia="Times New Roman" w:hAnsi="Times New Roman" w:cs="Times New Roman"/>
          <w:color w:val="000000" w:themeColor="text1"/>
          <w:sz w:val="28"/>
          <w:szCs w:val="28"/>
        </w:rPr>
        <w:t xml:space="preserve"> </w:t>
      </w:r>
      <w:r w:rsidR="005F2A00">
        <w:rPr>
          <w:rFonts w:ascii="Times New Roman" w:eastAsia="Times New Roman" w:hAnsi="Times New Roman" w:cs="Times New Roman"/>
          <w:color w:val="000000" w:themeColor="text1"/>
          <w:sz w:val="28"/>
          <w:szCs w:val="28"/>
        </w:rPr>
        <w:t xml:space="preserve">[11] </w:t>
      </w:r>
      <w:r w:rsidRPr="009531DE">
        <w:rPr>
          <w:rFonts w:ascii="Times New Roman" w:eastAsia="Times New Roman" w:hAnsi="Times New Roman" w:cs="Times New Roman"/>
          <w:color w:val="000000" w:themeColor="text1"/>
          <w:sz w:val="28"/>
          <w:szCs w:val="28"/>
        </w:rPr>
        <w:t xml:space="preserve">. Это говорит о том, что международное сообщество не использует широко концепцию оценки природы для формирования управленческих решений. В работе Wanyi Dai Li </w:t>
      </w:r>
      <w:r w:rsidRPr="009531DE">
        <w:rPr>
          <w:rFonts w:ascii="Times New Roman" w:eastAsia="Times New Roman" w:hAnsi="Times New Roman" w:cs="Times New Roman"/>
          <w:color w:val="000000" w:themeColor="text1"/>
          <w:sz w:val="28"/>
          <w:szCs w:val="28"/>
        </w:rPr>
        <w:lastRenderedPageBreak/>
        <w:t>рассматриваются контракты на оплату экосистемных услуг</w:t>
      </w:r>
      <w:r w:rsidRPr="00E1458B">
        <w:rPr>
          <w:rFonts w:ascii="Times New Roman" w:eastAsia="Times New Roman" w:hAnsi="Times New Roman" w:cs="Times New Roman"/>
          <w:color w:val="000000" w:themeColor="text1"/>
          <w:sz w:val="28"/>
          <w:szCs w:val="28"/>
        </w:rPr>
        <w:t xml:space="preserve"> </w:t>
      </w:r>
      <w:r w:rsidR="005F2A00">
        <w:rPr>
          <w:rFonts w:ascii="Times New Roman" w:eastAsia="Times New Roman" w:hAnsi="Times New Roman" w:cs="Times New Roman"/>
          <w:color w:val="000000" w:themeColor="text1"/>
          <w:sz w:val="28"/>
          <w:szCs w:val="28"/>
        </w:rPr>
        <w:t xml:space="preserve">[12] </w:t>
      </w:r>
      <w:r w:rsidRPr="009531DE">
        <w:rPr>
          <w:rFonts w:ascii="Times New Roman" w:eastAsia="Times New Roman" w:hAnsi="Times New Roman" w:cs="Times New Roman"/>
          <w:color w:val="000000" w:themeColor="text1"/>
          <w:sz w:val="28"/>
          <w:szCs w:val="28"/>
        </w:rPr>
        <w:t>. Эмпирические оценки показывают, что такие программы, которые платят лесовладельцам за сохранение леса, могут привести к чему угодно: от нулевого воздействия до 50-процентного снижения уровня обезлесения, используется модель «принципал-агент», в которой агент имеет наблюдаемый объем первоначальных лесных угодий и известный в частном порядке базовый уровень сохранения. Обычно используемые условные контракты работают хорошо, когда экологическая ценность леса достаточно высока или достаточно низка, но могут быть сколь угодно плохими по сравнению с оптимальным контрактом для промежуточных значений. В работе K.</w:t>
      </w:r>
      <w:r>
        <w:rPr>
          <w:rFonts w:ascii="Times New Roman" w:eastAsia="Times New Roman" w:hAnsi="Times New Roman" w:cs="Times New Roman"/>
          <w:color w:val="000000" w:themeColor="text1"/>
          <w:sz w:val="28"/>
          <w:szCs w:val="28"/>
          <w:lang w:val="kk-KZ"/>
        </w:rPr>
        <w:t xml:space="preserve"> </w:t>
      </w:r>
      <w:r w:rsidRPr="009531DE">
        <w:rPr>
          <w:rFonts w:ascii="Times New Roman" w:eastAsia="Times New Roman" w:hAnsi="Times New Roman" w:cs="Times New Roman"/>
          <w:color w:val="000000" w:themeColor="text1"/>
          <w:sz w:val="28"/>
          <w:szCs w:val="28"/>
        </w:rPr>
        <w:t>Grunewalda представлен краткий обзор уроков, извлеченных из внедрения подхода экосистемных услуг (ЭУ) в практику городского планирования в различных европейских городских условиях</w:t>
      </w:r>
      <w:r w:rsidRPr="00E1458B">
        <w:rPr>
          <w:rFonts w:ascii="Times New Roman" w:eastAsia="Times New Roman" w:hAnsi="Times New Roman" w:cs="Times New Roman"/>
          <w:color w:val="000000" w:themeColor="text1"/>
          <w:sz w:val="28"/>
          <w:szCs w:val="28"/>
        </w:rPr>
        <w:t xml:space="preserve"> </w:t>
      </w:r>
      <w:r w:rsidR="005F2A00">
        <w:rPr>
          <w:rFonts w:ascii="Times New Roman" w:eastAsia="Times New Roman" w:hAnsi="Times New Roman" w:cs="Times New Roman"/>
          <w:color w:val="000000" w:themeColor="text1"/>
          <w:sz w:val="28"/>
          <w:szCs w:val="28"/>
        </w:rPr>
        <w:t xml:space="preserve">[13] </w:t>
      </w:r>
      <w:r w:rsidRPr="009531DE">
        <w:rPr>
          <w:rFonts w:ascii="Times New Roman" w:eastAsia="Times New Roman" w:hAnsi="Times New Roman" w:cs="Times New Roman"/>
          <w:color w:val="000000" w:themeColor="text1"/>
          <w:sz w:val="28"/>
          <w:szCs w:val="28"/>
        </w:rPr>
        <w:t xml:space="preserve">. Ключевые выводы работы - концепция ЭУ поддерживает принятие решений, а также пространственное планирование, она наиболее полезна в качестве инструмента коммуникации, а монетизация и общественное давление могут рассматриваться как способствующие факторы. Барьерами являются отсутствие фактических данных, в том числе тематических исследований, стандартизированных методов и критериев для оценки природы, и ее преимуществ, отсутствие законодательства/реформы, ограниченный потенциал и нежелание применять ЭУ в практике планирования, а также ограниченное участие общественности, описаны факторы, </w:t>
      </w:r>
      <w:r>
        <w:rPr>
          <w:rFonts w:ascii="Times New Roman" w:eastAsia="Times New Roman" w:hAnsi="Times New Roman" w:cs="Times New Roman"/>
          <w:color w:val="000000" w:themeColor="text1"/>
          <w:sz w:val="28"/>
          <w:szCs w:val="28"/>
        </w:rPr>
        <w:t>в условиях которых</w:t>
      </w:r>
      <w:r w:rsidRPr="009531DE">
        <w:rPr>
          <w:rFonts w:ascii="Times New Roman" w:eastAsia="Times New Roman" w:hAnsi="Times New Roman" w:cs="Times New Roman"/>
          <w:color w:val="000000" w:themeColor="text1"/>
          <w:sz w:val="28"/>
          <w:szCs w:val="28"/>
        </w:rPr>
        <w:t xml:space="preserve"> концепция наиболее актуальна и полезна для градостроителей и лиц, принимающих решения.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настоящее время наукой и практикой все более востребованы научные и эмпирические исследования, затрагивающие специфику и проблематику экосистемного подхода при принятии управленческих решений, в том числе государственными институтами, частным сектором экономики с целью снижения экологических рисков и угроз, обеспечивая переход на международные стандарты экологического менеджмента. Данная научная область пока мало исследована, а практика нуждается в обобщении и глубоком анализе.</w:t>
      </w:r>
    </w:p>
    <w:p w:rsidR="00EA72C7" w:rsidRDefault="00EA72C7" w:rsidP="00EA72C7">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исследовании использовался комплекс методологических подходов и методов научного познания, в том числе экосистемный, информационный и экономический подходы, концепции экологической эффективности и экосистемных услуг; количественные и качественные методы анализа данных, в том числе анализ статистических данных, документов, контент анализа, наблюдения, эмпирические методы кейсов, количественный и качественный подход в обработке результатов экспертного опроса; биофизические методы картирования экосистемных услуг с привязкой к расположению природного объекта; методы </w:t>
      </w:r>
      <w:r>
        <w:rPr>
          <w:rFonts w:ascii="Times New Roman" w:eastAsia="Times New Roman" w:hAnsi="Times New Roman" w:cs="Times New Roman"/>
          <w:sz w:val="28"/>
          <w:szCs w:val="28"/>
        </w:rPr>
        <w:t xml:space="preserve">актуализации </w:t>
      </w:r>
      <w:r>
        <w:rPr>
          <w:rFonts w:ascii="Times New Roman" w:eastAsia="Times New Roman" w:hAnsi="Times New Roman" w:cs="Times New Roman"/>
          <w:color w:val="000000"/>
          <w:sz w:val="28"/>
          <w:szCs w:val="28"/>
        </w:rPr>
        <w:t xml:space="preserve">понимания ценностей экосистемных услуг, анализ документов, </w:t>
      </w:r>
      <w:r>
        <w:rPr>
          <w:rFonts w:ascii="Times New Roman" w:eastAsia="Times New Roman" w:hAnsi="Times New Roman" w:cs="Times New Roman"/>
          <w:sz w:val="28"/>
          <w:szCs w:val="28"/>
        </w:rPr>
        <w:t xml:space="preserve">метод имплементации </w:t>
      </w:r>
      <w:r>
        <w:rPr>
          <w:rFonts w:ascii="Times New Roman" w:eastAsia="Times New Roman" w:hAnsi="Times New Roman" w:cs="Times New Roman"/>
          <w:color w:val="000000"/>
          <w:sz w:val="28"/>
          <w:szCs w:val="28"/>
        </w:rPr>
        <w:t xml:space="preserve">международных баз данных </w:t>
      </w:r>
      <w:r>
        <w:rPr>
          <w:rFonts w:ascii="Times New Roman" w:eastAsia="Times New Roman" w:hAnsi="Times New Roman" w:cs="Times New Roman"/>
          <w:sz w:val="28"/>
          <w:szCs w:val="28"/>
        </w:rPr>
        <w:t xml:space="preserve">для </w:t>
      </w:r>
      <w:r>
        <w:rPr>
          <w:rFonts w:ascii="Times New Roman" w:eastAsia="Times New Roman" w:hAnsi="Times New Roman" w:cs="Times New Roman"/>
          <w:color w:val="000000"/>
          <w:sz w:val="28"/>
          <w:szCs w:val="28"/>
        </w:rPr>
        <w:t>оценк</w:t>
      </w:r>
      <w:r>
        <w:rPr>
          <w:rFonts w:ascii="Times New Roman" w:eastAsia="Times New Roman" w:hAnsi="Times New Roman" w:cs="Times New Roman"/>
          <w:sz w:val="28"/>
          <w:szCs w:val="28"/>
        </w:rPr>
        <w:t>и</w:t>
      </w:r>
      <w:r>
        <w:rPr>
          <w:rFonts w:ascii="Times New Roman" w:eastAsia="Times New Roman" w:hAnsi="Times New Roman" w:cs="Times New Roman"/>
          <w:color w:val="000000"/>
          <w:sz w:val="28"/>
          <w:szCs w:val="28"/>
        </w:rPr>
        <w:t xml:space="preserve"> экосистемны</w:t>
      </w:r>
      <w:r>
        <w:rPr>
          <w:rFonts w:ascii="Times New Roman" w:eastAsia="Times New Roman" w:hAnsi="Times New Roman" w:cs="Times New Roman"/>
          <w:sz w:val="28"/>
          <w:szCs w:val="28"/>
        </w:rPr>
        <w:t xml:space="preserve">х </w:t>
      </w:r>
      <w:r>
        <w:rPr>
          <w:rFonts w:ascii="Times New Roman" w:eastAsia="Times New Roman" w:hAnsi="Times New Roman" w:cs="Times New Roman"/>
          <w:color w:val="000000"/>
          <w:sz w:val="28"/>
          <w:szCs w:val="28"/>
        </w:rPr>
        <w:t xml:space="preserve">услуг (ESVD); методы </w:t>
      </w:r>
      <w:r>
        <w:rPr>
          <w:rFonts w:ascii="Times New Roman" w:eastAsia="Times New Roman" w:hAnsi="Times New Roman" w:cs="Times New Roman"/>
          <w:sz w:val="28"/>
          <w:szCs w:val="28"/>
        </w:rPr>
        <w:t>прогнозирования</w:t>
      </w:r>
      <w:r>
        <w:rPr>
          <w:rFonts w:ascii="Times New Roman" w:eastAsia="Times New Roman" w:hAnsi="Times New Roman" w:cs="Times New Roman"/>
          <w:color w:val="000000"/>
          <w:sz w:val="28"/>
          <w:szCs w:val="28"/>
        </w:rPr>
        <w:t xml:space="preserve"> экологических и социальных конфликтов, авторск</w:t>
      </w:r>
      <w:r>
        <w:rPr>
          <w:rFonts w:ascii="Times New Roman" w:eastAsia="Times New Roman" w:hAnsi="Times New Roman" w:cs="Times New Roman"/>
          <w:sz w:val="28"/>
          <w:szCs w:val="28"/>
        </w:rPr>
        <w:t>ая</w:t>
      </w:r>
      <w:r>
        <w:rPr>
          <w:rFonts w:ascii="Times New Roman" w:eastAsia="Times New Roman" w:hAnsi="Times New Roman" w:cs="Times New Roman"/>
          <w:color w:val="000000"/>
          <w:sz w:val="28"/>
          <w:szCs w:val="28"/>
        </w:rPr>
        <w:t xml:space="preserve"> методик</w:t>
      </w:r>
      <w:r>
        <w:rPr>
          <w:rFonts w:ascii="Times New Roman" w:eastAsia="Times New Roman" w:hAnsi="Times New Roman" w:cs="Times New Roman"/>
          <w:sz w:val="28"/>
          <w:szCs w:val="28"/>
        </w:rPr>
        <w:t>а комбинированного</w:t>
      </w:r>
      <w:r>
        <w:rPr>
          <w:rFonts w:ascii="Times New Roman" w:eastAsia="Times New Roman" w:hAnsi="Times New Roman" w:cs="Times New Roman"/>
          <w:color w:val="000000"/>
          <w:sz w:val="28"/>
          <w:szCs w:val="28"/>
        </w:rPr>
        <w:t xml:space="preserve"> анализа данных.</w:t>
      </w:r>
    </w:p>
    <w:p w:rsidR="00EA72C7" w:rsidRDefault="00EA72C7" w:rsidP="00EA72C7">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Н</w:t>
      </w:r>
      <w:r>
        <w:rPr>
          <w:rFonts w:ascii="Times New Roman" w:eastAsia="Times New Roman" w:hAnsi="Times New Roman" w:cs="Times New Roman"/>
          <w:color w:val="000000"/>
          <w:sz w:val="28"/>
          <w:szCs w:val="28"/>
        </w:rPr>
        <w:t>есмотря на значительные успехи в деле включения экосистемного подхода в политику, практический охват не достаточен. Наиболее серьезные проблемы связаны также с непоследовательностью методологических подходов, особенно к оценке, составлению карт и моделированию.</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Объекты исследования</w:t>
      </w:r>
      <w:r>
        <w:rPr>
          <w:rFonts w:ascii="Times New Roman" w:eastAsia="Times New Roman" w:hAnsi="Times New Roman" w:cs="Times New Roman"/>
          <w:sz w:val="28"/>
          <w:szCs w:val="28"/>
        </w:rPr>
        <w:t>: методы и процессы принятия управленческих решений на основе экосистемного подхода.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Предмет исследования</w:t>
      </w:r>
      <w:r>
        <w:rPr>
          <w:rFonts w:ascii="Times New Roman" w:eastAsia="Times New Roman" w:hAnsi="Times New Roman" w:cs="Times New Roman"/>
          <w:sz w:val="28"/>
          <w:szCs w:val="28"/>
        </w:rPr>
        <w:t xml:space="preserve"> – социально-экономические и общественные отношения, затрагивающие состояние окружающей среды при принятии управленческих решений государственными органами.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Предварительный анализ состояния экологического законодательства, экосистем и публичной сферы принятия управленческих решений в области охраны окружающей среды в Республике Казахстан, позволил сформулировать две рабочих гипотезы исследования.</w:t>
      </w:r>
    </w:p>
    <w:p w:rsidR="00EA72C7" w:rsidRDefault="00EA72C7" w:rsidP="00EA72C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Первая гипотеза</w:t>
      </w:r>
      <w:r>
        <w:rPr>
          <w:rFonts w:ascii="Times New Roman" w:eastAsia="Times New Roman" w:hAnsi="Times New Roman" w:cs="Times New Roman"/>
          <w:sz w:val="28"/>
          <w:szCs w:val="28"/>
        </w:rPr>
        <w:t>: Управленческие решения на основе экосистемного подхода в Казахстане практически отсутствуют по причинам непонимания лицами, принимающими решения, его сущности и роли для экономики и общества, отсутствия единого подхода к экосистемному планированию и регулированию, рассогласованности отраслевых законодательных актов, политик, программ, управленческих планов на местном, региональном, национальном уровнях. В частности, не учитывается оценка экосистемных услуг в городском планировании.</w:t>
      </w:r>
    </w:p>
    <w:p w:rsidR="00EA72C7" w:rsidRDefault="00EA72C7" w:rsidP="00EA72C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Вторая гипотеза</w:t>
      </w:r>
      <w:r>
        <w:rPr>
          <w:rFonts w:ascii="Times New Roman" w:eastAsia="Times New Roman" w:hAnsi="Times New Roman" w:cs="Times New Roman"/>
          <w:sz w:val="28"/>
          <w:szCs w:val="28"/>
        </w:rPr>
        <w:t>: Управленческие решения на основе экосистемного подхода слабо интегрированы в систему государственного управления. В настоящее время существуют препятствия на пути внедрения экосистемного подхода в государственном управлении; управленческие решения в Казахстане не принимаются по причине отсутствия общей концепции экосистемных услуг и необходимости учитывать их при принятии управленческих решений, не хватает систематического руководства тем, что измерять, а также стандартов экосистемных услуг.</w:t>
      </w:r>
    </w:p>
    <w:p w:rsidR="00EA72C7" w:rsidRDefault="00EA72C7" w:rsidP="00EA72C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Третья гипотеза: </w:t>
      </w:r>
      <w:r>
        <w:rPr>
          <w:rFonts w:ascii="Times New Roman" w:eastAsia="Times New Roman" w:hAnsi="Times New Roman" w:cs="Times New Roman"/>
          <w:sz w:val="28"/>
          <w:szCs w:val="28"/>
        </w:rPr>
        <w:t>Внедрение оценки экосистемных услуг в систему государственного управления позволит повысить эффективность принимаемых решений посредством расширения альтернатив выбора решений, придания легитимности решениям, предотвращения конфликтов путем привлечения и учета мнения общественности и экспертов по вопросам экологической составляющей развития отраслей и территорий, эффективного использования финансовых средств в том числе путем применения природных решений, учета долгосрочного эффекта в государственном планировании, управления климатическими рисками и адаптации к изменению климата.</w:t>
      </w:r>
    </w:p>
    <w:p w:rsidR="00EA72C7" w:rsidRDefault="00EA72C7" w:rsidP="00EA72C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Целью диссертации</w:t>
      </w:r>
      <w:r>
        <w:rPr>
          <w:rFonts w:ascii="Times New Roman" w:eastAsia="Times New Roman" w:hAnsi="Times New Roman" w:cs="Times New Roman"/>
          <w:sz w:val="28"/>
          <w:szCs w:val="28"/>
        </w:rPr>
        <w:t xml:space="preserve"> Разработка рекомендаций по имплементации экосистемного подхода в практику принятия управленческих решений в Республике Казахстан.</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Задачи исследования</w:t>
      </w:r>
      <w:r>
        <w:rPr>
          <w:rFonts w:ascii="Times New Roman" w:eastAsia="Times New Roman" w:hAnsi="Times New Roman" w:cs="Times New Roman"/>
          <w:sz w:val="28"/>
          <w:szCs w:val="28"/>
        </w:rPr>
        <w:t>:</w:t>
      </w:r>
    </w:p>
    <w:p w:rsidR="00EA72C7" w:rsidRDefault="00EA72C7" w:rsidP="00EA72C7">
      <w:pPr>
        <w:spacing w:after="0" w:line="240" w:lineRule="auto"/>
        <w:ind w:left="-142"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проанализировать концептуальные основы и эволюцию теоретических взглядов на экосистемные услуги и экосистемный подход в управлении, а также </w:t>
      </w:r>
      <w:r>
        <w:rPr>
          <w:rFonts w:ascii="Times New Roman" w:eastAsia="Times New Roman" w:hAnsi="Times New Roman" w:cs="Times New Roman"/>
          <w:sz w:val="28"/>
          <w:szCs w:val="28"/>
        </w:rPr>
        <w:lastRenderedPageBreak/>
        <w:t>и принципы, методы и модели принятия управленческих решений в рамках данного подхода;</w:t>
      </w:r>
    </w:p>
    <w:p w:rsidR="00EA72C7" w:rsidRDefault="00EA72C7" w:rsidP="00EA72C7">
      <w:pPr>
        <w:spacing w:after="0" w:line="240" w:lineRule="auto"/>
        <w:ind w:left="-142"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оценить институциональные и законодательные основы деятельности государственных институтов РК в сфере управления природными ресурсами, выявить проблемы принятия и реализации управленческих решений в данной области;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провести экономическую оценку экосистемных услуг для обоснования управленческих решений в городском планировании на примере системы озер Талдыколь;</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исследовать механизмы и практики вовлечения заинтересованных сторон в принятие управленческих решений посредством case-study и подготовить рекомендации по имплементации экосистемного подхода в практику принятия управленческих решений в Республике Казахстан.</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Информационная база исследования </w:t>
      </w:r>
      <w:r>
        <w:rPr>
          <w:rFonts w:ascii="Times New Roman" w:eastAsia="Times New Roman" w:hAnsi="Times New Roman" w:cs="Times New Roman"/>
          <w:sz w:val="28"/>
          <w:szCs w:val="28"/>
        </w:rPr>
        <w:t>включает: международно-правовые акты, нормативные акты и государственные программы РК, документы и материалы министерств и ведомств РК, данные Бюро национальной статистики РК, материалы ООН, правительственных и неправительственных организаций, научные доклады, проекты и публикации по теме исследования и специализированные Интернет-источники, материалы зарубежных исследований, материалы СМИ и результаты исследования, полученные лично автором, базу данных по оценке экосистемных услуг (ESVD).</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Научная новизна исследования</w:t>
      </w:r>
      <w:r>
        <w:rPr>
          <w:rFonts w:ascii="Times New Roman" w:eastAsia="Times New Roman" w:hAnsi="Times New Roman" w:cs="Times New Roman"/>
          <w:sz w:val="28"/>
          <w:szCs w:val="28"/>
        </w:rPr>
        <w:t xml:space="preserve"> выражается в следующем: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эмпирически определена зависимость показателей устойчивости экономического роста от количественных и качественных показателей природных ресурсов;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разработана классификация факторов воздействия сельского хозяйства на экосистемные услуги;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идентифицированы и проанализированы факторы, влияющие на развитие экосистемного подхода в органах управления природными ресурсами Республики Казахстан. Выработаны рекомендации по комплексному улучшению окружающей среды в Казахстане на основе оценки знаний, понимания экосистемного подхода представителями государственной власти в Республике Казахстан;</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предложена авторская методика комбинированной стратегии методов исследования, состоящая из результатов количественного - анализа статистического данных ESVD и качественного - контент анализа стратегических документов;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разработан практический кейс по использованию оценки экосистемных услуг в городском планировании с целью выбора наиболее эффективного управленческого решения;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разработан практический кейс с описанием факторов, влияющих на успешность выстраивания коммуникаций в сфере управления природными ресурсами, предполагающее управление рисками социальных конфликтов, </w:t>
      </w:r>
      <w:r>
        <w:rPr>
          <w:rFonts w:ascii="Times New Roman" w:eastAsia="Times New Roman" w:hAnsi="Times New Roman" w:cs="Times New Roman"/>
          <w:sz w:val="28"/>
          <w:szCs w:val="28"/>
        </w:rPr>
        <w:lastRenderedPageBreak/>
        <w:t>создание институциональных механизмов гармоничного взаимодействия заинтересованных сторон, доступность данных;</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разработаны рекомендации по формированию экологической культуры;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разработана информационно-коммуникационная модель взаимодействия государственных органов, населения, НПО и бизнеса в вопросах управления экологическими знаниями. База знаний должна быть доступна широким слоям и лицам, принимающим решений для накопления, структуризации, анализа прогнозирования и обоснования решений. </w:t>
      </w:r>
    </w:p>
    <w:p w:rsidR="00EA72C7" w:rsidRDefault="00EA72C7" w:rsidP="00EA72C7">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защиту выносятся следующие положения:</w:t>
      </w:r>
    </w:p>
    <w:p w:rsidR="00EA72C7" w:rsidRDefault="00EA72C7" w:rsidP="00EA72C7">
      <w:pPr>
        <w:numPr>
          <w:ilvl w:val="0"/>
          <w:numId w:val="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Состояние экосистем, а также рациональность и эффективность использования природных ресурсов предопределяет качество жизни населения и устойчивость экономики в долгосрочном периоде.</w:t>
      </w:r>
    </w:p>
    <w:p w:rsidR="00EA72C7" w:rsidRDefault="00EA72C7" w:rsidP="00EA72C7">
      <w:pPr>
        <w:numPr>
          <w:ilvl w:val="0"/>
          <w:numId w:val="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сельском хозяйстве затребованы экосистемные услуги, имеющие наибольшую рыночную ценность (продукты питания, вода, древесина, рыбная продукция), в ущерб регулятивным услугам (климат, качество воздуха, смягчение экстремальных погодных явлений, очистка сточных вод, поддержание плодородия почвы, опыление, биоразнообразие, биологический контроль и др</w:t>
      </w:r>
      <w:r>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rPr>
        <w:t xml:space="preserve">), которые столь же важны, но менее очевидны. </w:t>
      </w:r>
    </w:p>
    <w:p w:rsidR="00EA72C7" w:rsidRDefault="00EA72C7" w:rsidP="00EA72C7">
      <w:pPr>
        <w:numPr>
          <w:ilvl w:val="0"/>
          <w:numId w:val="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Уровень подготовки ЛПР, в области управления природными ресурсами в Казахстане не позволяет в полной мере последовательно реализовать переход к экосистемного подходу в силу отсутствия межведомственной коммуникации и комплексного подхода в улучшении экологической ситуации.</w:t>
      </w:r>
    </w:p>
    <w:p w:rsidR="00EA72C7" w:rsidRDefault="00EA72C7" w:rsidP="00EA72C7">
      <w:pPr>
        <w:numPr>
          <w:ilvl w:val="0"/>
          <w:numId w:val="9"/>
        </w:numPr>
        <w:pBdr>
          <w:top w:val="nil"/>
          <w:left w:val="nil"/>
          <w:bottom w:val="nil"/>
          <w:right w:val="nil"/>
          <w:between w:val="nil"/>
        </w:pBdr>
        <w:tabs>
          <w:tab w:val="left" w:pos="993"/>
        </w:tabs>
        <w:spacing w:after="0" w:line="240" w:lineRule="auto"/>
        <w:ind w:left="0" w:firstLine="77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Применение комбинированной стратегии методов исследования, в условиях ограниченности временных и финансовых ресурсов позволяет получить и верифицировать данные, полученные одним методом, посредством применения другого метода.</w:t>
      </w:r>
    </w:p>
    <w:p w:rsidR="00EA72C7" w:rsidRDefault="00EA72C7" w:rsidP="00EA72C7">
      <w:pPr>
        <w:numPr>
          <w:ilvl w:val="0"/>
          <w:numId w:val="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Оценка процессов принятия градостроительных решений в соответствии с принципами эффективного управления (principles of good governance) позволяет выявить слабые места управления и предоставляет возможность найти пути совершенствования управленческой системы.</w:t>
      </w:r>
    </w:p>
    <w:p w:rsidR="00EA72C7" w:rsidRDefault="00EA72C7" w:rsidP="00EA72C7">
      <w:pPr>
        <w:numPr>
          <w:ilvl w:val="0"/>
          <w:numId w:val="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Действия власти по уменьшению и игнорированию проблемы, непрозрачность принимаемых решений, намеренная дезориентация, к эскалации конфликта в конечном запускает мобилизацию и консолидацию усилий для достижения цели, и институционализацию гражданского движения</w:t>
      </w:r>
    </w:p>
    <w:p w:rsidR="00EA72C7" w:rsidRDefault="00EA72C7" w:rsidP="00EA72C7">
      <w:pPr>
        <w:numPr>
          <w:ilvl w:val="0"/>
          <w:numId w:val="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Важным условием успешности реализации политики по переходу к экосистемному управлению является повышение экологической культуры посредством повышения квалификации и переподготовки государственных служащих, а также просветительская работа среди населения для актуализации вопросов важности связи окружающей среды и качества жизни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первая исследовательская гипотеза нашла свое подтверждение – доказано, что необходим учет оценки экосистемных услуг в городском планировании, что позволит повысить экономическую эффективность принимаемых управленческих решений.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 результатам общей экономической оценки водно-болотных угодий Талдыкольской системы озер (Категория 1: группа озер Малый Талдыколь + Категория 2: оз. Большой Талдыколь, оз. Ульмес) (Приложение А) было установлено, что экономическая ценность снабжающих услуг группы озер М. Талдыколь (1 категория) составляет 1 295 296 тыс. тенге; регулирующих услуг - 13 452 936 тыс. тенге; услуг среды обитания - 2 386 321 тыс. тенге; культурных услуг - 3 256 505 тыс. тенге; в совокупности общая экономическая ценность группы озер М. Талдыколь составляет 20 391 057 тыс. тенге.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Нашла подтверждение и вторая гипотеза исследования – в настоящее время существуют препятствия на пути внедрения экосистемного подхода в государственном управлении. В числе таких препятствий автором выявлены: отсутствие стратегического экологического видения в государственной политике; индикаторы государственных отраслевых программ не согласованы и зачастую противоречат целям устойчивого развития; отсутствие механизма эффективного взаимодействия органов государственного управления природными ресурсами; отсутствие доступной Единой информационной системы, где формализованы все параметры состояния природных ресурсов; отсутствие преемственности между уровнями государственного управления; слабое использование потенциала местных знаний в процессе государственного планирования и принятия решений; отсутствие внешних стейкхолдеров, которые будут являться как источником, так и получателем экологической информации.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 пришел к выводу, что для полного запуска всех параметров устойчивого развития Казахстана, позволяющего оказаться в тридцатке самых развитых стран мира, и отдельных территорий страны, в частности, необходимы реальные шаги по полноценному внедрению экосистемного подхода в практику публичного управления. В их числе: полная инвентаризация и интеграция всех данных ведомственных систем учета с использованием новых технологий BIG DATA, экосистемные услуги необходимо включить в системы национальных счетов для отражения их вклада в экономику; обеспечение лиц, принимающих решения, объективной и полной информацией о состоянии экосистем и экологической безопасности, что повлияет на качество принятия решений в системе госуправления; обеспечение лиц, принимающих решения, эффективными методами интерпретации научной информации для принятия обоснованных решений; переоценка процесса принятия управленческих решений в период перехода на цифровую модель и принципам экосистемного подхода в госуправлении, поскольку некоторые из них вместо пользы и выгод наносят ущерб окружающей среде; разработка комплекса мер по поддержке бизнеса по внедрению экосистемного подхода в различных отраслях экономики и сельском хозяйстве в особенности.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Структура диссертации.</w:t>
      </w:r>
      <w:r>
        <w:rPr>
          <w:rFonts w:ascii="Times New Roman" w:eastAsia="Times New Roman" w:hAnsi="Times New Roman" w:cs="Times New Roman"/>
          <w:sz w:val="28"/>
          <w:szCs w:val="28"/>
        </w:rPr>
        <w:t xml:space="preserve"> Диссертация состоит из 143 страниц, введения, основную часть, состоящую из трех разделов, заключения, списка </w:t>
      </w:r>
      <w:r w:rsidRPr="00365746">
        <w:rPr>
          <w:rFonts w:ascii="Times New Roman" w:eastAsia="Times New Roman" w:hAnsi="Times New Roman" w:cs="Times New Roman"/>
          <w:sz w:val="28"/>
          <w:szCs w:val="28"/>
        </w:rPr>
        <w:t xml:space="preserve">использованных источников (200 наименований) и двенадцати приложений. </w:t>
      </w:r>
      <w:r>
        <w:rPr>
          <w:rFonts w:ascii="Times New Roman" w:eastAsia="Times New Roman" w:hAnsi="Times New Roman" w:cs="Times New Roman"/>
          <w:sz w:val="28"/>
          <w:szCs w:val="28"/>
        </w:rPr>
        <w:t>Работа включает 18 рисунков и 16 таблиц.</w:t>
      </w:r>
    </w:p>
    <w:p w:rsidR="00EA72C7" w:rsidRDefault="00EA72C7" w:rsidP="00EA72C7">
      <w:pPr>
        <w:pStyle w:val="1"/>
        <w:spacing w:before="0" w:line="240" w:lineRule="auto"/>
        <w:ind w:firstLine="709"/>
        <w:jc w:val="both"/>
        <w:rPr>
          <w:rFonts w:ascii="Times New Roman" w:eastAsia="Times New Roman" w:hAnsi="Times New Roman" w:cs="Times New Roman"/>
          <w:color w:val="000000"/>
        </w:rPr>
      </w:pPr>
      <w:bookmarkStart w:id="5" w:name="_heading=h.2et92p0" w:colFirst="0" w:colLast="0"/>
      <w:bookmarkEnd w:id="5"/>
      <w:r>
        <w:rPr>
          <w:rFonts w:ascii="Times New Roman" w:eastAsia="Times New Roman" w:hAnsi="Times New Roman" w:cs="Times New Roman"/>
          <w:color w:val="000000"/>
        </w:rPr>
        <w:lastRenderedPageBreak/>
        <w:t>1 НАУЧНО-ТЕОРЕТИЧЕСКИЕ ОСНОВЫ ЭКОСИСТЕМНОГО ПОДХОДА ПРИ ПРИНЯТИИ УПРАВЛЕНЧЕСКИХ РЕШЕНИЙ</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pStyle w:val="2"/>
        <w:spacing w:before="0" w:line="240" w:lineRule="auto"/>
        <w:ind w:firstLine="709"/>
        <w:jc w:val="both"/>
        <w:rPr>
          <w:rFonts w:ascii="Times New Roman" w:eastAsia="Times New Roman" w:hAnsi="Times New Roman" w:cs="Times New Roman"/>
          <w:color w:val="000000"/>
          <w:sz w:val="28"/>
          <w:szCs w:val="28"/>
        </w:rPr>
      </w:pPr>
      <w:bookmarkStart w:id="6" w:name="_heading=h.tyjcwt" w:colFirst="0" w:colLast="0"/>
      <w:bookmarkEnd w:id="6"/>
      <w:r>
        <w:rPr>
          <w:rFonts w:ascii="Times New Roman" w:eastAsia="Times New Roman" w:hAnsi="Times New Roman" w:cs="Times New Roman"/>
          <w:color w:val="000000"/>
          <w:sz w:val="28"/>
          <w:szCs w:val="28"/>
        </w:rPr>
        <w:t>1.1 Концептуальные основы и эволюция теоретических взглядов на экосистему, экосистемные услуги и экосистемный подход в управлении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Экологические проблемы одни из главных глобальных проблем в мире в XXI веке, носящий экстерриториальный характер. Ни одна нация не может сегодня решить экологические проблемы в одиночку. Поэтому их необходимо решать на основе международного сотрудничества и усилиями всех наций. В этом аспекте внедрение принципов устойчивого развития и экологического управления играют весьма важную роль.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Прежде всего, необходимо исходить из постулата, что устойчивое развитие - это экологически чистый, экономически осуществимый и социально приемлемый образец роста. Устойчивое развитие определяется как «развитие, которое отвечает потребностям настоящего, не ставя под угрозу способность будущих поколений удовлетворять свои будущие потребности» </w:t>
      </w:r>
      <w:r w:rsidR="005F2A00">
        <w:rPr>
          <w:rFonts w:ascii="Times New Roman" w:eastAsia="Times New Roman" w:hAnsi="Times New Roman" w:cs="Times New Roman"/>
          <w:sz w:val="28"/>
          <w:szCs w:val="28"/>
        </w:rPr>
        <w:t xml:space="preserve">[14] </w:t>
      </w:r>
      <w:r>
        <w:rPr>
          <w:rFonts w:ascii="Times New Roman" w:eastAsia="Times New Roman" w:hAnsi="Times New Roman" w:cs="Times New Roman"/>
          <w:sz w:val="28"/>
          <w:szCs w:val="28"/>
        </w:rPr>
        <w:t xml:space="preserve">.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учетом ориентированности на устойчивое развитие во многих странах стал активно развиваться экосистемный подход в управлении. Всемирный саммит по устойчивому развитию признал экосистемный подход важным инструментом борьбы с голодом и справедливого распределения ресурсов. Внедрение экосистемного подхода помогает при принятии сбалансированного решения с учетом интересов, а также справедливого и равного распределения выгод от использования природных ресурсов </w:t>
      </w:r>
      <w:r w:rsidR="005F2A00">
        <w:rPr>
          <w:rFonts w:ascii="Times New Roman" w:eastAsia="Times New Roman" w:hAnsi="Times New Roman" w:cs="Times New Roman"/>
          <w:sz w:val="28"/>
          <w:szCs w:val="28"/>
        </w:rPr>
        <w:t xml:space="preserve">[15] </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обширной литературе на эту тему представлено большое число определений понятий «экосистема», «экосистемность», «экосистемный подход», «экосистемное управление» («экосистемный менеджмент»), «экосистемные услуги».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Термин «экосистема» (от греч. oikos – дом, system – целое) вошел в научный дискурс еще в начале ХХ века, хотя употреблялся исследователями и ранее. Одним из первых его использовал в 1935 году британский ботаник Артур Джордж Тэнсли, предложив ключевое для экологии понятие «экосистема» </w:t>
      </w:r>
      <w:r w:rsidR="005F2A00">
        <w:rPr>
          <w:rFonts w:ascii="Times New Roman" w:eastAsia="Times New Roman" w:hAnsi="Times New Roman" w:cs="Times New Roman"/>
          <w:sz w:val="28"/>
          <w:szCs w:val="28"/>
        </w:rPr>
        <w:t xml:space="preserve">[16] </w:t>
      </w:r>
      <w:r>
        <w:rPr>
          <w:rFonts w:ascii="Times New Roman" w:eastAsia="Times New Roman" w:hAnsi="Times New Roman" w:cs="Times New Roman"/>
          <w:sz w:val="28"/>
          <w:szCs w:val="28"/>
        </w:rPr>
        <w:t xml:space="preserve">.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Два года спустя австрийский биолог Людвиг фон Берталанфи, высказался о необходимости создать новую науку – общую теорию систем. Но опубликовать свои соображения он решился только через 13 лет. В своей новой теории Берталанфи предположил обобщить знания о системах различной природы: механических, физических, химических, а прежде всего биологических, социальных и прочих, преодолев при этом примитивные тенденции механицизма </w:t>
      </w:r>
      <w:r w:rsidR="0091071E">
        <w:rPr>
          <w:rFonts w:ascii="Times New Roman" w:eastAsia="Times New Roman" w:hAnsi="Times New Roman" w:cs="Times New Roman"/>
          <w:sz w:val="28"/>
          <w:szCs w:val="28"/>
        </w:rPr>
        <w:t>[17]</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Известный представитель теоретической кибернетики Уильям Росс Эшби </w:t>
      </w:r>
      <w:r w:rsidR="0091071E">
        <w:rPr>
          <w:rFonts w:ascii="Times New Roman" w:eastAsia="Times New Roman" w:hAnsi="Times New Roman" w:cs="Times New Roman"/>
          <w:sz w:val="28"/>
          <w:szCs w:val="28"/>
        </w:rPr>
        <w:t>[18]</w:t>
      </w:r>
      <w:r>
        <w:rPr>
          <w:rFonts w:ascii="Times New Roman" w:eastAsia="Times New Roman" w:hAnsi="Times New Roman" w:cs="Times New Roman"/>
          <w:sz w:val="28"/>
          <w:szCs w:val="28"/>
        </w:rPr>
        <w:t xml:space="preserve"> в своем системно-кибернетическом построении сформировал представления о двух типах систем: живой организм и сообщество живых организмов – биоценоз – экосистема.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Понятие о биогеоценозе (от греч. biosis, bios – жизнь; geo – Земля и ценоз – общий) было введено и развито В.Н. Сукачевым </w:t>
      </w:r>
      <w:r w:rsidR="0091071E">
        <w:rPr>
          <w:rFonts w:ascii="Times New Roman" w:eastAsia="Times New Roman" w:hAnsi="Times New Roman" w:cs="Times New Roman"/>
          <w:sz w:val="28"/>
          <w:szCs w:val="28"/>
        </w:rPr>
        <w:t>[19]</w:t>
      </w:r>
      <w:r>
        <w:rPr>
          <w:rFonts w:ascii="Times New Roman" w:eastAsia="Times New Roman" w:hAnsi="Times New Roman" w:cs="Times New Roman"/>
          <w:sz w:val="28"/>
          <w:szCs w:val="28"/>
        </w:rPr>
        <w:t xml:space="preserve">, получив распространение </w:t>
      </w:r>
      <w:r>
        <w:rPr>
          <w:rFonts w:ascii="Times New Roman" w:eastAsia="Times New Roman" w:hAnsi="Times New Roman" w:cs="Times New Roman"/>
          <w:sz w:val="28"/>
          <w:szCs w:val="28"/>
        </w:rPr>
        <w:lastRenderedPageBreak/>
        <w:t xml:space="preserve">главным образом в советской литературе </w:t>
      </w:r>
      <w:r w:rsidR="005F2A00">
        <w:rPr>
          <w:rFonts w:ascii="Times New Roman" w:eastAsia="Times New Roman" w:hAnsi="Times New Roman" w:cs="Times New Roman"/>
          <w:sz w:val="28"/>
          <w:szCs w:val="28"/>
        </w:rPr>
        <w:t xml:space="preserve">[20] </w:t>
      </w:r>
      <w:r>
        <w:rPr>
          <w:rFonts w:ascii="Times New Roman" w:eastAsia="Times New Roman" w:hAnsi="Times New Roman" w:cs="Times New Roman"/>
          <w:sz w:val="28"/>
          <w:szCs w:val="28"/>
        </w:rPr>
        <w:t xml:space="preserve">. Тогда как в англоязычных странах в аналогичном значении чаще используют термин «экосистема». Эти два термина (биогеоценоз и экосистема) рассматриваются как синонимы: «биосфера – это совокупность всех экосистем (биогеоценозов), распространенных в пределах геосфер, с которыми взаимодействует живая оболочка Земли» </w:t>
      </w:r>
      <w:r w:rsidR="0091071E">
        <w:rPr>
          <w:rFonts w:ascii="Times New Roman" w:eastAsia="Times New Roman" w:hAnsi="Times New Roman" w:cs="Times New Roman"/>
          <w:sz w:val="28"/>
          <w:szCs w:val="28"/>
        </w:rPr>
        <w:t>[21]</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Роберт Хардинг Уиттекер в работе о классификации растительных сообществ дает следующее определение: «Экосистема есть функциональная система, включающая сообщество взаимодействующих организмов – растений, животных и сапробов (организмов приспособившийся к обитанию в водоемах, загрязненных органическими веществами) – и окружающую среду, которая действует на них и на которую они действуют» </w:t>
      </w:r>
      <w:r w:rsidR="005F2A00">
        <w:rPr>
          <w:rFonts w:ascii="Times New Roman" w:eastAsia="Times New Roman" w:hAnsi="Times New Roman" w:cs="Times New Roman"/>
          <w:sz w:val="28"/>
          <w:szCs w:val="28"/>
        </w:rPr>
        <w:t xml:space="preserve">[22] </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Клод Вилли понимал под термином «экосистема» естественную единицу, представляющую совокупность живых и неживых элементов; в результате взаимодействия этих элементов создается стабильная, где имеет место круговорот веществ между живыми и неживыми частями» </w:t>
      </w:r>
      <w:r w:rsidR="005F2A00">
        <w:rPr>
          <w:rFonts w:ascii="Times New Roman" w:eastAsia="Times New Roman" w:hAnsi="Times New Roman" w:cs="Times New Roman"/>
          <w:sz w:val="28"/>
          <w:szCs w:val="28"/>
        </w:rPr>
        <w:t xml:space="preserve">[23] </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Поль Огюст Дювиньо дает краткое определение: «Экосистема есть функциональная система, которая включает сообщество живых существ и окружающую их среду» </w:t>
      </w:r>
      <w:r w:rsidR="005F2A00">
        <w:rPr>
          <w:rFonts w:ascii="Times New Roman" w:eastAsia="Times New Roman" w:hAnsi="Times New Roman" w:cs="Times New Roman"/>
          <w:sz w:val="28"/>
          <w:szCs w:val="28"/>
        </w:rPr>
        <w:t xml:space="preserve">[24] </w:t>
      </w:r>
      <w:r>
        <w:rPr>
          <w:rFonts w:ascii="Times New Roman" w:eastAsia="Times New Roman" w:hAnsi="Times New Roman" w:cs="Times New Roman"/>
          <w:sz w:val="28"/>
          <w:szCs w:val="28"/>
        </w:rPr>
        <w:t xml:space="preserve"> и различает три категории экосистем: 1) микроэкосистемы</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rPr>
        <w:t xml:space="preserve"> 2) мезоэкосистемы и 3) макроэкосистемы (например, мировой океан). Интеграция всех экосистем мира создает гигантскую экосистему земного шара – биосферу.</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Учение о глобальной экосистеме – биосфере, развитое русским академиком Владимиром Ивановичем Вернадским </w:t>
      </w:r>
      <w:r w:rsidR="005F2A00">
        <w:rPr>
          <w:rFonts w:ascii="Times New Roman" w:eastAsia="Times New Roman" w:hAnsi="Times New Roman" w:cs="Times New Roman"/>
          <w:sz w:val="28"/>
          <w:szCs w:val="28"/>
        </w:rPr>
        <w:t xml:space="preserve">[25] </w:t>
      </w:r>
      <w:r>
        <w:rPr>
          <w:rFonts w:ascii="Times New Roman" w:eastAsia="Times New Roman" w:hAnsi="Times New Roman" w:cs="Times New Roman"/>
          <w:sz w:val="28"/>
          <w:szCs w:val="28"/>
        </w:rPr>
        <w:t xml:space="preserve"> в середине XX века вошло в науку экологию как составная часть – глобальная экология.</w:t>
      </w:r>
      <w:r>
        <w:t xml:space="preserve"> </w:t>
      </w:r>
      <w:r>
        <w:rPr>
          <w:rFonts w:ascii="Times New Roman" w:eastAsia="Times New Roman" w:hAnsi="Times New Roman" w:cs="Times New Roman"/>
          <w:sz w:val="28"/>
          <w:szCs w:val="28"/>
        </w:rPr>
        <w:t>Приняв эволюционный подход к изучению биосферы, В.И. Вернадский рассматривал деятельность человечества как закономерный этап ее развития. Он был уверен, что отношение человека к природе и ее ресурсам станет более разумным, будет направлено на их сохранение, возобновление и улучшение.</w:t>
      </w:r>
      <w:r>
        <w:t xml:space="preserve"> </w:t>
      </w:r>
      <w:r>
        <w:rPr>
          <w:rFonts w:ascii="Times New Roman" w:eastAsia="Times New Roman" w:hAnsi="Times New Roman" w:cs="Times New Roman"/>
          <w:sz w:val="28"/>
          <w:szCs w:val="28"/>
        </w:rPr>
        <w:t xml:space="preserve">Концепция устойчивого развития, глобальный эволюционизм и им подобные теории – идейно в той или иной мере, опираются на мысли, высказанные в свое время В.И. Вернадским </w:t>
      </w:r>
      <w:r w:rsidR="005F2A00">
        <w:rPr>
          <w:rFonts w:ascii="Times New Roman" w:eastAsia="Times New Roman" w:hAnsi="Times New Roman" w:cs="Times New Roman"/>
          <w:sz w:val="28"/>
          <w:szCs w:val="28"/>
        </w:rPr>
        <w:t xml:space="preserve">[26] </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90-х гг. прошлого столетия термин «экосистема» заимствовали ученые-экономисты применительно к предпринимательству. J. Moore в книге «Конец конкуренции: экосистема» </w:t>
      </w:r>
      <w:r w:rsidR="005F2A00">
        <w:rPr>
          <w:rFonts w:ascii="Times New Roman" w:eastAsia="Times New Roman" w:hAnsi="Times New Roman" w:cs="Times New Roman"/>
          <w:sz w:val="28"/>
          <w:szCs w:val="28"/>
        </w:rPr>
        <w:t xml:space="preserve">[27] </w:t>
      </w:r>
      <w:r>
        <w:rPr>
          <w:rFonts w:ascii="Times New Roman" w:eastAsia="Times New Roman" w:hAnsi="Times New Roman" w:cs="Times New Roman"/>
          <w:sz w:val="28"/>
          <w:szCs w:val="28"/>
        </w:rPr>
        <w:t xml:space="preserve"> дал следующее общее определение: «Экосистемы – динамичные и совместно развивающиеся сообщества, состоящие из разнообразных субъектов, создающих и получающих новое содержание в процессе, как взаимодействия, так и конкуренции».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дальнейшем Moore уточнил данное понятие применительно к предприятию: «Экосистема любого предприятия включает потребителей, рыночных посредников (в том числе агентов и каналы движения товаров, а также тех, кто продает сопутствующие продукты и услуги), поставщиков и, конечно, саму фирму…». Кроме того, «экосистема любого предприятия включает также собственников и других заинтересованных лиц и, кроме того, … правительственные ведомства и регулирующие учреждения, ассоциации и </w:t>
      </w:r>
      <w:r>
        <w:rPr>
          <w:rFonts w:ascii="Times New Roman" w:eastAsia="Times New Roman" w:hAnsi="Times New Roman" w:cs="Times New Roman"/>
          <w:sz w:val="28"/>
          <w:szCs w:val="28"/>
        </w:rPr>
        <w:lastRenderedPageBreak/>
        <w:t xml:space="preserve">организации, обеспечивающие соблюдение стандартов и представляющие потребителей и поставщиков. В какой-либо мере в экосистемы входят прямые и потенциальные конкуренты, а также любые </w:t>
      </w:r>
      <w:r w:rsidR="0091071E">
        <w:rPr>
          <w:rFonts w:ascii="Times New Roman" w:eastAsia="Times New Roman" w:hAnsi="Times New Roman" w:cs="Times New Roman"/>
          <w:sz w:val="28"/>
          <w:szCs w:val="28"/>
        </w:rPr>
        <w:t>другие важные члены общества» [29, 29</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общепринятого определения экосистемы в науке нет до сих пор.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Конвенции о биологическом разнообразии (КБР) «экосистема» определена исключительно как «динамичный комплекс сообществ растений, животных и микроорганизмов, а также их неживой окружающей среды, взаимодействующих как единое функциональное целое».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Обобщение и анализ различных подходов позволяет сформулировать понятие «экосистема» применительно к экологической сфере: это сообщество живых организмов и окружающую их среду; это функциональное единство (самого разного объема и вида), включающее все организмы (биоценоз) на данном участке (биотопе) и взаимодействующее с абиотической средой.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 «экосистемностью» будем понимать необходимость четко сформулированного и реализуемого на практике, системно-организованного и внутренне непротиворечивого комплекса правовых, экономических и организационных требований относительно приоритетности предупреждений нарушений в экологической сфере и недопущений причинения вреда природе в процессе использования конкретного ресурса, а также окружающей среде в ц</w:t>
      </w:r>
      <w:r w:rsidR="0091071E">
        <w:rPr>
          <w:rFonts w:ascii="Times New Roman" w:eastAsia="Times New Roman" w:hAnsi="Times New Roman" w:cs="Times New Roman"/>
          <w:sz w:val="28"/>
          <w:szCs w:val="28"/>
        </w:rPr>
        <w:t>елом [3, с. 26</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Общее определение экосистемному менеджменту дал американский ученый C.A. Вуд: «экосистемное управление – интеграция экологических, экономических и социальных принципов управления биологическими и физическими системами так, чтобы защищать экологическую устойчивость, биологическое разнообразие и продуктивность окружающей среды» [5, р. 6-10].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Данное определение отличает присутствие основных составляющих (экологические, экономические и социальные принципы управления биологическими и физическими системами) и целей экосистемного управления (экологическая устойчивость, биологическое разнообразие и продуктивность окружающей среды).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Понятие экосистемного управления, выработанное ЮНЕП, фокусируется на устойчивости экосистем с целью обеспечения экологических и гуманитарных потребностей в будущем.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Американские ученые Г. Павликакис и В. Цихринцис обратили внимание на то, что экосистемный подход является новым и комплексным, что обуславливает его практическую ценность для системы современного менеджмента </w:t>
      </w:r>
      <w:r w:rsidR="005F2A00">
        <w:rPr>
          <w:rFonts w:ascii="Times New Roman" w:eastAsia="Times New Roman" w:hAnsi="Times New Roman" w:cs="Times New Roman"/>
          <w:sz w:val="28"/>
          <w:szCs w:val="28"/>
        </w:rPr>
        <w:t xml:space="preserve">[30] </w:t>
      </w:r>
      <w:r>
        <w:rPr>
          <w:rFonts w:ascii="Times New Roman" w:eastAsia="Times New Roman" w:hAnsi="Times New Roman" w:cs="Times New Roman"/>
          <w:sz w:val="28"/>
          <w:szCs w:val="28"/>
        </w:rPr>
        <w:t xml:space="preserve">. Основным объектом управления в рамках экосистемного подхода является экосистема как главная структурная единица </w:t>
      </w:r>
      <w:r w:rsidR="005F2A00">
        <w:rPr>
          <w:rFonts w:ascii="Times New Roman" w:eastAsia="Times New Roman" w:hAnsi="Times New Roman" w:cs="Times New Roman"/>
          <w:sz w:val="28"/>
          <w:szCs w:val="28"/>
        </w:rPr>
        <w:t xml:space="preserve">[31] </w:t>
      </w:r>
      <w:r>
        <w:rPr>
          <w:rFonts w:ascii="Times New Roman" w:eastAsia="Times New Roman" w:hAnsi="Times New Roman" w:cs="Times New Roman"/>
          <w:sz w:val="28"/>
          <w:szCs w:val="28"/>
        </w:rPr>
        <w:t xml:space="preserve">.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Воплощение экосистемного подхода в правовых документах началось с конца ХХ века и происходит параллельно на национальных, региональных и глобальных уровнях. В настоящее время в мире действуют более 300 программ на разных уровнях управления, направленных на защиту водоразделов, водно-</w:t>
      </w:r>
      <w:r>
        <w:rPr>
          <w:rFonts w:ascii="Times New Roman" w:eastAsia="Times New Roman" w:hAnsi="Times New Roman" w:cs="Times New Roman"/>
          <w:sz w:val="28"/>
          <w:szCs w:val="28"/>
        </w:rPr>
        <w:lastRenderedPageBreak/>
        <w:t xml:space="preserve">болотных угодий и лесных экосистем, на регулирование климата, сохранение биоразнообразия и борьбу с эрозией почв </w:t>
      </w:r>
      <w:r w:rsidR="005F2A00">
        <w:rPr>
          <w:rFonts w:ascii="Times New Roman" w:eastAsia="Times New Roman" w:hAnsi="Times New Roman" w:cs="Times New Roman"/>
          <w:sz w:val="28"/>
          <w:szCs w:val="28"/>
        </w:rPr>
        <w:t xml:space="preserve">[32] </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основе </w:t>
      </w:r>
      <w:r>
        <w:rPr>
          <w:rFonts w:ascii="Times New Roman" w:eastAsia="Times New Roman" w:hAnsi="Times New Roman" w:cs="Times New Roman"/>
          <w:i/>
          <w:sz w:val="28"/>
          <w:szCs w:val="28"/>
        </w:rPr>
        <w:t>экосистемного подхода</w:t>
      </w:r>
      <w:r>
        <w:rPr>
          <w:rFonts w:ascii="Times New Roman" w:eastAsia="Times New Roman" w:hAnsi="Times New Roman" w:cs="Times New Roman"/>
          <w:sz w:val="28"/>
          <w:szCs w:val="28"/>
        </w:rPr>
        <w:t xml:space="preserve"> лежит идея о том, что более целостные, интегративные и адаптивные подходы к управлению, базирующиеся на научной информации, обеспечивают поддержание экосистем в устойчивом состоянии, необходимом для достижения желаемых социально-экономических выгод [4, с. 1</w:t>
      </w:r>
      <w:r w:rsidR="0091071E">
        <w:rPr>
          <w:rFonts w:ascii="Times New Roman" w:eastAsia="Times New Roman" w:hAnsi="Times New Roman" w:cs="Times New Roman"/>
          <w:sz w:val="28"/>
          <w:szCs w:val="28"/>
        </w:rPr>
        <w:t>79</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экосистемного подхода развивается экосистемный сервис или концепция экосистемных услуг, необходимость которой была осознана после публикации доклада ООН «Оценка экосистем на пороге тысячелетия».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Экосистемный сервис</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это преимущества, которые люди получают от экосистем, включающие в себя: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предоставление услуг, таких как поставка пищи, воды, лекарств;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регулирующие услуги, такие как смягчение последствий изменений климата, борьба с наводнениями и болезнями;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культурные услуги, такие как духовные, рекреационные и культурные ценности;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вспомогательные услуги, такие как круговорот питательных веществ, которые поддерживают условия жизни на Земле </w:t>
      </w:r>
      <w:r w:rsidR="005F2A00">
        <w:rPr>
          <w:rFonts w:ascii="Times New Roman" w:eastAsia="Times New Roman" w:hAnsi="Times New Roman" w:cs="Times New Roman"/>
          <w:sz w:val="28"/>
          <w:szCs w:val="28"/>
        </w:rPr>
        <w:t xml:space="preserve">[33] </w:t>
      </w:r>
      <w:r>
        <w:rPr>
          <w:rFonts w:ascii="Times New Roman" w:eastAsia="Times New Roman" w:hAnsi="Times New Roman" w:cs="Times New Roman"/>
          <w:sz w:val="28"/>
          <w:szCs w:val="28"/>
        </w:rPr>
        <w:t xml:space="preserve">.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Здоровая экосистема означает, что она может обеспечить поддержку, регулирующих и культурных услуг.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Привлекательность концепции </w:t>
      </w:r>
      <w:r>
        <w:rPr>
          <w:rFonts w:ascii="Times New Roman" w:eastAsia="Times New Roman" w:hAnsi="Times New Roman" w:cs="Times New Roman"/>
          <w:i/>
          <w:sz w:val="28"/>
          <w:szCs w:val="28"/>
        </w:rPr>
        <w:t>экосистемных услуг</w:t>
      </w:r>
      <w:r>
        <w:rPr>
          <w:rFonts w:ascii="Times New Roman" w:eastAsia="Times New Roman" w:hAnsi="Times New Roman" w:cs="Times New Roman"/>
          <w:sz w:val="28"/>
          <w:szCs w:val="28"/>
        </w:rPr>
        <w:t xml:space="preserve"> (ecosystem services, ESS) заключается в учете широкого спектра функций природного капитала и основывается на интеграционном, трансдисциплинарном характере концепции, на взаимосвязи экологических, организационно-правовых и социально-экономических аспектов.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Вместе с тем термин «экосистемные услуги» является дискуссионным.</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экосистемных знаний показывает, что экосистемные услуги, рассматриваются не только через призму способности окружающей среды удовлетворения самых необходимых жизненных потребностей человека, но и влияния состояния экосистем на качество жизни населения.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Исследования экосистемных услуг начались в конце 80-начале 90-х гг. ХХ века; здесь особо можно выделить труды Р. Грута, Г. Дейли,</w:t>
      </w:r>
      <w:r w:rsidR="0091071E">
        <w:rPr>
          <w:rFonts w:ascii="Times New Roman" w:eastAsia="Times New Roman" w:hAnsi="Times New Roman" w:cs="Times New Roman"/>
          <w:sz w:val="28"/>
          <w:szCs w:val="28"/>
        </w:rPr>
        <w:t xml:space="preserve"> Р. Костанза, [6, р. 253-259; 34, 35</w:t>
      </w:r>
      <w:r>
        <w:rPr>
          <w:rFonts w:ascii="Times New Roman" w:eastAsia="Times New Roman" w:hAnsi="Times New Roman" w:cs="Times New Roman"/>
          <w:sz w:val="28"/>
          <w:szCs w:val="28"/>
        </w:rPr>
        <w:t xml:space="preserve">]. Так, по мнению Р. Костанза, экосистемные услуги – это выгоды, получаемые людьми, прямо или косвенно, от экосистемных функций. Экосистемные функции могут определяться как «способность экосистем обеспечивать товары и услуги, которые прямо или косвенно удовлетворяют потребности человека». Экосистемные функции по-разному относятся к среде обитания, биологическим или системным свойствам, или процессам экосистем. Экосистемные товары (такие как продукты питания) и услуги (ассимиляция отходов) представляют собой выгоды, которые человеческое население прямо или косвенно получает от функций экосистемы.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Экосистемные услуги состоят из потоков материалов, энергии, информации и запасов природного капитала, которые сочетаются с </w:t>
      </w:r>
      <w:r>
        <w:rPr>
          <w:rFonts w:ascii="Times New Roman" w:eastAsia="Times New Roman" w:hAnsi="Times New Roman" w:cs="Times New Roman"/>
          <w:sz w:val="28"/>
          <w:szCs w:val="28"/>
        </w:rPr>
        <w:lastRenderedPageBreak/>
        <w:t>производственными услугами и услугами человеческого капитала для создания благосостояния людей [6, р. 253-258].</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Докладе Европейского агентства по окружающей среде (European Environment Agency, EEA) под экосистемными услугами понимается «вклад, который экосистемы вносят в благосостояние людей» </w:t>
      </w:r>
      <w:r w:rsidR="005F2A00">
        <w:rPr>
          <w:rFonts w:ascii="Times New Roman" w:eastAsia="Times New Roman" w:hAnsi="Times New Roman" w:cs="Times New Roman"/>
          <w:sz w:val="28"/>
          <w:szCs w:val="28"/>
        </w:rPr>
        <w:t xml:space="preserve">[36] </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трактовке экспертов ООН «экосистемные услуги - это выгоды, которые люди получают от экосистем. К ним относятся: предоставление услуг, таких как еда и вода; регулирующие услуги, такие как регулирование наводнений, засухи, деградации земель и болезней; вспомогательные услуги, такие как почвообразование и круговорот питательных веществ; и культурные услуги, такие как рекреационные, духовные, религиозные и другие нематериальные блага» </w:t>
      </w:r>
      <w:r w:rsidR="005F2A00">
        <w:rPr>
          <w:rFonts w:ascii="Times New Roman" w:eastAsia="Times New Roman" w:hAnsi="Times New Roman" w:cs="Times New Roman"/>
          <w:sz w:val="28"/>
          <w:szCs w:val="28"/>
        </w:rPr>
        <w:t xml:space="preserve">[37] </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нашему мнению, то общее, что связывает большинство различных дефиниций, определяющих экосистемный услуги, – это попытка связать экоуслуги с выгодами и благосостоянием человека. Использованные плюс неиспользованные выгоды называются «потенциальные экосистемные услуги», тогда как только используемые выгоды называются реализованными экосистемными услугами.</w:t>
      </w:r>
    </w:p>
    <w:p w:rsidR="00EA72C7" w:rsidRDefault="00EA72C7" w:rsidP="00EA72C7">
      <w:pPr>
        <w:spacing w:after="0" w:line="24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Достаточно очевидно, что одни только лозунги о необходимости охраны природы и экосистем работают не всегда, а попытки только правовой защиты оказались малоэффективными. Поэтому, зкосистемным услугам придается особое значение во многих Целях устойчивого развития ООН (Sustainable Development Goals) на период 2016-2030 гг., в частности в Целях 14 (сохранение морских экосистем) и 15 (сохранение экосистем суши). Эти Цели должны быть реализованы всеми странами. В концепции экономического развития стран ОЭСР приоритетное внимание уделяется «зеленому» росту, который предусматривает сохранение экосистемных услуг.</w:t>
      </w:r>
      <w:r>
        <w:t xml:space="preserve"> </w:t>
      </w:r>
      <w:r>
        <w:rPr>
          <w:rFonts w:ascii="Times New Roman" w:eastAsia="Times New Roman" w:hAnsi="Times New Roman" w:cs="Times New Roman"/>
          <w:sz w:val="28"/>
          <w:szCs w:val="28"/>
        </w:rPr>
        <w:t xml:space="preserve">Всемирный банк уже включает экономическую оценку экосистем и их услуг в свои проекты </w:t>
      </w:r>
      <w:r w:rsidR="005F2A00">
        <w:rPr>
          <w:rFonts w:ascii="Times New Roman" w:eastAsia="Times New Roman" w:hAnsi="Times New Roman" w:cs="Times New Roman"/>
          <w:sz w:val="28"/>
          <w:szCs w:val="28"/>
        </w:rPr>
        <w:t xml:space="preserve">[38] </w:t>
      </w:r>
      <w:r>
        <w:rPr>
          <w:rFonts w:ascii="Times New Roman" w:eastAsia="Times New Roman" w:hAnsi="Times New Roman" w:cs="Times New Roman"/>
          <w:sz w:val="28"/>
          <w:szCs w:val="28"/>
        </w:rPr>
        <w:t xml:space="preserve">.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Концепция экосистемных услуг доказывает свою полезность для управления территориями и принятию решений по двум основным причинам. Во-первых, они помогают синтезировать необходимые экологические и экономические концепции. Во-вторых, ученые и политики могут использовать данные концепции для того, чтобы оценить экономические и политические компромиссы между развитием территорий и сохранением биоразнообразия </w:t>
      </w:r>
      <w:r w:rsidR="005F2A00">
        <w:rPr>
          <w:rFonts w:ascii="Times New Roman" w:eastAsia="Times New Roman" w:hAnsi="Times New Roman" w:cs="Times New Roman"/>
          <w:sz w:val="28"/>
          <w:szCs w:val="28"/>
        </w:rPr>
        <w:t xml:space="preserve">[39] </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Важным моментом в концепции экосистемных услуг является рассмотрение их связи с природным капиталом, что предусматривает использование экосистемного подхода. Природный капитал рассматривается наряду с физическим (искусственным) капиталом, но в отличие от него часть природного капитала – например, экосистемы – может восстанавливаться и долго функционировать при сбалансированном использовании, соблюдении ограничений ассимиляционного потенциала </w:t>
      </w:r>
      <w:r w:rsidR="005F2A00">
        <w:rPr>
          <w:rFonts w:ascii="Times New Roman" w:eastAsia="Times New Roman" w:hAnsi="Times New Roman" w:cs="Times New Roman"/>
          <w:sz w:val="28"/>
          <w:szCs w:val="28"/>
        </w:rPr>
        <w:t xml:space="preserve">[40] </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Подход к оценке экосистем в новом тысячелетии основан на том, что управленческие решения обычно включают компромиссы между </w:t>
      </w:r>
      <w:r>
        <w:rPr>
          <w:rFonts w:ascii="Times New Roman" w:eastAsia="Times New Roman" w:hAnsi="Times New Roman" w:cs="Times New Roman"/>
          <w:sz w:val="28"/>
          <w:szCs w:val="28"/>
        </w:rPr>
        <w:lastRenderedPageBreak/>
        <w:t>экосистемными услугами, количественной и научно обоснованной оценкой компромиссов, что и является необходимым компонентом для принятия обоснованных управленческих решений. Например, решения для очистки земли для сельского хозяйства включают компромисс между производством продуктов питания и защитой биологических ресурсов; решения по добыче древесины предусматривают компромисс между доходами от продажи древесины и защитой водосбора; решения по определению морских охраняемых районов предполагает компромисс между сохранением рыбных запасов и наличием рыбы или рабочих мест для местного населения. Учет этих компромиссов включает количественную оценку воздействия решения управления на экосистемные услуги и благосостояние людей в сопоставимых единицах в различных пространственных и временных масштабах.</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Почему это важно? По оценкам ЮНЕП, за последние полвека около 60% мировых экосистемных услуг деградировали. Утрата экосистем и экосистемных услуг приводит к огромным экономическим потерям, сумма глобального экологического ущерба оценивалась экспертами в 2011 году в $7 трлн. в год, это около 11% мировой экономики </w:t>
      </w:r>
      <w:r w:rsidR="005F2A00">
        <w:rPr>
          <w:rFonts w:ascii="Times New Roman" w:eastAsia="Times New Roman" w:hAnsi="Times New Roman" w:cs="Times New Roman"/>
          <w:sz w:val="28"/>
          <w:szCs w:val="28"/>
        </w:rPr>
        <w:t xml:space="preserve">[41] </w:t>
      </w:r>
      <w:r>
        <w:rPr>
          <w:rFonts w:ascii="Times New Roman" w:eastAsia="Times New Roman" w:hAnsi="Times New Roman" w:cs="Times New Roman"/>
          <w:sz w:val="28"/>
          <w:szCs w:val="28"/>
        </w:rPr>
        <w:t xml:space="preserve">.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работе R. Costanza с коллегами [6, р. 253-259] была предпринята попытка глобальной оценки экосистемных услуг. Для всех экосистем она составила в среднем $33 трлн., тогда как мировой ВНП был почти вдвое меньше ($18 трлн. в год). В 2014 г. R. Costanza сделал новую оценку глобальных экосистемных услуг </w:t>
      </w:r>
      <w:r w:rsidR="005F2A00">
        <w:rPr>
          <w:rFonts w:ascii="Times New Roman" w:eastAsia="Times New Roman" w:hAnsi="Times New Roman" w:cs="Times New Roman"/>
          <w:sz w:val="28"/>
          <w:szCs w:val="28"/>
        </w:rPr>
        <w:t xml:space="preserve">[42] </w:t>
      </w:r>
      <w:r>
        <w:rPr>
          <w:rFonts w:ascii="Times New Roman" w:eastAsia="Times New Roman" w:hAnsi="Times New Roman" w:cs="Times New Roman"/>
          <w:sz w:val="28"/>
          <w:szCs w:val="28"/>
        </w:rPr>
        <w:t>. Она составила уже $125 трлн. в год.</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Критическое значение экосистемных услуг заставляет экологов всего мира установить эффективный мост между экологическими и экономическими подходами </w:t>
      </w:r>
      <w:r w:rsidR="005F2A00">
        <w:rPr>
          <w:rFonts w:ascii="Times New Roman" w:eastAsia="Times New Roman" w:hAnsi="Times New Roman" w:cs="Times New Roman"/>
          <w:sz w:val="28"/>
          <w:szCs w:val="28"/>
        </w:rPr>
        <w:t xml:space="preserve">[43] </w:t>
      </w:r>
      <w:r>
        <w:rPr>
          <w:rFonts w:ascii="Times New Roman" w:eastAsia="Times New Roman" w:hAnsi="Times New Roman" w:cs="Times New Roman"/>
          <w:sz w:val="28"/>
          <w:szCs w:val="28"/>
        </w:rPr>
        <w:t>. Это обуславливает необходимость более надежных измерений, качественных данных и новых научных подходов для разработки более достоверных моделей, адаптированных к представлениям и проблемам современного общества. Проблема в том, что в настоящее время нет общепринятой классификации экосистемных услуг.</w:t>
      </w:r>
      <w:r>
        <w:t xml:space="preserve"> </w:t>
      </w:r>
      <w:r>
        <w:rPr>
          <w:rFonts w:ascii="Times New Roman" w:eastAsia="Times New Roman" w:hAnsi="Times New Roman" w:cs="Times New Roman"/>
          <w:sz w:val="28"/>
          <w:szCs w:val="28"/>
        </w:rPr>
        <w:t>Наиболее известны три международные классификации: ООН в Докладе «Оценка экосистем на пороге тысячелетия» (The Millennium Ecosystem Assessment), международного проекта TEEB, Европейского экологического агентства (European Environment Agency) (EEA). ЮНЕП поделила э</w:t>
      </w:r>
      <w:r w:rsidR="0091071E">
        <w:rPr>
          <w:rFonts w:ascii="Times New Roman" w:eastAsia="Times New Roman" w:hAnsi="Times New Roman" w:cs="Times New Roman"/>
          <w:sz w:val="28"/>
          <w:szCs w:val="28"/>
        </w:rPr>
        <w:t>коуслуги на четыре категории [40</w:t>
      </w:r>
      <w:r>
        <w:rPr>
          <w:rFonts w:ascii="Times New Roman" w:eastAsia="Times New Roman" w:hAnsi="Times New Roman" w:cs="Times New Roman"/>
          <w:sz w:val="28"/>
          <w:szCs w:val="28"/>
        </w:rPr>
        <w:t>, с. 225-235]:</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обеспечивающие – продовольствие, вода, древесина, различные природные материалы, генетические ресурсы, природные лекарственные препараты и т.д.;</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регулирующие, которые воздействуют на качество воздуха, климат, водные ресурсы, очистку воды, переработку отходов, регулирование заболеваний, эрозии, стихийных бедствий;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культурные – духовные и религиозные, эстетические ценности, отдых и экотуризм;</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поддерживающие – почвообразование, фотосинтез и круговорот питательных веществ.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Среди специалистов известны также классификации экосистемных услуг, разработанные Г. Дейли, К. Уоллесом, Р. Кастанза, Р. Грутом и др. В частности, Дейли предложил разделить экоуслуги на четыре группы: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производство товаров;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процессы регенерации;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насыщенность жизни;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сохранение экологических благ [41, р. 5-25].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Уоллес классифицирует экосистемные услуги с точки зрения человеческих ценностей (потребностей), выделяя три категории ценностей: базовые ресурсы (пища, питьевая вода, энергия и т.д.); благоприятная среда; социокультурный потребности </w:t>
      </w:r>
      <w:r w:rsidR="005F2A00">
        <w:rPr>
          <w:rFonts w:ascii="Times New Roman" w:eastAsia="Times New Roman" w:hAnsi="Times New Roman" w:cs="Times New Roman"/>
          <w:sz w:val="28"/>
          <w:szCs w:val="28"/>
        </w:rPr>
        <w:t xml:space="preserve">[44] </w:t>
      </w:r>
      <w:r>
        <w:rPr>
          <w:rFonts w:ascii="Times New Roman" w:eastAsia="Times New Roman" w:hAnsi="Times New Roman" w:cs="Times New Roman"/>
          <w:sz w:val="28"/>
          <w:szCs w:val="28"/>
        </w:rPr>
        <w:t>. Грут с коллегами выделил четыре группы экоуслуг [42, р. 1209-1218]. Его классификация во многом предвосхитила классификацию ООН и классификации иных международных организаций.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Более развернутую классификацию предложил Кастанза, который увязал перечень из 17 экосистемных услуг с экосистемными функциями регулирования (таблица 1).</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 – Классификация экосистемных услуг и функций</w:t>
      </w:r>
    </w:p>
    <w:p w:rsidR="00EA72C7" w:rsidRDefault="00EA72C7" w:rsidP="00EA72C7">
      <w:pPr>
        <w:spacing w:after="0" w:line="240" w:lineRule="auto"/>
        <w:jc w:val="both"/>
        <w:rPr>
          <w:rFonts w:ascii="Times New Roman" w:eastAsia="Times New Roman" w:hAnsi="Times New Roman" w:cs="Times New Roman"/>
          <w:sz w:val="16"/>
          <w:szCs w:val="16"/>
        </w:rPr>
      </w:pPr>
    </w:p>
    <w:tbl>
      <w:tblPr>
        <w:tblW w:w="95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3686"/>
        <w:gridCol w:w="3997"/>
      </w:tblGrid>
      <w:tr w:rsidR="00EA72C7" w:rsidTr="003E7002">
        <w:trPr>
          <w:jc w:val="center"/>
        </w:trPr>
        <w:tc>
          <w:tcPr>
            <w:tcW w:w="1838"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Экосистемный сервис</w:t>
            </w:r>
          </w:p>
        </w:tc>
        <w:tc>
          <w:tcPr>
            <w:tcW w:w="3686"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Экосистемные функции</w:t>
            </w:r>
          </w:p>
        </w:tc>
        <w:tc>
          <w:tcPr>
            <w:tcW w:w="3997"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Примеры</w:t>
            </w:r>
          </w:p>
        </w:tc>
      </w:tr>
      <w:tr w:rsidR="00EA72C7" w:rsidTr="003E7002">
        <w:trPr>
          <w:jc w:val="center"/>
        </w:trPr>
        <w:tc>
          <w:tcPr>
            <w:tcW w:w="1838"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86"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97"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A72C7" w:rsidRPr="00037F18" w:rsidTr="003E7002">
        <w:trPr>
          <w:jc w:val="center"/>
        </w:trPr>
        <w:tc>
          <w:tcPr>
            <w:tcW w:w="1838"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Газовое регулирование</w:t>
            </w:r>
          </w:p>
        </w:tc>
        <w:tc>
          <w:tcPr>
            <w:tcW w:w="3686"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Регулирование химиче ского состава атмосферы</w:t>
            </w:r>
          </w:p>
        </w:tc>
        <w:tc>
          <w:tcPr>
            <w:tcW w:w="3997" w:type="dxa"/>
          </w:tcPr>
          <w:p w:rsidR="00EA72C7" w:rsidRPr="009531DE" w:rsidRDefault="00EA72C7" w:rsidP="003E7002">
            <w:pPr>
              <w:rPr>
                <w:rFonts w:ascii="Times New Roman" w:eastAsia="Times New Roman" w:hAnsi="Times New Roman" w:cs="Times New Roman"/>
                <w:sz w:val="24"/>
                <w:szCs w:val="24"/>
                <w:lang w:val="en-US"/>
              </w:rPr>
            </w:pPr>
            <w:r w:rsidRPr="009531DE">
              <w:rPr>
                <w:rFonts w:ascii="Times New Roman" w:eastAsia="Times New Roman" w:hAnsi="Times New Roman" w:cs="Times New Roman"/>
                <w:sz w:val="24"/>
                <w:szCs w:val="24"/>
                <w:lang w:val="en-US"/>
              </w:rPr>
              <w:t>CO2/O2 balance, O3 for UVB protection, and SOx levels.</w:t>
            </w:r>
          </w:p>
        </w:tc>
      </w:tr>
      <w:tr w:rsidR="00EA72C7" w:rsidTr="003E7002">
        <w:trPr>
          <w:jc w:val="center"/>
        </w:trPr>
        <w:tc>
          <w:tcPr>
            <w:tcW w:w="1838"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Регулирование климата</w:t>
            </w:r>
          </w:p>
        </w:tc>
        <w:tc>
          <w:tcPr>
            <w:tcW w:w="3686"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Регулирование глобаль ной температуры, осадков и других биологически опосредованных климати ческих процессов на гло бальном или локальном уровнях.</w:t>
            </w:r>
          </w:p>
        </w:tc>
        <w:tc>
          <w:tcPr>
            <w:tcW w:w="3997"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Регулирование парниковых газов, производство DMS, влияющих на образование облаков.</w:t>
            </w:r>
          </w:p>
        </w:tc>
      </w:tr>
      <w:tr w:rsidR="00EA72C7" w:rsidTr="003E7002">
        <w:trPr>
          <w:jc w:val="center"/>
        </w:trPr>
        <w:tc>
          <w:tcPr>
            <w:tcW w:w="1838"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Регулирование нарушенности</w:t>
            </w:r>
          </w:p>
        </w:tc>
        <w:tc>
          <w:tcPr>
            <w:tcW w:w="3686"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Емкость, демпфирование и целостность экосистемы реагируют на колебания окружающей среды.</w:t>
            </w:r>
          </w:p>
        </w:tc>
        <w:tc>
          <w:tcPr>
            <w:tcW w:w="3997"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Защита от штормов, борьба с наводнениями, восстановление после засухи и другие аспекты реагирования среды обитания на экологическую изменчивость, в основном контролируемые структурой растительности.</w:t>
            </w:r>
          </w:p>
        </w:tc>
      </w:tr>
      <w:tr w:rsidR="00EA72C7" w:rsidTr="003E7002">
        <w:trPr>
          <w:jc w:val="center"/>
        </w:trPr>
        <w:tc>
          <w:tcPr>
            <w:tcW w:w="1838"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Водное регулирование</w:t>
            </w:r>
          </w:p>
        </w:tc>
        <w:tc>
          <w:tcPr>
            <w:tcW w:w="3686"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Регулирование гидрологических потоков.</w:t>
            </w:r>
          </w:p>
        </w:tc>
        <w:tc>
          <w:tcPr>
            <w:tcW w:w="3997"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водой для сельскохозяйственных нужд (таких как ирригация) или промышленных (например, для фрезерования) процессов или транспорта</w:t>
            </w:r>
          </w:p>
        </w:tc>
      </w:tr>
      <w:tr w:rsidR="00EA72C7" w:rsidTr="003E7002">
        <w:trPr>
          <w:jc w:val="center"/>
        </w:trPr>
        <w:tc>
          <w:tcPr>
            <w:tcW w:w="1838"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Водоснабжение</w:t>
            </w:r>
          </w:p>
        </w:tc>
        <w:tc>
          <w:tcPr>
            <w:tcW w:w="3686"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Хранение и удержание воды.</w:t>
            </w:r>
          </w:p>
        </w:tc>
        <w:tc>
          <w:tcPr>
            <w:tcW w:w="3997"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водой водосборов, водохранилищ и водосборов</w:t>
            </w:r>
          </w:p>
        </w:tc>
      </w:tr>
      <w:tr w:rsidR="00EA72C7" w:rsidTr="003E7002">
        <w:trPr>
          <w:jc w:val="center"/>
        </w:trPr>
        <w:tc>
          <w:tcPr>
            <w:tcW w:w="9521" w:type="dxa"/>
            <w:gridSpan w:val="3"/>
            <w:tcBorders>
              <w:top w:val="nil"/>
              <w:left w:val="nil"/>
              <w:right w:val="nil"/>
            </w:tcBorders>
          </w:tcPr>
          <w:p w:rsidR="00EA72C7" w:rsidRDefault="00EA72C7" w:rsidP="003E7002">
            <w:pPr>
              <w:ind w:hanging="94"/>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Продолжение таблицы 1</w:t>
            </w:r>
          </w:p>
          <w:p w:rsidR="00EA72C7" w:rsidRDefault="00EA72C7" w:rsidP="003E7002">
            <w:pPr>
              <w:ind w:hanging="94"/>
              <w:rPr>
                <w:rFonts w:ascii="Times New Roman" w:eastAsia="Times New Roman" w:hAnsi="Times New Roman" w:cs="Times New Roman"/>
                <w:sz w:val="16"/>
                <w:szCs w:val="16"/>
              </w:rPr>
            </w:pPr>
          </w:p>
        </w:tc>
      </w:tr>
      <w:tr w:rsidR="00EA72C7" w:rsidTr="003E7002">
        <w:trPr>
          <w:jc w:val="center"/>
        </w:trPr>
        <w:tc>
          <w:tcPr>
            <w:tcW w:w="1838"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86"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97"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A72C7" w:rsidTr="003E7002">
        <w:trPr>
          <w:jc w:val="center"/>
        </w:trPr>
        <w:tc>
          <w:tcPr>
            <w:tcW w:w="1838"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Борьба с эрозией и удержание отложений</w:t>
            </w:r>
          </w:p>
        </w:tc>
        <w:tc>
          <w:tcPr>
            <w:tcW w:w="3686"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Удержание почвы в пределах экосистемы.</w:t>
            </w:r>
          </w:p>
        </w:tc>
        <w:tc>
          <w:tcPr>
            <w:tcW w:w="3997"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Предотвращение потери почвы ветром, стоком или другими удаленными процессами</w:t>
            </w:r>
          </w:p>
        </w:tc>
      </w:tr>
      <w:tr w:rsidR="00EA72C7" w:rsidTr="003E7002">
        <w:trPr>
          <w:jc w:val="center"/>
        </w:trPr>
        <w:tc>
          <w:tcPr>
            <w:tcW w:w="1838"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почвы</w:t>
            </w:r>
          </w:p>
        </w:tc>
        <w:tc>
          <w:tcPr>
            <w:tcW w:w="3686"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Процессы формирования почвы</w:t>
            </w:r>
          </w:p>
        </w:tc>
        <w:tc>
          <w:tcPr>
            <w:tcW w:w="3997"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Выветривание горных пород и накопление органических веществ</w:t>
            </w:r>
          </w:p>
        </w:tc>
      </w:tr>
      <w:tr w:rsidR="00EA72C7" w:rsidTr="003E7002">
        <w:trPr>
          <w:jc w:val="center"/>
        </w:trPr>
        <w:tc>
          <w:tcPr>
            <w:tcW w:w="1838"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Цикл подачи питательных веществ</w:t>
            </w:r>
          </w:p>
        </w:tc>
        <w:tc>
          <w:tcPr>
            <w:tcW w:w="3686"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Хранение, обработка и получение питательных веществ.</w:t>
            </w:r>
          </w:p>
        </w:tc>
        <w:tc>
          <w:tcPr>
            <w:tcW w:w="3997"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Фиксация азота, N, P и другие элементные или питательные циклы</w:t>
            </w:r>
          </w:p>
        </w:tc>
      </w:tr>
      <w:tr w:rsidR="00EA72C7" w:rsidTr="003E7002">
        <w:trPr>
          <w:jc w:val="center"/>
        </w:trPr>
        <w:tc>
          <w:tcPr>
            <w:tcW w:w="1838"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Обработка отходов</w:t>
            </w:r>
          </w:p>
        </w:tc>
        <w:tc>
          <w:tcPr>
            <w:tcW w:w="3686"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Восстановление мобиль ных питательных веществ, удаление или распад избытка питательных веществ и соединений </w:t>
            </w:r>
          </w:p>
        </w:tc>
        <w:tc>
          <w:tcPr>
            <w:tcW w:w="3997"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Обработка отходов, борьба с загрязнением, детоксикация</w:t>
            </w:r>
          </w:p>
        </w:tc>
      </w:tr>
      <w:tr w:rsidR="00EA72C7" w:rsidTr="003E7002">
        <w:trPr>
          <w:jc w:val="center"/>
        </w:trPr>
        <w:tc>
          <w:tcPr>
            <w:tcW w:w="1838"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Опыление</w:t>
            </w:r>
          </w:p>
        </w:tc>
        <w:tc>
          <w:tcPr>
            <w:tcW w:w="3686"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Поставка цветочных гамет</w:t>
            </w:r>
          </w:p>
        </w:tc>
        <w:tc>
          <w:tcPr>
            <w:tcW w:w="3997"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Предоставление опылителей для размножения популяций растений</w:t>
            </w:r>
          </w:p>
        </w:tc>
      </w:tr>
      <w:tr w:rsidR="00EA72C7" w:rsidTr="003E7002">
        <w:trPr>
          <w:jc w:val="center"/>
        </w:trPr>
        <w:tc>
          <w:tcPr>
            <w:tcW w:w="1838"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Биологический контроль</w:t>
            </w:r>
          </w:p>
        </w:tc>
        <w:tc>
          <w:tcPr>
            <w:tcW w:w="3686"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Трофически-динамическая регуляция популяций</w:t>
            </w:r>
          </w:p>
        </w:tc>
        <w:tc>
          <w:tcPr>
            <w:tcW w:w="3997"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Основополагающий контроль хищников над видами хищников, сокращение их численности за счет высших хищников</w:t>
            </w:r>
          </w:p>
        </w:tc>
      </w:tr>
      <w:tr w:rsidR="00EA72C7" w:rsidTr="003E7002">
        <w:trPr>
          <w:jc w:val="center"/>
        </w:trPr>
        <w:tc>
          <w:tcPr>
            <w:tcW w:w="1838"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Ареалы</w:t>
            </w:r>
          </w:p>
        </w:tc>
        <w:tc>
          <w:tcPr>
            <w:tcW w:w="3686"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Регулирование обитания постоянных и временных популяций</w:t>
            </w:r>
          </w:p>
        </w:tc>
        <w:tc>
          <w:tcPr>
            <w:tcW w:w="3997"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Питомники, местообитания для мигрирующих видов, региональные места обитания или зимующие участки</w:t>
            </w:r>
          </w:p>
        </w:tc>
      </w:tr>
      <w:tr w:rsidR="00EA72C7" w:rsidTr="003E7002">
        <w:trPr>
          <w:jc w:val="center"/>
        </w:trPr>
        <w:tc>
          <w:tcPr>
            <w:tcW w:w="1838"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Производство пищевых продуктов</w:t>
            </w:r>
          </w:p>
        </w:tc>
        <w:tc>
          <w:tcPr>
            <w:tcW w:w="3686"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Эта часть валового первичного производства продуктов</w:t>
            </w:r>
          </w:p>
        </w:tc>
        <w:tc>
          <w:tcPr>
            <w:tcW w:w="3997"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Производство рыбы, дичи, сельско хозяйственных культур, орехов, фруктов путем охоты, собирательства и сельского хозяйства или рыбалка</w:t>
            </w:r>
          </w:p>
        </w:tc>
      </w:tr>
      <w:tr w:rsidR="00EA72C7" w:rsidTr="003E7002">
        <w:trPr>
          <w:jc w:val="center"/>
        </w:trPr>
        <w:tc>
          <w:tcPr>
            <w:tcW w:w="1838"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Сырье и материалы.</w:t>
            </w:r>
          </w:p>
        </w:tc>
        <w:tc>
          <w:tcPr>
            <w:tcW w:w="3686"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Часть валовой первичной продукции, которая извлекается как сырье</w:t>
            </w:r>
          </w:p>
        </w:tc>
        <w:tc>
          <w:tcPr>
            <w:tcW w:w="3997"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Производство пиломатериалов, топлива или кормов</w:t>
            </w:r>
          </w:p>
        </w:tc>
      </w:tr>
      <w:tr w:rsidR="00EA72C7" w:rsidTr="003E7002">
        <w:trPr>
          <w:jc w:val="center"/>
        </w:trPr>
        <w:tc>
          <w:tcPr>
            <w:tcW w:w="1838"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Генетические ресурсы</w:t>
            </w:r>
          </w:p>
        </w:tc>
        <w:tc>
          <w:tcPr>
            <w:tcW w:w="3686"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Источники уникальных биологических материалов и продуктов.</w:t>
            </w:r>
          </w:p>
        </w:tc>
        <w:tc>
          <w:tcPr>
            <w:tcW w:w="3997"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Медицина, продукты для материало ведения, гены для устойчивости к болезнетворным микроорганизмам и вредителям сельскохозяйствен</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ных культур, декоративные виды (домашние животные и садовые сорта растений)</w:t>
            </w:r>
          </w:p>
        </w:tc>
      </w:tr>
      <w:tr w:rsidR="00EA72C7" w:rsidTr="003E7002">
        <w:trPr>
          <w:jc w:val="center"/>
        </w:trPr>
        <w:tc>
          <w:tcPr>
            <w:tcW w:w="1838"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Отдых</w:t>
            </w:r>
          </w:p>
        </w:tc>
        <w:tc>
          <w:tcPr>
            <w:tcW w:w="3686"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Отдых и развлечения</w:t>
            </w:r>
          </w:p>
        </w:tc>
        <w:tc>
          <w:tcPr>
            <w:tcW w:w="3997"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Эко-туризм, спортивная рыбалка и другие виды отдыха на свежем воздухе</w:t>
            </w:r>
          </w:p>
        </w:tc>
      </w:tr>
      <w:tr w:rsidR="00EA72C7" w:rsidTr="003E7002">
        <w:trPr>
          <w:jc w:val="center"/>
        </w:trPr>
        <w:tc>
          <w:tcPr>
            <w:tcW w:w="1838"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Культурное обеспечение</w:t>
            </w:r>
          </w:p>
        </w:tc>
        <w:tc>
          <w:tcPr>
            <w:tcW w:w="3686"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Возможности для некоммерческого использования</w:t>
            </w:r>
          </w:p>
        </w:tc>
        <w:tc>
          <w:tcPr>
            <w:tcW w:w="3997"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Эстетические, художественные, образовательные, духовные и / или научные ценности экосистем</w:t>
            </w:r>
          </w:p>
        </w:tc>
      </w:tr>
      <w:tr w:rsidR="00EA72C7" w:rsidTr="003E7002">
        <w:trPr>
          <w:jc w:val="center"/>
        </w:trPr>
        <w:tc>
          <w:tcPr>
            <w:tcW w:w="9521" w:type="dxa"/>
            <w:gridSpan w:val="3"/>
          </w:tcPr>
          <w:p w:rsidR="00EA72C7" w:rsidRDefault="00EA72C7" w:rsidP="003E7002">
            <w:pPr>
              <w:ind w:firstLine="601"/>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по источнику [6</w:t>
            </w:r>
            <w:r>
              <w:rPr>
                <w:rFonts w:ascii="Times New Roman" w:eastAsia="Times New Roman" w:hAnsi="Times New Roman" w:cs="Times New Roman"/>
                <w:sz w:val="24"/>
                <w:szCs w:val="24"/>
                <w:lang w:val="kk-KZ"/>
              </w:rPr>
              <w:t>, р. 253-259</w:t>
            </w:r>
            <w:r>
              <w:rPr>
                <w:rFonts w:ascii="Times New Roman" w:eastAsia="Times New Roman" w:hAnsi="Times New Roman" w:cs="Times New Roman"/>
                <w:sz w:val="24"/>
                <w:szCs w:val="24"/>
              </w:rPr>
              <w:t>]</w:t>
            </w:r>
          </w:p>
        </w:tc>
      </w:tr>
    </w:tbl>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той или ной модификации именно такой подход к классификации экосистемных услуг можно обнаружить во многих зарубежных научных публикациях.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 экосистемными функциями обычно понимают интегральное влияние экосистемы на окружающую среду, сумму процессов, которую она «выдает на выходе» – результат суммарной активности всех входящих в нее живых организмов [7, с. 974-985].</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Некоторые исследователи подчеркивают значение средообразующей функции биоразнообразия, что подтверждает теория биотической регуляции, разработанная российскими учеными [52, 53] в русле идей В.И. Вернадского о биосфере. В средообразующую функцию принято включать регулирование экосистемных процессов и защитные функции.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Важным и сложным методологическим вопросом при использовании экосистемного подхода является также вопрос оценки экологической эффективности или эко-эффективности (ЭЭ). ОЭСР определяет ЭЭ как «эффективность, с которой экологические ресурсы используются для удовлетворения потребностей человека» </w:t>
      </w:r>
      <w:r w:rsidR="005F2A00">
        <w:rPr>
          <w:rFonts w:ascii="Times New Roman" w:eastAsia="Times New Roman" w:hAnsi="Times New Roman" w:cs="Times New Roman"/>
          <w:sz w:val="28"/>
          <w:szCs w:val="28"/>
        </w:rPr>
        <w:t xml:space="preserve">[47] </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Экономическая эффективность не подразумевает экологическую эффективность (далее – ЭЭ), поскольку производственные процессы могут слишком сильно зависеть от ископаемого топлива или технологий, которые, хотя технически эффективны и дешевы, приводят к высоким уровням выбросов или другим воздействиям на окружающую среду. Если есть техническая или экономическая неэффективность, это может привести к экологической неэффективности. Например, неэффективное использование энергии приводит к технической, экономической и экологической неэффективности из-за того, что расход ресурсов увеличивает загрязнение.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Существует несколько способов измерения ЭЭ, которые зависят от цели и объема проводимого исследования. Как определено Всемирным деловым советом по устойчивому развитию (WBCSD), «экоэффективность достигается поставкой товаров и услуг по конкурентоспособным ценам, которые удовлетворяют потребности человека и обеспечивают качество жизни, в то же время постепенно снижая воздействие на окружающую среду и ресурсоемкость на протяжении всей жизни». Эта концепция связана с созданием большей ценности с меньшим воздействием.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Другие определения ЭЭ связаны с ее понимаем, как эффективности, при которой экологические ресурсы используются для удовлетворения потребностей человека, как «способность фирм, отраслей или экономик производить товары и услуги при меньшем воздействии на окружающую среду и потребляя меньше природных ресурсов [2, р. 1154-1163].</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2012 году была создана межправительственная научно-политическая платформа по биологическому разнообразию и экосистемным услугам, призванная обеспечить взаимодействие между научным сообществом и директивными органами, а также укрепить потенциал в области использования научных знаний и оценок экосистемных услуг в процессе разработки политики, проводящие оценку биоразнообразия и экосистемных услуг (BES). Подобные платформы есть сегодня в Китае, Мексике и Великобритании. Это открывает новые горизонты в разработке приложений, работающих с имеющимися данными, и определении индикаторов оценки и отчетности, других способов информирования общественности о полученных выводах </w:t>
      </w:r>
      <w:r w:rsidR="005F2A00">
        <w:rPr>
          <w:rFonts w:ascii="Times New Roman" w:eastAsia="Times New Roman" w:hAnsi="Times New Roman" w:cs="Times New Roman"/>
          <w:sz w:val="28"/>
          <w:szCs w:val="28"/>
        </w:rPr>
        <w:t xml:space="preserve">[48] </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Сегодня в обществе пришло осознание того, что экосистемные структуры окружают нас повсюду, включая крупные города. В связи с этим актуализируется развитие практик гражданской экологии. В городской среде парки, общественные сады и другая зеленая инфраструктура служат площадками для регулирования микроклимата, опыления, производства продуктов питания, образования и отдыха. Практика гражданской экологии, определяемая как «действия по охране окружающей среды на местном уровне, предпринимаемые для улучшения зеленой инфраструктуры и благосостояния населения городских и других систем, в которых доминирует человек» </w:t>
      </w:r>
      <w:r w:rsidR="005F2A00">
        <w:rPr>
          <w:rFonts w:ascii="Times New Roman" w:eastAsia="Times New Roman" w:hAnsi="Times New Roman" w:cs="Times New Roman"/>
          <w:sz w:val="28"/>
          <w:szCs w:val="28"/>
        </w:rPr>
        <w:t xml:space="preserve">[49] </w:t>
      </w:r>
      <w:r>
        <w:rPr>
          <w:rFonts w:ascii="Times New Roman" w:eastAsia="Times New Roman" w:hAnsi="Times New Roman" w:cs="Times New Roman"/>
          <w:sz w:val="28"/>
          <w:szCs w:val="28"/>
        </w:rPr>
        <w:t>, также может способствовать экосистемным услугам. Примерами гражданской экологической практики являются посадки деревьев, уборка территорий, садоводство.</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гражданской экологии экосистемное управление может рассматриваться как одна из форм взаимодействия между людьми и остальной частью социально-экологической системы, может пониматься как практика или процесс, который способствует производству экосистемных услуг важными, ранее неисследованными способами.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к настоящему времени складывается как глобальное, так и национальное видение экосистемы, экосистемного управления, экосистемных услуг, эко-эффективности и гражданской экологии, основанные на экосистемном подходе.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Отдельный вопрос – стремительное изменение климата в глобальном масштабе. В последнем докладе Всемирной метеорологической организации (World Meteorological Organization, WMO) «The Global Climate in 2015-2019» </w:t>
      </w:r>
      <w:r w:rsidR="005F2A00">
        <w:rPr>
          <w:rFonts w:ascii="Times New Roman" w:eastAsia="Times New Roman" w:hAnsi="Times New Roman" w:cs="Times New Roman"/>
          <w:sz w:val="28"/>
          <w:szCs w:val="28"/>
        </w:rPr>
        <w:t xml:space="preserve">[50] </w:t>
      </w:r>
      <w:r>
        <w:rPr>
          <w:rFonts w:ascii="Times New Roman" w:eastAsia="Times New Roman" w:hAnsi="Times New Roman" w:cs="Times New Roman"/>
          <w:sz w:val="28"/>
          <w:szCs w:val="28"/>
        </w:rPr>
        <w:t>, составленном для информирования Саммита действий по изменению климата Генерального секретаря ООН, говорится, что глобальная средняя температура увеличилась на 1,1°C по сравнению с доиндустриальным периодом и на 0,2°C по сравнению с периодом 2011-2015 гг.</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Сопутствующий отчет WMO о концентрациях парниковых газов показывает, что в 2015-2019 гг. наблюдалось постоянное увеличение уровней </w:t>
      </w:r>
      <w:r>
        <w:rPr>
          <w:rFonts w:ascii="Times New Roman" w:eastAsia="Times New Roman" w:hAnsi="Times New Roman" w:cs="Times New Roman"/>
          <w:sz w:val="28"/>
          <w:szCs w:val="28"/>
        </w:rPr>
        <w:lastRenderedPageBreak/>
        <w:t>углекислого газа (CO2) и других ключевых парниковых газов в атмосфере, что подтверждает новые рекорды, причем темпы роста CO2 почти на 20% выше, чем за предыдущие пять лет. CO2 остается в атмосфере веками, а в мировом океане еще дольше. Предварительные данные из набора наблюдательных площадок для парниковых газов за 2019 год показывают, что глобальные концентрации CO2 находятся на пути к достижению или даже превышению 410 ppm к концу 2019 года.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пятилетний период май 2014-2019 гг. темпы глобального повышения среднего уровня моря составили 5 мм в год по сравнению с 4 мм в год в период 2007-2016 гг. Это значительно быстрее, чем средняя скорость с 1993 года 3,2 мм/год. Наблюдается вклад таяния ледяного покрова от мировых ледников и ледяных щитов.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2015-2018 гг. средняя минимальная (летом) протяженность морского льда в Арктике была значительно ниже средней в 1981-2010 годах, как и средняя протяженность морского льда в зимний период. Многолетний лед почти исчез.</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Более 90% избыточного тепла, вызванного изменением климата, хранится в океанах. В 2018 году были зафиксированы самые большие значения теплосодержания в океане на последних 700 метрах, причем 2017 год занимает второе место, а 2015 год – третье.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Океан поглощает около 30% ежегодных антропогенных выбросов CO2, тем самым помогая уменьшить потепление. Однако экологические издержки для океана довольно высоки, поскольку поглощенный CO2 вступает в реакцию с морской водой и изменяет кислотность океана. С начала промышленной революции общее повышение кислотности составило 26%.</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Потепление мирового океана усиливает его расслоение и вместе с подкислением и дезоксигенацией может привести к драматическим изменениям в экосистеме мирового сообщества и биоразнообразии, способствовать вымиранию населения, обесцвечиванию кораллов, инфекционным заболеваниям [58, 59].</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Волны тепла, которые были самой опасной метеорологической опасностью в период 2015-2019 годов, затронули все континенты и привели к многочисленным новым рекордам температуры.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Более 90% стихийных бедствий связаны с погодой. Доминирующими бедствиями являются штормы и наводнения, которые приводят к самым высоким экономическим потерям. Волны тепла и засуха привели к человеческим жертвам, усилению лесных пожаров и потере урожая.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 многих случаях пожары привели к массовым выбросам CO2 в атмосферу. Летом 2019 года в Арктике произошли беспрецедентные пожары. Только в июне в результате этих пожаров в атмосферу было выброшено 50 мегатонн (Мт) CO2. Это больше, чем было выпущено арктическими пожарами в том же месяце с 2010 по 2018 год вместе взятыми. В 2018 году в Канаде и Швеции также произошли массовые лесные пожары. Были также широко распространенные пожары в невозобновляемых тропических лесах Южной Азии </w:t>
      </w:r>
      <w:r>
        <w:rPr>
          <w:rFonts w:ascii="Times New Roman" w:eastAsia="Times New Roman" w:hAnsi="Times New Roman" w:cs="Times New Roman"/>
          <w:sz w:val="28"/>
          <w:szCs w:val="28"/>
        </w:rPr>
        <w:lastRenderedPageBreak/>
        <w:t xml:space="preserve">и Амазонки, которые оказали воздействие на глобальный углеродный бюджет </w:t>
      </w:r>
      <w:r w:rsidR="005F2A00">
        <w:rPr>
          <w:rFonts w:ascii="Times New Roman" w:eastAsia="Times New Roman" w:hAnsi="Times New Roman" w:cs="Times New Roman"/>
          <w:sz w:val="28"/>
          <w:szCs w:val="28"/>
        </w:rPr>
        <w:t xml:space="preserve">[50] </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w:t>
      </w:r>
      <w:r>
        <w:rPr>
          <w:rFonts w:ascii="Times New Roman" w:eastAsia="Times New Roman" w:hAnsi="Times New Roman" w:cs="Times New Roman"/>
          <w:i/>
          <w:sz w:val="28"/>
          <w:szCs w:val="28"/>
        </w:rPr>
        <w:t>экосистемный подход</w:t>
      </w:r>
      <w:r>
        <w:rPr>
          <w:rFonts w:ascii="Times New Roman" w:eastAsia="Times New Roman" w:hAnsi="Times New Roman" w:cs="Times New Roman"/>
          <w:sz w:val="28"/>
          <w:szCs w:val="28"/>
        </w:rPr>
        <w:t xml:space="preserve"> следует рассматривать как новый и комплексный подход в управлении, а </w:t>
      </w:r>
      <w:r>
        <w:rPr>
          <w:rFonts w:ascii="Times New Roman" w:eastAsia="Times New Roman" w:hAnsi="Times New Roman" w:cs="Times New Roman"/>
          <w:i/>
          <w:sz w:val="28"/>
          <w:szCs w:val="28"/>
        </w:rPr>
        <w:t>экосистемное управление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как симбиоз экологических, экономических и социальных принципов управления биологическими и физическими экосистемами, преследующее три основные цели: экологической устойчивости, биологического разнообразия и продуктивности окружающей среды.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экологическим принципам экоуправления относятся: учет экологических особенностей среды; своевременное решение проблемы; ответственность за экологические последствия, возникающие в результате принятия управленческих решений любого уровня; приоритетность решения экологических проблем.</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экономическим принципам экоуправления следует отнести: применение экономического механизма природопользования, включая оценку экологического ущерба; использование методов экологического маркетинга; сбор и анализ экологически значимой информации; учет и контроль приоритетов охраны окружающей среды при прогнозировании и планировании деятельности организации; внедрение малоотходных технологий; обеспечение экологической безопасности производства, и т.д.</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Социальные принципы экоуправления включают: внедрение экологической корпоративной культуры в организации; влияние на поведенческие мотивы сотрудников, в том числе широкое вовлечение сотрудников в здоровый образ жизни и решение экологических проблем; взаимодействие с внешней средой и общественностью по вопросам экологической безопасности.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Общее, что связывает большинство определений </w:t>
      </w:r>
      <w:r>
        <w:rPr>
          <w:rFonts w:ascii="Times New Roman" w:eastAsia="Times New Roman" w:hAnsi="Times New Roman" w:cs="Times New Roman"/>
          <w:i/>
          <w:sz w:val="28"/>
          <w:szCs w:val="28"/>
        </w:rPr>
        <w:t>экосистемных услуг</w:t>
      </w:r>
      <w:r>
        <w:rPr>
          <w:rFonts w:ascii="Times New Roman" w:eastAsia="Times New Roman" w:hAnsi="Times New Roman" w:cs="Times New Roman"/>
          <w:sz w:val="28"/>
          <w:szCs w:val="28"/>
        </w:rPr>
        <w:t>, – это их непосредственная взаимосвязь с выгодами и благосостоянием человека, как сегодня, так и в будущем.</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Экосистемный подход и экологические знания могут оказаться полезными в решении не только проблем изменения климата на Планете, но и сложных экономических проблем, в том числе в сельском хозяйстве, нефтегазодобыче, транспорте, здравоохранении, сфере рекреации и досуга с тем, чтобы создать более устойчивую биосферу и более справедливое общество, основанное на междисциплинарной парадигме. Для продвижения экосистемного подхода к принятию государственных решений, прежде всего научному сообществу Казахстана необходимо пересмотреть свое отношение к экосистемному подходу в управлении, изучить его глубже, осознать роль экосистемы и экосистемных услуг в национальной экономике, выработать практические рекомендации по их имплементации в государственное управление.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рассмотрим более подробно принципы, методы и модели принятия управленческих решений в рамках экосистемного подхода.</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pStyle w:val="2"/>
        <w:spacing w:before="0" w:line="240" w:lineRule="auto"/>
        <w:ind w:firstLine="709"/>
        <w:jc w:val="both"/>
        <w:rPr>
          <w:rFonts w:ascii="Times New Roman" w:eastAsia="Times New Roman" w:hAnsi="Times New Roman" w:cs="Times New Roman"/>
          <w:color w:val="000000"/>
          <w:sz w:val="28"/>
          <w:szCs w:val="28"/>
        </w:rPr>
      </w:pPr>
      <w:bookmarkStart w:id="7" w:name="_heading=h.3dy6vkm" w:colFirst="0" w:colLast="0"/>
      <w:bookmarkEnd w:id="7"/>
      <w:r>
        <w:rPr>
          <w:rFonts w:ascii="Times New Roman" w:eastAsia="Times New Roman" w:hAnsi="Times New Roman" w:cs="Times New Roman"/>
          <w:color w:val="000000"/>
          <w:sz w:val="28"/>
          <w:szCs w:val="28"/>
        </w:rPr>
        <w:lastRenderedPageBreak/>
        <w:t>1.2 Методы и модели принятия управленческих решений в рамках экосистемного подхода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теоретическим подходам, представленным в научной литературе, процесс управления представляет собой целенаправленное воздействие субъекта управления на объект управления, осуществляемое для достижения определенных целей. Процесс управления организацией состоит из взаимосвязанных обобщенных функций: планирование, организация, мотивация, координация и контроль, объединенных связующими процессами коммуникации </w:t>
      </w:r>
      <w:r w:rsidR="005F2A00">
        <w:rPr>
          <w:rFonts w:ascii="Times New Roman" w:eastAsia="Times New Roman" w:hAnsi="Times New Roman" w:cs="Times New Roman"/>
          <w:sz w:val="28"/>
          <w:szCs w:val="28"/>
        </w:rPr>
        <w:t xml:space="preserve">[53] </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Выполнение перечисленных функций при экосистемном подходе также требует принятия соответствующих управленческих решений (УР).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мнению ученых, принятие решений является мыслительным процессом, предполагающим предварительное осознание цели и способа действий, проработку различных вариантов </w:t>
      </w:r>
      <w:r w:rsidR="005F2A00">
        <w:rPr>
          <w:rFonts w:ascii="Times New Roman" w:eastAsia="Times New Roman" w:hAnsi="Times New Roman" w:cs="Times New Roman"/>
          <w:sz w:val="28"/>
          <w:szCs w:val="28"/>
        </w:rPr>
        <w:t xml:space="preserve">[54] </w:t>
      </w:r>
      <w:r>
        <w:rPr>
          <w:rFonts w:ascii="Times New Roman" w:eastAsia="Times New Roman" w:hAnsi="Times New Roman" w:cs="Times New Roman"/>
          <w:sz w:val="28"/>
          <w:szCs w:val="28"/>
        </w:rPr>
        <w:t xml:space="preserve">. В обычном случае - это выбор из двух альтернатив: действовать или не действовать.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представляет собой одновременно процесс и результат выбора цели и способа ее достижения, это связующее звено между познанием и тем или иным вариантом поведения человека. Решения могут быть индивидуальными и групповыми:</w:t>
      </w:r>
      <w:r>
        <w:t xml:space="preserve"> </w:t>
      </w:r>
      <w:r>
        <w:rPr>
          <w:rFonts w:ascii="Times New Roman" w:eastAsia="Times New Roman" w:hAnsi="Times New Roman" w:cs="Times New Roman"/>
          <w:sz w:val="28"/>
          <w:szCs w:val="28"/>
        </w:rPr>
        <w:t>по критерию новизны: рутинные, селективные, адаптационные и инновационные; по степени регламентации: директивные, ориентирующие и рекомендующие; по содержанию управленческого процесса: социальные, экономические, организационные, технические; по уровням планирования (стратегические, тактические и оперативные) и т.д.</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Управленческое решение</w:t>
      </w:r>
      <w:r>
        <w:rPr>
          <w:rFonts w:ascii="Times New Roman" w:eastAsia="Times New Roman" w:hAnsi="Times New Roman" w:cs="Times New Roman"/>
          <w:sz w:val="28"/>
          <w:szCs w:val="28"/>
        </w:rPr>
        <w:t xml:space="preserve"> – это социальный акт; выбранная альтернатива разрешения проблемы и проблемной ситуации, отобранная из множества возможных вариантов на основе критериев эффективности или субъективного предпочтения и воли лица, принимающего решение (ЛПР), подкрепленных </w:t>
      </w:r>
      <w:r w:rsidR="00347F44">
        <w:rPr>
          <w:rFonts w:ascii="Times New Roman" w:eastAsia="Times New Roman" w:hAnsi="Times New Roman" w:cs="Times New Roman"/>
          <w:sz w:val="28"/>
          <w:szCs w:val="28"/>
        </w:rPr>
        <w:t>соответствующими полномочиями [</w:t>
      </w:r>
      <w:r w:rsidR="00347F44" w:rsidRPr="00347F44">
        <w:rPr>
          <w:rFonts w:ascii="Times New Roman" w:eastAsia="Times New Roman" w:hAnsi="Times New Roman" w:cs="Times New Roman"/>
          <w:sz w:val="28"/>
          <w:szCs w:val="28"/>
        </w:rPr>
        <w:t>64</w:t>
      </w:r>
      <w:r>
        <w:rPr>
          <w:rFonts w:ascii="Times New Roman" w:eastAsia="Times New Roman" w:hAnsi="Times New Roman" w:cs="Times New Roman"/>
          <w:sz w:val="28"/>
          <w:szCs w:val="28"/>
        </w:rPr>
        <w:t xml:space="preserve">, с. 5-6].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принятии решений неявно участвует и окружение ЛПР, сотрудники той организации, от имени которой ЛПР принимает решения. Именно этой группе ЛПР в первую очередь объясняет логичность, разумность, обоснованность своего решения </w:t>
      </w:r>
      <w:r w:rsidR="005F2A00">
        <w:rPr>
          <w:rFonts w:ascii="Times New Roman" w:eastAsia="Times New Roman" w:hAnsi="Times New Roman" w:cs="Times New Roman"/>
          <w:sz w:val="28"/>
          <w:szCs w:val="28"/>
        </w:rPr>
        <w:t xml:space="preserve">[55] </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Целью УР является обеспечение движения к поставленным перед организацией целям. Чем эффективнее решение, тем больший вклад оно обеспечивает в движении к целям организации [63-65].</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Одно из основных допущений экономической теории состоит в том, что человек делает рациональный выбор, который означает предположение, что решение человека является результатом упорядоченного процесса мышления. Вводится ряд предположений о поведении человека, которые называются аксиомами рационального поведения. Впервые такие аксиомы приведены исследователями в </w:t>
      </w:r>
      <w:r w:rsidR="005F2A00">
        <w:rPr>
          <w:rFonts w:ascii="Times New Roman" w:eastAsia="Times New Roman" w:hAnsi="Times New Roman" w:cs="Times New Roman"/>
          <w:sz w:val="28"/>
          <w:szCs w:val="28"/>
        </w:rPr>
        <w:t xml:space="preserve">[59] </w:t>
      </w:r>
      <w:r>
        <w:rPr>
          <w:rFonts w:ascii="Times New Roman" w:eastAsia="Times New Roman" w:hAnsi="Times New Roman" w:cs="Times New Roman"/>
          <w:sz w:val="28"/>
          <w:szCs w:val="28"/>
        </w:rPr>
        <w:t xml:space="preserve"> и развиты в </w:t>
      </w:r>
      <w:r w:rsidR="005F2A00">
        <w:rPr>
          <w:rFonts w:ascii="Times New Roman" w:eastAsia="Times New Roman" w:hAnsi="Times New Roman" w:cs="Times New Roman"/>
          <w:sz w:val="28"/>
          <w:szCs w:val="28"/>
        </w:rPr>
        <w:t xml:space="preserve">[60] </w:t>
      </w:r>
      <w:r>
        <w:rPr>
          <w:rFonts w:ascii="Times New Roman" w:eastAsia="Times New Roman" w:hAnsi="Times New Roman" w:cs="Times New Roman"/>
          <w:sz w:val="28"/>
          <w:szCs w:val="28"/>
        </w:rPr>
        <w:t>. Полезностью называют величину, которую в процессе выбора максимизирует личность с рациональным экономическим мышлением [62, с. 35].</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Термины «выбор» и «принятие решений» часто используют как синонимы, и это не случайно, тем самым подчеркивается значение этапа выбора возможного действия. Но сначала нужно выбрать критерий сравнения возможных решений, а потом его применять. Образно говоря, критерий можно назвать «весами», на которых взвешиваются будущие решения. «Критерий выбора альтернатив определяет, а в ряде случаев предопределяет всю структуру процесса принятия решений, его содержание, динамику и результативные характеристики» [55, с. 43].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Процесс принятия решения понимают также как форму интеллектуальной деятельности человека, способствующую или закреплению сложившихся форм знания, или выработке новых форм знания </w:t>
      </w:r>
      <w:r w:rsidR="005F2A00">
        <w:rPr>
          <w:rFonts w:ascii="Times New Roman" w:eastAsia="Times New Roman" w:hAnsi="Times New Roman" w:cs="Times New Roman"/>
          <w:sz w:val="28"/>
          <w:szCs w:val="28"/>
        </w:rPr>
        <w:t xml:space="preserve">[61] </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Наиболее распространенной моделью принятия решения является пошаговая модель. Процесс принятия решения включает в себя несколько стадий. Одним из первых эти стадии выделил французский философ XVIII века Ж.А.Н. Кондорсе, по мнению которого таких стадий три </w:t>
      </w:r>
      <w:r w:rsidR="005F2A00">
        <w:rPr>
          <w:rFonts w:ascii="Times New Roman" w:eastAsia="Times New Roman" w:hAnsi="Times New Roman" w:cs="Times New Roman"/>
          <w:sz w:val="28"/>
          <w:szCs w:val="28"/>
        </w:rPr>
        <w:t xml:space="preserve">[62] </w:t>
      </w:r>
      <w:r>
        <w:rPr>
          <w:rFonts w:ascii="Times New Roman" w:eastAsia="Times New Roman" w:hAnsi="Times New Roman" w:cs="Times New Roman"/>
          <w:sz w:val="28"/>
          <w:szCs w:val="28"/>
        </w:rPr>
        <w:t>: обсуждение принципов, в основу которых будет положено решение проблемы; прояснение решаемой проблемы и сведение всех выдвинутых возможных решений к ограниченному количеству альтернатив; выбор какого-то одного решения из оставшихся альтернатив.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Минцберг дал стадиям принятия решения новые названия: «identification» (идентификация), «development» (отработка) и «selection» (отбор) и детализировал каждую стадию (рисунок 1).</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inline distT="0" distB="0" distL="0" distR="0" wp14:anchorId="1F9E189B" wp14:editId="0F22A809">
                <wp:extent cx="5530378" cy="3823855"/>
                <wp:effectExtent l="0" t="0" r="13335" b="24765"/>
                <wp:docPr id="79" name="Группа 79"/>
                <wp:cNvGraphicFramePr/>
                <a:graphic xmlns:a="http://schemas.openxmlformats.org/drawingml/2006/main">
                  <a:graphicData uri="http://schemas.microsoft.com/office/word/2010/wordprocessingGroup">
                    <wpg:wgp>
                      <wpg:cNvGrpSpPr/>
                      <wpg:grpSpPr>
                        <a:xfrm>
                          <a:off x="0" y="0"/>
                          <a:ext cx="5530378" cy="3823855"/>
                          <a:chOff x="-1" y="0"/>
                          <a:chExt cx="5534026" cy="4004880"/>
                        </a:xfrm>
                      </wpg:grpSpPr>
                      <wpg:grpSp>
                        <wpg:cNvPr id="1" name="Группа 1"/>
                        <wpg:cNvGrpSpPr/>
                        <wpg:grpSpPr>
                          <a:xfrm>
                            <a:off x="-1" y="0"/>
                            <a:ext cx="5534026" cy="4004880"/>
                            <a:chOff x="-1" y="0"/>
                            <a:chExt cx="5534026" cy="4004880"/>
                          </a:xfrm>
                        </wpg:grpSpPr>
                        <wps:wsp>
                          <wps:cNvPr id="2" name="Прямоугольник 2"/>
                          <wps:cNvSpPr/>
                          <wps:spPr>
                            <a:xfrm>
                              <a:off x="0" y="0"/>
                              <a:ext cx="5534025" cy="3883232"/>
                            </a:xfrm>
                            <a:prstGeom prst="rect">
                              <a:avLst/>
                            </a:prstGeom>
                            <a:noFill/>
                            <a:ln>
                              <a:noFill/>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3" name="Скругленный прямоугольник 3"/>
                          <wps:cNvSpPr/>
                          <wps:spPr>
                            <a:xfrm>
                              <a:off x="2547876" y="81343"/>
                              <a:ext cx="891713" cy="594475"/>
                            </a:xfrm>
                            <a:prstGeom prst="roundRect">
                              <a:avLst>
                                <a:gd name="adj" fmla="val 10000"/>
                              </a:avLst>
                            </a:prstGeom>
                            <a:solidFill>
                              <a:schemeClr val="lt1"/>
                            </a:solidFill>
                            <a:ln w="12700" cap="flat" cmpd="sng">
                              <a:solidFill>
                                <a:srgbClr val="528CBE"/>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4" name="Надпись 4"/>
                          <wps:cNvSpPr txBox="1"/>
                          <wps:spPr>
                            <a:xfrm>
                              <a:off x="2565288" y="98755"/>
                              <a:ext cx="856889" cy="559651"/>
                            </a:xfrm>
                            <a:prstGeom prst="rect">
                              <a:avLst/>
                            </a:prstGeom>
                            <a:noFill/>
                            <a:ln>
                              <a:noFill/>
                            </a:ln>
                          </wps:spPr>
                          <wps:txbx>
                            <w:txbxContent>
                              <w:p w:rsidR="00D06B63" w:rsidRPr="003327C9" w:rsidRDefault="00D06B63" w:rsidP="00EA72C7">
                                <w:pPr>
                                  <w:spacing w:after="0" w:line="215" w:lineRule="auto"/>
                                  <w:jc w:val="center"/>
                                  <w:textDirection w:val="btLr"/>
                                  <w:rPr>
                                    <w:sz w:val="24"/>
                                    <w:szCs w:val="24"/>
                                  </w:rPr>
                                </w:pPr>
                                <w:r w:rsidRPr="003327C9">
                                  <w:rPr>
                                    <w:rFonts w:ascii="Times New Roman" w:eastAsia="Times New Roman" w:hAnsi="Times New Roman" w:cs="Times New Roman"/>
                                    <w:i/>
                                    <w:color w:val="000000"/>
                                    <w:sz w:val="24"/>
                                    <w:szCs w:val="24"/>
                                  </w:rPr>
                                  <w:t>Процесс принятия решения</w:t>
                                </w:r>
                              </w:p>
                            </w:txbxContent>
                          </wps:txbx>
                          <wps:bodyPr spcFirstLastPara="1" wrap="square" lIns="38100" tIns="38100" rIns="38100" bIns="38100" anchor="ctr" anchorCtr="0">
                            <a:noAutofit/>
                          </wps:bodyPr>
                        </wps:wsp>
                        <wps:wsp>
                          <wps:cNvPr id="5" name="Полилиния 5"/>
                          <wps:cNvSpPr/>
                          <wps:spPr>
                            <a:xfrm>
                              <a:off x="1028172" y="675819"/>
                              <a:ext cx="1965560" cy="237790"/>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6" name="Скругленный прямоугольник 6"/>
                          <wps:cNvSpPr/>
                          <wps:spPr>
                            <a:xfrm>
                              <a:off x="456142" y="913609"/>
                              <a:ext cx="1144058" cy="594475"/>
                            </a:xfrm>
                            <a:prstGeom prst="roundRect">
                              <a:avLst>
                                <a:gd name="adj" fmla="val 10000"/>
                              </a:avLst>
                            </a:prstGeom>
                            <a:solidFill>
                              <a:schemeClr val="lt1"/>
                            </a:solidFill>
                            <a:ln w="12700" cap="flat" cmpd="sng">
                              <a:solidFill>
                                <a:srgbClr val="528CBE"/>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7" name="Надпись 7"/>
                          <wps:cNvSpPr txBox="1"/>
                          <wps:spPr>
                            <a:xfrm>
                              <a:off x="473554" y="931021"/>
                              <a:ext cx="1109234" cy="559651"/>
                            </a:xfrm>
                            <a:prstGeom prst="rect">
                              <a:avLst/>
                            </a:prstGeom>
                            <a:noFill/>
                            <a:ln>
                              <a:noFill/>
                            </a:ln>
                          </wps:spPr>
                          <wps:txbx>
                            <w:txbxContent>
                              <w:p w:rsidR="00D06B63" w:rsidRPr="003327C9" w:rsidRDefault="00D06B63" w:rsidP="00EA72C7">
                                <w:pPr>
                                  <w:spacing w:after="0" w:line="215" w:lineRule="auto"/>
                                  <w:jc w:val="center"/>
                                  <w:textDirection w:val="btLr"/>
                                  <w:rPr>
                                    <w:sz w:val="24"/>
                                    <w:szCs w:val="24"/>
                                  </w:rPr>
                                </w:pPr>
                                <w:r w:rsidRPr="003327C9">
                                  <w:rPr>
                                    <w:rFonts w:ascii="Times New Roman" w:eastAsia="Times New Roman" w:hAnsi="Times New Roman" w:cs="Times New Roman"/>
                                    <w:color w:val="000000"/>
                                    <w:sz w:val="24"/>
                                    <w:szCs w:val="24"/>
                                  </w:rPr>
                                  <w:t>«identification» (иденти</w:t>
                                </w:r>
                                <w:r>
                                  <w:rPr>
                                    <w:rFonts w:ascii="Times New Roman" w:eastAsia="Times New Roman" w:hAnsi="Times New Roman" w:cs="Times New Roman"/>
                                    <w:color w:val="000000"/>
                                    <w:sz w:val="24"/>
                                    <w:szCs w:val="24"/>
                                    <w:lang w:val="kk-KZ"/>
                                  </w:rPr>
                                  <w:t xml:space="preserve"> </w:t>
                                </w:r>
                                <w:r w:rsidRPr="003327C9">
                                  <w:rPr>
                                    <w:rFonts w:ascii="Times New Roman" w:eastAsia="Times New Roman" w:hAnsi="Times New Roman" w:cs="Times New Roman"/>
                                    <w:color w:val="000000"/>
                                    <w:sz w:val="24"/>
                                    <w:szCs w:val="24"/>
                                  </w:rPr>
                                  <w:t>фикация)</w:t>
                                </w:r>
                              </w:p>
                            </w:txbxContent>
                          </wps:txbx>
                          <wps:bodyPr spcFirstLastPara="1" wrap="square" lIns="38100" tIns="38100" rIns="38100" bIns="38100" anchor="ctr" anchorCtr="0">
                            <a:noAutofit/>
                          </wps:bodyPr>
                        </wps:wsp>
                        <wps:wsp>
                          <wps:cNvPr id="8" name="Полилиния 8"/>
                          <wps:cNvSpPr/>
                          <wps:spPr>
                            <a:xfrm>
                              <a:off x="448558" y="1508084"/>
                              <a:ext cx="579613" cy="237790"/>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9" name="Скругленный прямоугольник 9"/>
                          <wps:cNvSpPr/>
                          <wps:spPr>
                            <a:xfrm>
                              <a:off x="2702" y="1745874"/>
                              <a:ext cx="891713" cy="594475"/>
                            </a:xfrm>
                            <a:prstGeom prst="roundRect">
                              <a:avLst>
                                <a:gd name="adj" fmla="val 10000"/>
                              </a:avLst>
                            </a:prstGeom>
                            <a:solidFill>
                              <a:schemeClr val="lt1"/>
                            </a:solidFill>
                            <a:ln w="12700" cap="flat" cmpd="sng">
                              <a:solidFill>
                                <a:srgbClr val="528CBE"/>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0" name="Надпись 10"/>
                          <wps:cNvSpPr txBox="1"/>
                          <wps:spPr>
                            <a:xfrm>
                              <a:off x="-1" y="1684286"/>
                              <a:ext cx="894415" cy="735064"/>
                            </a:xfrm>
                            <a:prstGeom prst="rect">
                              <a:avLst/>
                            </a:prstGeom>
                            <a:noFill/>
                            <a:ln>
                              <a:noFill/>
                            </a:ln>
                          </wps:spPr>
                          <wps:txbx>
                            <w:txbxContent>
                              <w:p w:rsidR="00D06B63" w:rsidRPr="003327C9" w:rsidRDefault="00D06B63" w:rsidP="00EA72C7">
                                <w:pPr>
                                  <w:spacing w:after="0" w:line="192" w:lineRule="auto"/>
                                  <w:jc w:val="center"/>
                                  <w:textDirection w:val="btLr"/>
                                  <w:rPr>
                                    <w:sz w:val="24"/>
                                    <w:szCs w:val="24"/>
                                  </w:rPr>
                                </w:pPr>
                                <w:r w:rsidRPr="003327C9">
                                  <w:rPr>
                                    <w:rFonts w:ascii="Times New Roman" w:eastAsia="Times New Roman" w:hAnsi="Times New Roman" w:cs="Times New Roman"/>
                                    <w:color w:val="000000"/>
                                    <w:sz w:val="24"/>
                                    <w:szCs w:val="24"/>
                                  </w:rPr>
                                  <w:t>decision recognition (поиск решения)</w:t>
                                </w:r>
                              </w:p>
                            </w:txbxContent>
                          </wps:txbx>
                          <wps:bodyPr spcFirstLastPara="1" wrap="square" lIns="38100" tIns="38100" rIns="38100" bIns="38100" anchor="ctr" anchorCtr="0">
                            <a:noAutofit/>
                          </wps:bodyPr>
                        </wps:wsp>
                        <wps:wsp>
                          <wps:cNvPr id="11" name="Полилиния 11"/>
                          <wps:cNvSpPr/>
                          <wps:spPr>
                            <a:xfrm>
                              <a:off x="1028172" y="1508084"/>
                              <a:ext cx="579613" cy="237790"/>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12" name="Скругленный прямоугольник 12"/>
                          <wps:cNvSpPr/>
                          <wps:spPr>
                            <a:xfrm>
                              <a:off x="1161929" y="1745874"/>
                              <a:ext cx="891713" cy="594475"/>
                            </a:xfrm>
                            <a:prstGeom prst="roundRect">
                              <a:avLst>
                                <a:gd name="adj" fmla="val 10000"/>
                              </a:avLst>
                            </a:prstGeom>
                            <a:solidFill>
                              <a:schemeClr val="lt1"/>
                            </a:solidFill>
                            <a:ln w="12700" cap="flat" cmpd="sng">
                              <a:solidFill>
                                <a:srgbClr val="528CBE"/>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3" name="Надпись 13"/>
                          <wps:cNvSpPr txBox="1"/>
                          <wps:spPr>
                            <a:xfrm>
                              <a:off x="1179341" y="1763286"/>
                              <a:ext cx="856889" cy="559651"/>
                            </a:xfrm>
                            <a:prstGeom prst="rect">
                              <a:avLst/>
                            </a:prstGeom>
                            <a:noFill/>
                            <a:ln>
                              <a:noFill/>
                            </a:ln>
                          </wps:spPr>
                          <wps:txbx>
                            <w:txbxContent>
                              <w:p w:rsidR="00D06B63" w:rsidRPr="003327C9" w:rsidRDefault="00D06B63" w:rsidP="00EA72C7">
                                <w:pPr>
                                  <w:spacing w:after="0" w:line="215" w:lineRule="auto"/>
                                  <w:jc w:val="center"/>
                                  <w:textDirection w:val="btLr"/>
                                  <w:rPr>
                                    <w:sz w:val="24"/>
                                    <w:szCs w:val="24"/>
                                  </w:rPr>
                                </w:pPr>
                                <w:r w:rsidRPr="003327C9">
                                  <w:rPr>
                                    <w:rFonts w:ascii="Times New Roman" w:eastAsia="Times New Roman" w:hAnsi="Times New Roman" w:cs="Times New Roman"/>
                                    <w:color w:val="000000"/>
                                    <w:sz w:val="24"/>
                                    <w:szCs w:val="24"/>
                                  </w:rPr>
                                  <w:t>diagnosis (оценка)</w:t>
                                </w:r>
                              </w:p>
                            </w:txbxContent>
                          </wps:txbx>
                          <wps:bodyPr spcFirstLastPara="1" wrap="square" lIns="38100" tIns="38100" rIns="38100" bIns="38100" anchor="ctr" anchorCtr="0">
                            <a:noAutofit/>
                          </wps:bodyPr>
                        </wps:wsp>
                        <wps:wsp>
                          <wps:cNvPr id="14" name="Полилиния 14"/>
                          <wps:cNvSpPr/>
                          <wps:spPr>
                            <a:xfrm>
                              <a:off x="2993732" y="675819"/>
                              <a:ext cx="352893" cy="237790"/>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15" name="Скругленный прямоугольник 15"/>
                          <wps:cNvSpPr/>
                          <wps:spPr>
                            <a:xfrm>
                              <a:off x="2790825" y="913609"/>
                              <a:ext cx="1111600" cy="594475"/>
                            </a:xfrm>
                            <a:prstGeom prst="roundRect">
                              <a:avLst>
                                <a:gd name="adj" fmla="val 10000"/>
                              </a:avLst>
                            </a:prstGeom>
                            <a:solidFill>
                              <a:schemeClr val="lt1"/>
                            </a:solidFill>
                            <a:ln w="12700" cap="flat" cmpd="sng">
                              <a:solidFill>
                                <a:srgbClr val="528CBE"/>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6" name="Надпись 16"/>
                          <wps:cNvSpPr txBox="1"/>
                          <wps:spPr>
                            <a:xfrm>
                              <a:off x="2808237" y="931021"/>
                              <a:ext cx="1076776" cy="559651"/>
                            </a:xfrm>
                            <a:prstGeom prst="rect">
                              <a:avLst/>
                            </a:prstGeom>
                            <a:noFill/>
                            <a:ln>
                              <a:noFill/>
                            </a:ln>
                          </wps:spPr>
                          <wps:txbx>
                            <w:txbxContent>
                              <w:p w:rsidR="00D06B63" w:rsidRPr="003327C9" w:rsidRDefault="00D06B63" w:rsidP="00EA72C7">
                                <w:pPr>
                                  <w:spacing w:after="0" w:line="215" w:lineRule="auto"/>
                                  <w:jc w:val="center"/>
                                  <w:textDirection w:val="btLr"/>
                                  <w:rPr>
                                    <w:sz w:val="24"/>
                                    <w:szCs w:val="24"/>
                                  </w:rPr>
                                </w:pPr>
                                <w:r w:rsidRPr="003327C9">
                                  <w:rPr>
                                    <w:rFonts w:ascii="Times New Roman" w:eastAsia="Times New Roman" w:hAnsi="Times New Roman" w:cs="Times New Roman"/>
                                    <w:color w:val="000000"/>
                                    <w:sz w:val="24"/>
                                    <w:szCs w:val="24"/>
                                  </w:rPr>
                                  <w:t xml:space="preserve">«development» (отработка) </w:t>
                                </w:r>
                              </w:p>
                            </w:txbxContent>
                          </wps:txbx>
                          <wps:bodyPr spcFirstLastPara="1" wrap="square" lIns="38100" tIns="38100" rIns="38100" bIns="38100" anchor="ctr" anchorCtr="0">
                            <a:noAutofit/>
                          </wps:bodyPr>
                        </wps:wsp>
                        <wps:wsp>
                          <wps:cNvPr id="17" name="Полилиния 17"/>
                          <wps:cNvSpPr/>
                          <wps:spPr>
                            <a:xfrm>
                              <a:off x="2767012" y="1508084"/>
                              <a:ext cx="579613" cy="237790"/>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18" name="Скругленный прямоугольник 18"/>
                          <wps:cNvSpPr/>
                          <wps:spPr>
                            <a:xfrm>
                              <a:off x="2321155" y="1745874"/>
                              <a:ext cx="891713" cy="594475"/>
                            </a:xfrm>
                            <a:prstGeom prst="roundRect">
                              <a:avLst>
                                <a:gd name="adj" fmla="val 10000"/>
                              </a:avLst>
                            </a:prstGeom>
                            <a:solidFill>
                              <a:schemeClr val="lt1"/>
                            </a:solidFill>
                            <a:ln w="12700" cap="flat" cmpd="sng">
                              <a:solidFill>
                                <a:srgbClr val="528CBE"/>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9" name="Надпись 19"/>
                          <wps:cNvSpPr txBox="1"/>
                          <wps:spPr>
                            <a:xfrm>
                              <a:off x="2338567" y="1763286"/>
                              <a:ext cx="856889" cy="559651"/>
                            </a:xfrm>
                            <a:prstGeom prst="rect">
                              <a:avLst/>
                            </a:prstGeom>
                            <a:noFill/>
                            <a:ln>
                              <a:noFill/>
                            </a:ln>
                          </wps:spPr>
                          <wps:txbx>
                            <w:txbxContent>
                              <w:p w:rsidR="00D06B63" w:rsidRPr="003327C9" w:rsidRDefault="00D06B63" w:rsidP="00EA72C7">
                                <w:pPr>
                                  <w:spacing w:after="0" w:line="215" w:lineRule="auto"/>
                                  <w:jc w:val="center"/>
                                  <w:textDirection w:val="btLr"/>
                                  <w:rPr>
                                    <w:sz w:val="24"/>
                                    <w:szCs w:val="24"/>
                                  </w:rPr>
                                </w:pPr>
                                <w:r w:rsidRPr="003327C9">
                                  <w:rPr>
                                    <w:rFonts w:ascii="Times New Roman" w:eastAsia="Times New Roman" w:hAnsi="Times New Roman" w:cs="Times New Roman"/>
                                    <w:color w:val="000000"/>
                                    <w:sz w:val="24"/>
                                    <w:szCs w:val="24"/>
                                  </w:rPr>
                                  <w:t>search (поиск)</w:t>
                                </w:r>
                              </w:p>
                            </w:txbxContent>
                          </wps:txbx>
                          <wps:bodyPr spcFirstLastPara="1" wrap="square" lIns="38100" tIns="38100" rIns="38100" bIns="38100" anchor="ctr" anchorCtr="0">
                            <a:noAutofit/>
                          </wps:bodyPr>
                        </wps:wsp>
                        <wps:wsp>
                          <wps:cNvPr id="20" name="Полилиния 20"/>
                          <wps:cNvSpPr/>
                          <wps:spPr>
                            <a:xfrm>
                              <a:off x="3346625" y="1508084"/>
                              <a:ext cx="579613" cy="237790"/>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1" name="Скругленный прямоугольник 21"/>
                          <wps:cNvSpPr/>
                          <wps:spPr>
                            <a:xfrm>
                              <a:off x="3480382" y="1745874"/>
                              <a:ext cx="891713" cy="594475"/>
                            </a:xfrm>
                            <a:prstGeom prst="roundRect">
                              <a:avLst>
                                <a:gd name="adj" fmla="val 10000"/>
                              </a:avLst>
                            </a:prstGeom>
                            <a:solidFill>
                              <a:schemeClr val="lt1"/>
                            </a:solidFill>
                            <a:ln w="12700" cap="flat" cmpd="sng">
                              <a:solidFill>
                                <a:srgbClr val="528CBE"/>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2" name="Надпись 22"/>
                          <wps:cNvSpPr txBox="1"/>
                          <wps:spPr>
                            <a:xfrm>
                              <a:off x="3497794" y="1763286"/>
                              <a:ext cx="856889" cy="559651"/>
                            </a:xfrm>
                            <a:prstGeom prst="rect">
                              <a:avLst/>
                            </a:prstGeom>
                            <a:noFill/>
                            <a:ln>
                              <a:noFill/>
                            </a:ln>
                          </wps:spPr>
                          <wps:txbx>
                            <w:txbxContent>
                              <w:p w:rsidR="00D06B63" w:rsidRPr="003327C9" w:rsidRDefault="00D06B63" w:rsidP="00EA72C7">
                                <w:pPr>
                                  <w:spacing w:after="0" w:line="215" w:lineRule="auto"/>
                                  <w:jc w:val="center"/>
                                  <w:textDirection w:val="btLr"/>
                                  <w:rPr>
                                    <w:sz w:val="24"/>
                                    <w:szCs w:val="24"/>
                                  </w:rPr>
                                </w:pPr>
                                <w:r w:rsidRPr="003327C9">
                                  <w:rPr>
                                    <w:rFonts w:ascii="Times New Roman" w:eastAsia="Times New Roman" w:hAnsi="Times New Roman" w:cs="Times New Roman"/>
                                    <w:color w:val="000000"/>
                                    <w:sz w:val="24"/>
                                    <w:szCs w:val="24"/>
                                  </w:rPr>
                                  <w:t>design (проект)</w:t>
                                </w:r>
                              </w:p>
                            </w:txbxContent>
                          </wps:txbx>
                          <wps:bodyPr spcFirstLastPara="1" wrap="square" lIns="38100" tIns="38100" rIns="38100" bIns="38100" anchor="ctr" anchorCtr="0">
                            <a:noAutofit/>
                          </wps:bodyPr>
                        </wps:wsp>
                        <wps:wsp>
                          <wps:cNvPr id="23" name="Полилиния 23"/>
                          <wps:cNvSpPr/>
                          <wps:spPr>
                            <a:xfrm>
                              <a:off x="2993732" y="675819"/>
                              <a:ext cx="2091733" cy="237790"/>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24" name="Скругленный прямоугольник 24"/>
                          <wps:cNvSpPr/>
                          <wps:spPr>
                            <a:xfrm>
                              <a:off x="4639609" y="913609"/>
                              <a:ext cx="891713" cy="594475"/>
                            </a:xfrm>
                            <a:prstGeom prst="roundRect">
                              <a:avLst>
                                <a:gd name="adj" fmla="val 10000"/>
                              </a:avLst>
                            </a:prstGeom>
                            <a:solidFill>
                              <a:schemeClr val="lt1"/>
                            </a:solidFill>
                            <a:ln w="12700" cap="flat" cmpd="sng">
                              <a:solidFill>
                                <a:srgbClr val="528CBE"/>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5" name="Надпись 25"/>
                          <wps:cNvSpPr txBox="1"/>
                          <wps:spPr>
                            <a:xfrm>
                              <a:off x="4657021" y="931021"/>
                              <a:ext cx="856889" cy="559651"/>
                            </a:xfrm>
                            <a:prstGeom prst="rect">
                              <a:avLst/>
                            </a:prstGeom>
                            <a:noFill/>
                            <a:ln>
                              <a:noFill/>
                            </a:ln>
                          </wps:spPr>
                          <wps:txbx>
                            <w:txbxContent>
                              <w:p w:rsidR="00D06B63" w:rsidRPr="003327C9" w:rsidRDefault="00D06B63" w:rsidP="00EA72C7">
                                <w:pPr>
                                  <w:spacing w:after="0" w:line="215" w:lineRule="auto"/>
                                  <w:jc w:val="center"/>
                                  <w:textDirection w:val="btLr"/>
                                  <w:rPr>
                                    <w:sz w:val="24"/>
                                    <w:szCs w:val="24"/>
                                  </w:rPr>
                                </w:pPr>
                                <w:r w:rsidRPr="003327C9">
                                  <w:rPr>
                                    <w:rFonts w:ascii="Times New Roman" w:eastAsia="Times New Roman" w:hAnsi="Times New Roman" w:cs="Times New Roman"/>
                                    <w:color w:val="000000"/>
                                    <w:sz w:val="24"/>
                                    <w:szCs w:val="24"/>
                                  </w:rPr>
                                  <w:t xml:space="preserve">«selection» (отбор) </w:t>
                                </w:r>
                              </w:p>
                            </w:txbxContent>
                          </wps:txbx>
                          <wps:bodyPr spcFirstLastPara="1" wrap="square" lIns="38100" tIns="38100" rIns="38100" bIns="38100" anchor="ctr" anchorCtr="0">
                            <a:noAutofit/>
                          </wps:bodyPr>
                        </wps:wsp>
                        <wps:wsp>
                          <wps:cNvPr id="26" name="Полилиния 26"/>
                          <wps:cNvSpPr/>
                          <wps:spPr>
                            <a:xfrm>
                              <a:off x="5039746" y="1508084"/>
                              <a:ext cx="91440" cy="237790"/>
                            </a:xfrm>
                            <a:custGeom>
                              <a:avLst/>
                              <a:gdLst/>
                              <a:ahLst/>
                              <a:cxnLst/>
                              <a:rect l="l" t="t" r="r" b="b"/>
                              <a:pathLst>
                                <a:path w="120000" h="120000" extrusionOk="0">
                                  <a:moveTo>
                                    <a:pt x="60000" y="0"/>
                                  </a:moveTo>
                                  <a:lnTo>
                                    <a:pt x="6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7" name="Скругленный прямоугольник 27"/>
                          <wps:cNvSpPr/>
                          <wps:spPr>
                            <a:xfrm>
                              <a:off x="4639609" y="1745874"/>
                              <a:ext cx="891713" cy="594475"/>
                            </a:xfrm>
                            <a:prstGeom prst="roundRect">
                              <a:avLst>
                                <a:gd name="adj" fmla="val 10000"/>
                              </a:avLst>
                            </a:prstGeom>
                            <a:solidFill>
                              <a:schemeClr val="lt1"/>
                            </a:solidFill>
                            <a:ln w="12700" cap="flat" cmpd="sng">
                              <a:solidFill>
                                <a:srgbClr val="528CBE"/>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8" name="Надпись 28"/>
                          <wps:cNvSpPr txBox="1"/>
                          <wps:spPr>
                            <a:xfrm>
                              <a:off x="4657021" y="1763286"/>
                              <a:ext cx="856889" cy="559651"/>
                            </a:xfrm>
                            <a:prstGeom prst="rect">
                              <a:avLst/>
                            </a:prstGeom>
                            <a:noFill/>
                            <a:ln>
                              <a:noFill/>
                            </a:ln>
                          </wps:spPr>
                          <wps:txbx>
                            <w:txbxContent>
                              <w:p w:rsidR="00D06B63" w:rsidRPr="003327C9" w:rsidRDefault="00D06B63" w:rsidP="00EA72C7">
                                <w:pPr>
                                  <w:spacing w:after="0" w:line="215" w:lineRule="auto"/>
                                  <w:jc w:val="center"/>
                                  <w:textDirection w:val="btLr"/>
                                  <w:rPr>
                                    <w:sz w:val="24"/>
                                    <w:szCs w:val="24"/>
                                  </w:rPr>
                                </w:pPr>
                                <w:r w:rsidRPr="003327C9">
                                  <w:rPr>
                                    <w:rFonts w:ascii="Times New Roman" w:eastAsia="Times New Roman" w:hAnsi="Times New Roman" w:cs="Times New Roman"/>
                                    <w:color w:val="000000"/>
                                    <w:sz w:val="24"/>
                                    <w:szCs w:val="24"/>
                                  </w:rPr>
                                  <w:t>screen (защита)</w:t>
                                </w:r>
                              </w:p>
                            </w:txbxContent>
                          </wps:txbx>
                          <wps:bodyPr spcFirstLastPara="1" wrap="square" lIns="38100" tIns="38100" rIns="38100" bIns="38100" anchor="ctr" anchorCtr="0">
                            <a:noAutofit/>
                          </wps:bodyPr>
                        </wps:wsp>
                        <wps:wsp>
                          <wps:cNvPr id="29" name="Полилиния 29"/>
                          <wps:cNvSpPr/>
                          <wps:spPr>
                            <a:xfrm>
                              <a:off x="5039746" y="2340350"/>
                              <a:ext cx="91440" cy="237790"/>
                            </a:xfrm>
                            <a:custGeom>
                              <a:avLst/>
                              <a:gdLst/>
                              <a:ahLst/>
                              <a:cxnLst/>
                              <a:rect l="l" t="t" r="r" b="b"/>
                              <a:pathLst>
                                <a:path w="120000" h="120000" extrusionOk="0">
                                  <a:moveTo>
                                    <a:pt x="60000" y="0"/>
                                  </a:moveTo>
                                  <a:lnTo>
                                    <a:pt x="6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30" name="Скругленный прямоугольник 30"/>
                          <wps:cNvSpPr/>
                          <wps:spPr>
                            <a:xfrm>
                              <a:off x="4639609" y="2578140"/>
                              <a:ext cx="891713" cy="594475"/>
                            </a:xfrm>
                            <a:prstGeom prst="roundRect">
                              <a:avLst>
                                <a:gd name="adj" fmla="val 10000"/>
                              </a:avLst>
                            </a:prstGeom>
                            <a:solidFill>
                              <a:schemeClr val="lt1"/>
                            </a:solidFill>
                            <a:ln w="12700" cap="flat" cmpd="sng">
                              <a:solidFill>
                                <a:srgbClr val="528CBE"/>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31" name="Надпись 31"/>
                          <wps:cNvSpPr txBox="1"/>
                          <wps:spPr>
                            <a:xfrm>
                              <a:off x="4657021" y="2595552"/>
                              <a:ext cx="856889" cy="559651"/>
                            </a:xfrm>
                            <a:prstGeom prst="rect">
                              <a:avLst/>
                            </a:prstGeom>
                            <a:noFill/>
                            <a:ln>
                              <a:noFill/>
                            </a:ln>
                          </wps:spPr>
                          <wps:txbx>
                            <w:txbxContent>
                              <w:p w:rsidR="00D06B63" w:rsidRPr="003327C9" w:rsidRDefault="00D06B63" w:rsidP="00EA72C7">
                                <w:pPr>
                                  <w:spacing w:after="0" w:line="168" w:lineRule="auto"/>
                                  <w:ind w:left="-85" w:right="-85"/>
                                  <w:jc w:val="center"/>
                                  <w:textDirection w:val="btLr"/>
                                  <w:rPr>
                                    <w:sz w:val="24"/>
                                    <w:szCs w:val="24"/>
                                    <w:lang w:val="en-US"/>
                                  </w:rPr>
                                </w:pPr>
                                <w:r w:rsidRPr="003327C9">
                                  <w:rPr>
                                    <w:rFonts w:ascii="Times New Roman" w:eastAsia="Times New Roman" w:hAnsi="Times New Roman" w:cs="Times New Roman"/>
                                    <w:color w:val="000000"/>
                                    <w:sz w:val="24"/>
                                    <w:szCs w:val="24"/>
                                    <w:lang w:val="en-US"/>
                                  </w:rPr>
                                  <w:t>evaluation-choice routine (</w:t>
                                </w:r>
                                <w:r w:rsidRPr="003327C9">
                                  <w:rPr>
                                    <w:rFonts w:ascii="Times New Roman" w:eastAsia="Times New Roman" w:hAnsi="Times New Roman" w:cs="Times New Roman"/>
                                    <w:color w:val="000000"/>
                                    <w:sz w:val="24"/>
                                    <w:szCs w:val="24"/>
                                  </w:rPr>
                                  <w:t>оценка</w:t>
                                </w:r>
                                <w:r w:rsidRPr="003327C9">
                                  <w:rPr>
                                    <w:rFonts w:ascii="Times New Roman" w:eastAsia="Times New Roman" w:hAnsi="Times New Roman" w:cs="Times New Roman"/>
                                    <w:color w:val="000000"/>
                                    <w:sz w:val="24"/>
                                    <w:szCs w:val="24"/>
                                    <w:lang w:val="en-US"/>
                                  </w:rPr>
                                  <w:t>-</w:t>
                                </w:r>
                                <w:r w:rsidRPr="003327C9">
                                  <w:rPr>
                                    <w:rFonts w:ascii="Times New Roman" w:eastAsia="Times New Roman" w:hAnsi="Times New Roman" w:cs="Times New Roman"/>
                                    <w:color w:val="000000"/>
                                    <w:sz w:val="24"/>
                                    <w:szCs w:val="24"/>
                                  </w:rPr>
                                  <w:t>выбор</w:t>
                                </w:r>
                                <w:r w:rsidRPr="003327C9">
                                  <w:rPr>
                                    <w:rFonts w:ascii="Times New Roman" w:eastAsia="Times New Roman" w:hAnsi="Times New Roman" w:cs="Times New Roman"/>
                                    <w:color w:val="000000"/>
                                    <w:sz w:val="24"/>
                                    <w:szCs w:val="24"/>
                                    <w:lang w:val="en-US"/>
                                  </w:rPr>
                                  <w:t>)</w:t>
                                </w:r>
                              </w:p>
                            </w:txbxContent>
                          </wps:txbx>
                          <wps:bodyPr spcFirstLastPara="1" wrap="square" lIns="38100" tIns="38100" rIns="38100" bIns="38100" anchor="ctr" anchorCtr="0">
                            <a:noAutofit/>
                          </wps:bodyPr>
                        </wps:wsp>
                        <wps:wsp>
                          <wps:cNvPr id="64" name="Полилиния 64"/>
                          <wps:cNvSpPr/>
                          <wps:spPr>
                            <a:xfrm>
                              <a:off x="5039746" y="3172615"/>
                              <a:ext cx="91440" cy="237790"/>
                            </a:xfrm>
                            <a:custGeom>
                              <a:avLst/>
                              <a:gdLst/>
                              <a:ahLst/>
                              <a:cxnLst/>
                              <a:rect l="l" t="t" r="r" b="b"/>
                              <a:pathLst>
                                <a:path w="120000" h="120000" extrusionOk="0">
                                  <a:moveTo>
                                    <a:pt x="60000" y="0"/>
                                  </a:moveTo>
                                  <a:lnTo>
                                    <a:pt x="6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65" name="Скругленный прямоугольник 65"/>
                          <wps:cNvSpPr/>
                          <wps:spPr>
                            <a:xfrm>
                              <a:off x="4639609" y="3410405"/>
                              <a:ext cx="891713" cy="594475"/>
                            </a:xfrm>
                            <a:prstGeom prst="roundRect">
                              <a:avLst>
                                <a:gd name="adj" fmla="val 10000"/>
                              </a:avLst>
                            </a:prstGeom>
                            <a:solidFill>
                              <a:schemeClr val="lt1"/>
                            </a:solidFill>
                            <a:ln w="12700" cap="flat" cmpd="sng">
                              <a:solidFill>
                                <a:srgbClr val="528CBE"/>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66" name="Надпись 66"/>
                          <wps:cNvSpPr txBox="1"/>
                          <wps:spPr>
                            <a:xfrm>
                              <a:off x="4657021" y="3427817"/>
                              <a:ext cx="856889" cy="559651"/>
                            </a:xfrm>
                            <a:prstGeom prst="rect">
                              <a:avLst/>
                            </a:prstGeom>
                            <a:noFill/>
                            <a:ln>
                              <a:noFill/>
                            </a:ln>
                          </wps:spPr>
                          <wps:txbx>
                            <w:txbxContent>
                              <w:p w:rsidR="00D06B63" w:rsidRPr="003327C9" w:rsidRDefault="00D06B63" w:rsidP="00EA72C7">
                                <w:pPr>
                                  <w:spacing w:after="0" w:line="215" w:lineRule="auto"/>
                                  <w:jc w:val="center"/>
                                  <w:textDirection w:val="btLr"/>
                                  <w:rPr>
                                    <w:spacing w:val="-4"/>
                                    <w:sz w:val="24"/>
                                    <w:szCs w:val="24"/>
                                  </w:rPr>
                                </w:pPr>
                                <w:r w:rsidRPr="003327C9">
                                  <w:rPr>
                                    <w:rFonts w:ascii="Times New Roman" w:eastAsia="Times New Roman" w:hAnsi="Times New Roman" w:cs="Times New Roman"/>
                                    <w:color w:val="000000"/>
                                    <w:spacing w:val="-4"/>
                                    <w:sz w:val="24"/>
                                    <w:szCs w:val="24"/>
                                  </w:rPr>
                                  <w:t>authorization (санкционирование</w:t>
                                </w:r>
                                <w:r>
                                  <w:rPr>
                                    <w:rFonts w:ascii="Times New Roman" w:eastAsia="Times New Roman" w:hAnsi="Times New Roman" w:cs="Times New Roman"/>
                                    <w:color w:val="000000"/>
                                    <w:spacing w:val="-4"/>
                                    <w:sz w:val="24"/>
                                    <w:szCs w:val="24"/>
                                  </w:rPr>
                                  <w:t>)</w:t>
                                </w:r>
                              </w:p>
                            </w:txbxContent>
                          </wps:txbx>
                          <wps:bodyPr spcFirstLastPara="1" wrap="square" lIns="38100" tIns="38100" rIns="38100" bIns="38100" anchor="ctr" anchorCtr="0">
                            <a:noAutofit/>
                          </wps:bodyPr>
                        </wps:wsp>
                      </wpg:grpSp>
                    </wpg:wgp>
                  </a:graphicData>
                </a:graphic>
              </wp:inline>
            </w:drawing>
          </mc:Choice>
          <mc:Fallback xmlns:w16se="http://schemas.microsoft.com/office/word/2015/wordml/symex" xmlns:cx="http://schemas.microsoft.com/office/drawing/2014/chartex">
            <w:pict>
              <v:group w14:anchorId="1F9E189B" id="Группа 79" o:spid="_x0000_s1026" style="width:435.45pt;height:301.1pt;mso-position-horizontal-relative:char;mso-position-vertical-relative:line" coordorigin="" coordsize="55340,40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">
                <v:group id="Группа 1" o:spid="_x0000_s1027" style="position:absolute;width:55340;height:40048" coordorigin="" coordsize="55340,4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угольник 2" o:spid="_x0000_s1028" style="position:absolute;width:55340;height:38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D06B63" w:rsidRDefault="00D06B63" w:rsidP="00EA72C7">
                          <w:pPr>
                            <w:spacing w:after="0" w:line="240" w:lineRule="auto"/>
                            <w:textDirection w:val="btLr"/>
                          </w:pPr>
                        </w:p>
                      </w:txbxContent>
                    </v:textbox>
                  </v:rect>
                  <v:roundrect id="Скругленный прямоугольник 3" o:spid="_x0000_s1029" style="position:absolute;left:25478;top:813;width:8917;height:594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" fillcolor="white [3201]" strokecolor="#528cbe"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type id="_x0000_t202" coordsize="21600,21600" o:spt="202" path="m,l,21600r21600,l21600,xe">
                    <v:stroke joinstyle="miter"/>
                    <v:path gradientshapeok="t" o:connecttype="rect"/>
                  </v:shapetype>
                  <v:shape id="Надпись 4" o:spid="_x0000_s1030" type="#_x0000_t202" style="position:absolute;left:25652;top:987;width:8569;height:5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" filled="f" stroked="f">
                    <v:textbox inset="3pt,3pt,3pt,3pt">
                      <w:txbxContent>
                        <w:p w:rsidR="00D06B63" w:rsidRPr="003327C9" w:rsidRDefault="00D06B63" w:rsidP="00EA72C7">
                          <w:pPr>
                            <w:spacing w:after="0" w:line="215" w:lineRule="auto"/>
                            <w:jc w:val="center"/>
                            <w:textDirection w:val="btLr"/>
                            <w:rPr>
                              <w:sz w:val="24"/>
                              <w:szCs w:val="24"/>
                            </w:rPr>
                          </w:pPr>
                          <w:r w:rsidRPr="003327C9">
                            <w:rPr>
                              <w:rFonts w:ascii="Times New Roman" w:eastAsia="Times New Roman" w:hAnsi="Times New Roman" w:cs="Times New Roman"/>
                              <w:i/>
                              <w:color w:val="000000"/>
                              <w:sz w:val="24"/>
                              <w:szCs w:val="24"/>
                            </w:rPr>
                            <w:t>Процесс принятия решения</w:t>
                          </w:r>
                        </w:p>
                      </w:txbxContent>
                    </v:textbox>
                  </v:shape>
                  <v:shape id="Полилиния 5" o:spid="_x0000_s1031" style="position:absolute;left:10281;top:6758;width:19656;height:237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" path="m120000,r,60000l,60000r,60000e" filled="f" strokecolor="#487aa8" strokeweight="1pt">
                    <v:stroke startarrowwidth="narrow" startarrowlength="short" endarrowwidth="narrow" endarrowlength="short" joinstyle="miter"/>
                    <v:path arrowok="t" o:extrusionok="f"/>
                  </v:shape>
                  <v:roundrect id="Скругленный прямоугольник 6" o:spid="_x0000_s1032" style="position:absolute;left:4561;top:9136;width:11441;height:594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" fillcolor="white [3201]" strokecolor="#528cbe"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7" o:spid="_x0000_s1033" type="#_x0000_t202" style="position:absolute;left:4735;top:9310;width:11092;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" filled="f" stroked="f">
                    <v:textbox inset="3pt,3pt,3pt,3pt">
                      <w:txbxContent>
                        <w:p w:rsidR="00D06B63" w:rsidRPr="003327C9" w:rsidRDefault="00D06B63" w:rsidP="00EA72C7">
                          <w:pPr>
                            <w:spacing w:after="0" w:line="215" w:lineRule="auto"/>
                            <w:jc w:val="center"/>
                            <w:textDirection w:val="btLr"/>
                            <w:rPr>
                              <w:sz w:val="24"/>
                              <w:szCs w:val="24"/>
                            </w:rPr>
                          </w:pPr>
                          <w:r w:rsidRPr="003327C9">
                            <w:rPr>
                              <w:rFonts w:ascii="Times New Roman" w:eastAsia="Times New Roman" w:hAnsi="Times New Roman" w:cs="Times New Roman"/>
                              <w:color w:val="000000"/>
                              <w:sz w:val="24"/>
                              <w:szCs w:val="24"/>
                            </w:rPr>
                            <w:t>«identification» (иденти</w:t>
                          </w:r>
                          <w:r>
                            <w:rPr>
                              <w:rFonts w:ascii="Times New Roman" w:eastAsia="Times New Roman" w:hAnsi="Times New Roman" w:cs="Times New Roman"/>
                              <w:color w:val="000000"/>
                              <w:sz w:val="24"/>
                              <w:szCs w:val="24"/>
                              <w:lang w:val="kk-KZ"/>
                            </w:rPr>
                            <w:t xml:space="preserve"> </w:t>
                          </w:r>
                          <w:r w:rsidRPr="003327C9">
                            <w:rPr>
                              <w:rFonts w:ascii="Times New Roman" w:eastAsia="Times New Roman" w:hAnsi="Times New Roman" w:cs="Times New Roman"/>
                              <w:color w:val="000000"/>
                              <w:sz w:val="24"/>
                              <w:szCs w:val="24"/>
                            </w:rPr>
                            <w:t>фикация)</w:t>
                          </w:r>
                        </w:p>
                      </w:txbxContent>
                    </v:textbox>
                  </v:shape>
                  <v:shape id="Полилиния 8" o:spid="_x0000_s1034" style="position:absolute;left:4485;top:15080;width:5796;height:237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" path="m120000,r,60000l,60000r,60000e" filled="f" strokecolor="#528cbe" strokeweight="1pt">
                    <v:stroke startarrowwidth="narrow" startarrowlength="short" endarrowwidth="narrow" endarrowlength="short" joinstyle="miter"/>
                    <v:path arrowok="t" o:extrusionok="f"/>
                  </v:shape>
                  <v:roundrect id="Скругленный прямоугольник 9" o:spid="_x0000_s1035" style="position:absolute;left:27;top:17458;width:8917;height:594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" fillcolor="white [3201]" strokecolor="#528cbe"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10" o:spid="_x0000_s1036" type="#_x0000_t202" style="position:absolute;top:16842;width:8944;height:7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" filled="f" stroked="f">
                    <v:textbox inset="3pt,3pt,3pt,3pt">
                      <w:txbxContent>
                        <w:p w:rsidR="00D06B63" w:rsidRPr="003327C9" w:rsidRDefault="00D06B63" w:rsidP="00EA72C7">
                          <w:pPr>
                            <w:spacing w:after="0" w:line="192" w:lineRule="auto"/>
                            <w:jc w:val="center"/>
                            <w:textDirection w:val="btLr"/>
                            <w:rPr>
                              <w:sz w:val="24"/>
                              <w:szCs w:val="24"/>
                            </w:rPr>
                          </w:pPr>
                          <w:r w:rsidRPr="003327C9">
                            <w:rPr>
                              <w:rFonts w:ascii="Times New Roman" w:eastAsia="Times New Roman" w:hAnsi="Times New Roman" w:cs="Times New Roman"/>
                              <w:color w:val="000000"/>
                              <w:sz w:val="24"/>
                              <w:szCs w:val="24"/>
                            </w:rPr>
                            <w:t>decision recognition (поиск решения)</w:t>
                          </w:r>
                        </w:p>
                      </w:txbxContent>
                    </v:textbox>
                  </v:shape>
                  <v:shape id="Полилиния 11" o:spid="_x0000_s1037" style="position:absolute;left:10281;top:15080;width:5796;height:237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" path="m,l,60000r120000,l120000,120000e" filled="f" strokecolor="#528cbe" strokeweight="1pt">
                    <v:stroke startarrowwidth="narrow" startarrowlength="short" endarrowwidth="narrow" endarrowlength="short" joinstyle="miter"/>
                    <v:path arrowok="t" o:extrusionok="f"/>
                  </v:shape>
                  <v:roundrect id="Скругленный прямоугольник 12" o:spid="_x0000_s1038" style="position:absolute;left:11619;top:17458;width:8917;height:594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" fillcolor="white [3201]" strokecolor="#528cbe"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13" o:spid="_x0000_s1039" type="#_x0000_t202" style="position:absolute;left:11793;top:17632;width:8569;height:5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" filled="f" stroked="f">
                    <v:textbox inset="3pt,3pt,3pt,3pt">
                      <w:txbxContent>
                        <w:p w:rsidR="00D06B63" w:rsidRPr="003327C9" w:rsidRDefault="00D06B63" w:rsidP="00EA72C7">
                          <w:pPr>
                            <w:spacing w:after="0" w:line="215" w:lineRule="auto"/>
                            <w:jc w:val="center"/>
                            <w:textDirection w:val="btLr"/>
                            <w:rPr>
                              <w:sz w:val="24"/>
                              <w:szCs w:val="24"/>
                            </w:rPr>
                          </w:pPr>
                          <w:r w:rsidRPr="003327C9">
                            <w:rPr>
                              <w:rFonts w:ascii="Times New Roman" w:eastAsia="Times New Roman" w:hAnsi="Times New Roman" w:cs="Times New Roman"/>
                              <w:color w:val="000000"/>
                              <w:sz w:val="24"/>
                              <w:szCs w:val="24"/>
                            </w:rPr>
                            <w:t>diagnosis (оценка)</w:t>
                          </w:r>
                        </w:p>
                      </w:txbxContent>
                    </v:textbox>
                  </v:shape>
                  <v:shape id="Полилиния 14" o:spid="_x0000_s1040" style="position:absolute;left:29937;top:6758;width:3529;height:237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" path="m,l,60000r120000,l120000,120000e" filled="f" strokecolor="#487aa8" strokeweight="1pt">
                    <v:stroke startarrowwidth="narrow" startarrowlength="short" endarrowwidth="narrow" endarrowlength="short" joinstyle="miter"/>
                    <v:path arrowok="t" o:extrusionok="f"/>
                  </v:shape>
                  <v:roundrect id="Скругленный прямоугольник 15" o:spid="_x0000_s1041" style="position:absolute;left:27908;top:9136;width:11116;height:594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" fillcolor="white [3201]" strokecolor="#528cbe"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16" o:spid="_x0000_s1042" type="#_x0000_t202" style="position:absolute;left:28082;top:9310;width:10768;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" filled="f" stroked="f">
                    <v:textbox inset="3pt,3pt,3pt,3pt">
                      <w:txbxContent>
                        <w:p w:rsidR="00D06B63" w:rsidRPr="003327C9" w:rsidRDefault="00D06B63" w:rsidP="00EA72C7">
                          <w:pPr>
                            <w:spacing w:after="0" w:line="215" w:lineRule="auto"/>
                            <w:jc w:val="center"/>
                            <w:textDirection w:val="btLr"/>
                            <w:rPr>
                              <w:sz w:val="24"/>
                              <w:szCs w:val="24"/>
                            </w:rPr>
                          </w:pPr>
                          <w:r w:rsidRPr="003327C9">
                            <w:rPr>
                              <w:rFonts w:ascii="Times New Roman" w:eastAsia="Times New Roman" w:hAnsi="Times New Roman" w:cs="Times New Roman"/>
                              <w:color w:val="000000"/>
                              <w:sz w:val="24"/>
                              <w:szCs w:val="24"/>
                            </w:rPr>
                            <w:t xml:space="preserve">«development» (отработка) </w:t>
                          </w:r>
                        </w:p>
                      </w:txbxContent>
                    </v:textbox>
                  </v:shape>
                  <v:shape id="Полилиния 17" o:spid="_x0000_s1043" style="position:absolute;left:27670;top:15080;width:5796;height:237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" path="m120000,r,60000l,60000r,60000e" filled="f" strokecolor="#528cbe" strokeweight="1pt">
                    <v:stroke startarrowwidth="narrow" startarrowlength="short" endarrowwidth="narrow" endarrowlength="short" joinstyle="miter"/>
                    <v:path arrowok="t" o:extrusionok="f"/>
                  </v:shape>
                  <v:roundrect id="Скругленный прямоугольник 18" o:spid="_x0000_s1044" style="position:absolute;left:23211;top:17458;width:8917;height:594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" fillcolor="white [3201]" strokecolor="#528cbe"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19" o:spid="_x0000_s1045" type="#_x0000_t202" style="position:absolute;left:23385;top:17632;width:8569;height:5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" filled="f" stroked="f">
                    <v:textbox inset="3pt,3pt,3pt,3pt">
                      <w:txbxContent>
                        <w:p w:rsidR="00D06B63" w:rsidRPr="003327C9" w:rsidRDefault="00D06B63" w:rsidP="00EA72C7">
                          <w:pPr>
                            <w:spacing w:after="0" w:line="215" w:lineRule="auto"/>
                            <w:jc w:val="center"/>
                            <w:textDirection w:val="btLr"/>
                            <w:rPr>
                              <w:sz w:val="24"/>
                              <w:szCs w:val="24"/>
                            </w:rPr>
                          </w:pPr>
                          <w:r w:rsidRPr="003327C9">
                            <w:rPr>
                              <w:rFonts w:ascii="Times New Roman" w:eastAsia="Times New Roman" w:hAnsi="Times New Roman" w:cs="Times New Roman"/>
                              <w:color w:val="000000"/>
                              <w:sz w:val="24"/>
                              <w:szCs w:val="24"/>
                            </w:rPr>
                            <w:t>search (поиск)</w:t>
                          </w:r>
                        </w:p>
                      </w:txbxContent>
                    </v:textbox>
                  </v:shape>
                  <v:shape id="Полилиния 20" o:spid="_x0000_s1046" style="position:absolute;left:33466;top:15080;width:5796;height:237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" path="m,l,60000r120000,l120000,120000e" filled="f" strokecolor="#528cbe" strokeweight="1pt">
                    <v:stroke startarrowwidth="narrow" startarrowlength="short" endarrowwidth="narrow" endarrowlength="short" joinstyle="miter"/>
                    <v:path arrowok="t" o:extrusionok="f"/>
                  </v:shape>
                  <v:roundrect id="Скругленный прямоугольник 21" o:spid="_x0000_s1047" style="position:absolute;left:34803;top:17458;width:8917;height:594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" fillcolor="white [3201]" strokecolor="#528cbe"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22" o:spid="_x0000_s1048" type="#_x0000_t202" style="position:absolute;left:34977;top:17632;width:8569;height:5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" filled="f" stroked="f">
                    <v:textbox inset="3pt,3pt,3pt,3pt">
                      <w:txbxContent>
                        <w:p w:rsidR="00D06B63" w:rsidRPr="003327C9" w:rsidRDefault="00D06B63" w:rsidP="00EA72C7">
                          <w:pPr>
                            <w:spacing w:after="0" w:line="215" w:lineRule="auto"/>
                            <w:jc w:val="center"/>
                            <w:textDirection w:val="btLr"/>
                            <w:rPr>
                              <w:sz w:val="24"/>
                              <w:szCs w:val="24"/>
                            </w:rPr>
                          </w:pPr>
                          <w:r w:rsidRPr="003327C9">
                            <w:rPr>
                              <w:rFonts w:ascii="Times New Roman" w:eastAsia="Times New Roman" w:hAnsi="Times New Roman" w:cs="Times New Roman"/>
                              <w:color w:val="000000"/>
                              <w:sz w:val="24"/>
                              <w:szCs w:val="24"/>
                            </w:rPr>
                            <w:t>design (проект)</w:t>
                          </w:r>
                        </w:p>
                      </w:txbxContent>
                    </v:textbox>
                  </v:shape>
                  <v:shape id="Полилиния 23" o:spid="_x0000_s1049" style="position:absolute;left:29937;top:6758;width:20917;height:237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" path="m,l,60000r120000,l120000,120000e" filled="f" strokecolor="#487aa8" strokeweight="1pt">
                    <v:stroke startarrowwidth="narrow" startarrowlength="short" endarrowwidth="narrow" endarrowlength="short" joinstyle="miter"/>
                    <v:path arrowok="t" o:extrusionok="f"/>
                  </v:shape>
                  <v:roundrect id="Скругленный прямоугольник 24" o:spid="_x0000_s1050" style="position:absolute;left:46396;top:9136;width:8917;height:594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" fillcolor="white [3201]" strokecolor="#528cbe"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25" o:spid="_x0000_s1051" type="#_x0000_t202" style="position:absolute;left:46570;top:9310;width:8569;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" filled="f" stroked="f">
                    <v:textbox inset="3pt,3pt,3pt,3pt">
                      <w:txbxContent>
                        <w:p w:rsidR="00D06B63" w:rsidRPr="003327C9" w:rsidRDefault="00D06B63" w:rsidP="00EA72C7">
                          <w:pPr>
                            <w:spacing w:after="0" w:line="215" w:lineRule="auto"/>
                            <w:jc w:val="center"/>
                            <w:textDirection w:val="btLr"/>
                            <w:rPr>
                              <w:sz w:val="24"/>
                              <w:szCs w:val="24"/>
                            </w:rPr>
                          </w:pPr>
                          <w:r w:rsidRPr="003327C9">
                            <w:rPr>
                              <w:rFonts w:ascii="Times New Roman" w:eastAsia="Times New Roman" w:hAnsi="Times New Roman" w:cs="Times New Roman"/>
                              <w:color w:val="000000"/>
                              <w:sz w:val="24"/>
                              <w:szCs w:val="24"/>
                            </w:rPr>
                            <w:t xml:space="preserve">«selection» (отбор) </w:t>
                          </w:r>
                        </w:p>
                      </w:txbxContent>
                    </v:textbox>
                  </v:shape>
                  <v:shape id="Полилиния 26" o:spid="_x0000_s1052" style="position:absolute;left:50397;top:15080;width:914;height:237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" path="m60000,r,120000e" filled="f" strokecolor="#528cbe" strokeweight="1pt">
                    <v:stroke startarrowwidth="narrow" startarrowlength="short" endarrowwidth="narrow" endarrowlength="short" joinstyle="miter"/>
                    <v:path arrowok="t" o:extrusionok="f"/>
                  </v:shape>
                  <v:roundrect id="Скругленный прямоугольник 27" o:spid="_x0000_s1053" style="position:absolute;left:46396;top:17458;width:8917;height:594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" fillcolor="white [3201]" strokecolor="#528cbe"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28" o:spid="_x0000_s1054" type="#_x0000_t202" style="position:absolute;left:46570;top:17632;width:8569;height:5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" filled="f" stroked="f">
                    <v:textbox inset="3pt,3pt,3pt,3pt">
                      <w:txbxContent>
                        <w:p w:rsidR="00D06B63" w:rsidRPr="003327C9" w:rsidRDefault="00D06B63" w:rsidP="00EA72C7">
                          <w:pPr>
                            <w:spacing w:after="0" w:line="215" w:lineRule="auto"/>
                            <w:jc w:val="center"/>
                            <w:textDirection w:val="btLr"/>
                            <w:rPr>
                              <w:sz w:val="24"/>
                              <w:szCs w:val="24"/>
                            </w:rPr>
                          </w:pPr>
                          <w:r w:rsidRPr="003327C9">
                            <w:rPr>
                              <w:rFonts w:ascii="Times New Roman" w:eastAsia="Times New Roman" w:hAnsi="Times New Roman" w:cs="Times New Roman"/>
                              <w:color w:val="000000"/>
                              <w:sz w:val="24"/>
                              <w:szCs w:val="24"/>
                            </w:rPr>
                            <w:t>screen (защита)</w:t>
                          </w:r>
                        </w:p>
                      </w:txbxContent>
                    </v:textbox>
                  </v:shape>
                  <v:shape id="Полилиния 29" o:spid="_x0000_s1055" style="position:absolute;left:50397;top:23403;width:914;height:237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" path="m60000,r,120000e" filled="f" strokecolor="#528cbe" strokeweight="1pt">
                    <v:stroke startarrowwidth="narrow" startarrowlength="short" endarrowwidth="narrow" endarrowlength="short" joinstyle="miter"/>
                    <v:path arrowok="t" o:extrusionok="f"/>
                  </v:shape>
                  <v:roundrect id="Скругленный прямоугольник 30" o:spid="_x0000_s1056" style="position:absolute;left:46396;top:25781;width:8917;height:594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" fillcolor="white [3201]" strokecolor="#528cbe"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31" o:spid="_x0000_s1057" type="#_x0000_t202" style="position:absolute;left:46570;top:25955;width:8569;height:5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" filled="f" stroked="f">
                    <v:textbox inset="3pt,3pt,3pt,3pt">
                      <w:txbxContent>
                        <w:p w:rsidR="00D06B63" w:rsidRPr="003327C9" w:rsidRDefault="00D06B63" w:rsidP="00EA72C7">
                          <w:pPr>
                            <w:spacing w:after="0" w:line="168" w:lineRule="auto"/>
                            <w:ind w:left="-85" w:right="-85"/>
                            <w:jc w:val="center"/>
                            <w:textDirection w:val="btLr"/>
                            <w:rPr>
                              <w:sz w:val="24"/>
                              <w:szCs w:val="24"/>
                              <w:lang w:val="en-US"/>
                            </w:rPr>
                          </w:pPr>
                          <w:r w:rsidRPr="003327C9">
                            <w:rPr>
                              <w:rFonts w:ascii="Times New Roman" w:eastAsia="Times New Roman" w:hAnsi="Times New Roman" w:cs="Times New Roman"/>
                              <w:color w:val="000000"/>
                              <w:sz w:val="24"/>
                              <w:szCs w:val="24"/>
                              <w:lang w:val="en-US"/>
                            </w:rPr>
                            <w:t>evaluation-choice routine (</w:t>
                          </w:r>
                          <w:r w:rsidRPr="003327C9">
                            <w:rPr>
                              <w:rFonts w:ascii="Times New Roman" w:eastAsia="Times New Roman" w:hAnsi="Times New Roman" w:cs="Times New Roman"/>
                              <w:color w:val="000000"/>
                              <w:sz w:val="24"/>
                              <w:szCs w:val="24"/>
                            </w:rPr>
                            <w:t>оценка</w:t>
                          </w:r>
                          <w:r w:rsidRPr="003327C9">
                            <w:rPr>
                              <w:rFonts w:ascii="Times New Roman" w:eastAsia="Times New Roman" w:hAnsi="Times New Roman" w:cs="Times New Roman"/>
                              <w:color w:val="000000"/>
                              <w:sz w:val="24"/>
                              <w:szCs w:val="24"/>
                              <w:lang w:val="en-US"/>
                            </w:rPr>
                            <w:t>-</w:t>
                          </w:r>
                          <w:r w:rsidRPr="003327C9">
                            <w:rPr>
                              <w:rFonts w:ascii="Times New Roman" w:eastAsia="Times New Roman" w:hAnsi="Times New Roman" w:cs="Times New Roman"/>
                              <w:color w:val="000000"/>
                              <w:sz w:val="24"/>
                              <w:szCs w:val="24"/>
                            </w:rPr>
                            <w:t>выбор</w:t>
                          </w:r>
                          <w:r w:rsidRPr="003327C9">
                            <w:rPr>
                              <w:rFonts w:ascii="Times New Roman" w:eastAsia="Times New Roman" w:hAnsi="Times New Roman" w:cs="Times New Roman"/>
                              <w:color w:val="000000"/>
                              <w:sz w:val="24"/>
                              <w:szCs w:val="24"/>
                              <w:lang w:val="en-US"/>
                            </w:rPr>
                            <w:t>)</w:t>
                          </w:r>
                        </w:p>
                      </w:txbxContent>
                    </v:textbox>
                  </v:shape>
                  <v:shape id="Полилиния 64" o:spid="_x0000_s1058" style="position:absolute;left:50397;top:31726;width:914;height:237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" path="m60000,r,120000e" filled="f" strokecolor="#528cbe" strokeweight="1pt">
                    <v:stroke startarrowwidth="narrow" startarrowlength="short" endarrowwidth="narrow" endarrowlength="short" joinstyle="miter"/>
                    <v:path arrowok="t" o:extrusionok="f"/>
                  </v:shape>
                  <v:roundrect id="Скругленный прямоугольник 65" o:spid="_x0000_s1059" style="position:absolute;left:46396;top:34104;width:8917;height:594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" fillcolor="white [3201]" strokecolor="#528cbe"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66" o:spid="_x0000_s1060" type="#_x0000_t202" style="position:absolute;left:46570;top:34278;width:8569;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" filled="f" stroked="f">
                    <v:textbox inset="3pt,3pt,3pt,3pt">
                      <w:txbxContent>
                        <w:p w:rsidR="00D06B63" w:rsidRPr="003327C9" w:rsidRDefault="00D06B63" w:rsidP="00EA72C7">
                          <w:pPr>
                            <w:spacing w:after="0" w:line="215" w:lineRule="auto"/>
                            <w:jc w:val="center"/>
                            <w:textDirection w:val="btLr"/>
                            <w:rPr>
                              <w:spacing w:val="-4"/>
                              <w:sz w:val="24"/>
                              <w:szCs w:val="24"/>
                            </w:rPr>
                          </w:pPr>
                          <w:r w:rsidRPr="003327C9">
                            <w:rPr>
                              <w:rFonts w:ascii="Times New Roman" w:eastAsia="Times New Roman" w:hAnsi="Times New Roman" w:cs="Times New Roman"/>
                              <w:color w:val="000000"/>
                              <w:spacing w:val="-4"/>
                              <w:sz w:val="24"/>
                              <w:szCs w:val="24"/>
                            </w:rPr>
                            <w:t>authorization (санкционирование</w:t>
                          </w:r>
                          <w:r>
                            <w:rPr>
                              <w:rFonts w:ascii="Times New Roman" w:eastAsia="Times New Roman" w:hAnsi="Times New Roman" w:cs="Times New Roman"/>
                              <w:color w:val="000000"/>
                              <w:spacing w:val="-4"/>
                              <w:sz w:val="24"/>
                              <w:szCs w:val="24"/>
                            </w:rPr>
                            <w:t>)</w:t>
                          </w:r>
                        </w:p>
                      </w:txbxContent>
                    </v:textbox>
                  </v:shape>
                </v:group>
                <w10:anchorlock/>
              </v:group>
            </w:pict>
          </mc:Fallback>
        </mc:AlternateContent>
      </w:r>
    </w:p>
    <w:p w:rsidR="00EA72C7" w:rsidRDefault="00EA72C7" w:rsidP="00EA72C7">
      <w:pPr>
        <w:spacing w:after="0" w:line="240" w:lineRule="auto"/>
        <w:jc w:val="center"/>
        <w:rPr>
          <w:rFonts w:ascii="Times New Roman" w:eastAsia="Times New Roman" w:hAnsi="Times New Roman" w:cs="Times New Roman"/>
          <w:sz w:val="16"/>
          <w:szCs w:val="16"/>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 – Процесс принятия решений по Г. Минцбергу</w:t>
      </w:r>
    </w:p>
    <w:p w:rsidR="00EA72C7" w:rsidRDefault="00EA72C7" w:rsidP="00EA72C7">
      <w:pPr>
        <w:spacing w:after="0" w:line="240" w:lineRule="auto"/>
        <w:jc w:val="both"/>
        <w:rPr>
          <w:rFonts w:ascii="Times New Roman" w:eastAsia="Times New Roman" w:hAnsi="Times New Roman" w:cs="Times New Roman"/>
          <w:sz w:val="16"/>
          <w:szCs w:val="16"/>
        </w:rPr>
      </w:pPr>
    </w:p>
    <w:p w:rsidR="00EA72C7" w:rsidRDefault="00EA72C7" w:rsidP="00EA72C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автором по источнику [69, p. 10]</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Г. Саймон привнес в процесс принятия решений по Дьюи свой вклад и обозначил первую стадию «intelligence» (разведка), вторую - «design» (проект), третью - «choice» (выбор) [65, с. 54-71].</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Большинство современных авторов основные этапы принятия рационального УР представляют в виде (рисунок 2).</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inline distT="0" distB="0" distL="0" distR="0" wp14:anchorId="3F951DD0" wp14:editId="56A58569">
                <wp:extent cx="5753741" cy="1771557"/>
                <wp:effectExtent l="0" t="0" r="18415" b="19685"/>
                <wp:docPr id="67" name="Группа 67"/>
                <wp:cNvGraphicFramePr/>
                <a:graphic xmlns:a="http://schemas.openxmlformats.org/drawingml/2006/main">
                  <a:graphicData uri="http://schemas.microsoft.com/office/word/2010/wordprocessingGroup">
                    <wpg:wgp>
                      <wpg:cNvGrpSpPr/>
                      <wpg:grpSpPr>
                        <a:xfrm>
                          <a:off x="0" y="0"/>
                          <a:ext cx="5753741" cy="1771557"/>
                          <a:chOff x="2532" y="147683"/>
                          <a:chExt cx="5757560" cy="1771557"/>
                        </a:xfrm>
                      </wpg:grpSpPr>
                      <wps:wsp>
                        <wps:cNvPr id="69" name="Скругленный прямоугольник 69"/>
                        <wps:cNvSpPr/>
                        <wps:spPr>
                          <a:xfrm>
                            <a:off x="2532" y="147684"/>
                            <a:ext cx="1107223" cy="664333"/>
                          </a:xfrm>
                          <a:prstGeom prst="roundRect">
                            <a:avLst>
                              <a:gd name="adj" fmla="val 10000"/>
                            </a:avLst>
                          </a:prstGeom>
                          <a:solidFill>
                            <a:schemeClr val="lt1"/>
                          </a:solidFill>
                          <a:ln w="12700" cap="flat" cmpd="sng">
                            <a:solidFill>
                              <a:srgbClr val="528CBE"/>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70" name="Надпись 70"/>
                        <wps:cNvSpPr txBox="1"/>
                        <wps:spPr>
                          <a:xfrm>
                            <a:off x="21990" y="167142"/>
                            <a:ext cx="1068307" cy="625417"/>
                          </a:xfrm>
                          <a:prstGeom prst="rect">
                            <a:avLst/>
                          </a:prstGeom>
                          <a:noFill/>
                          <a:ln>
                            <a:noFill/>
                          </a:ln>
                        </wps:spPr>
                        <wps:txbx>
                          <w:txbxContent>
                            <w:p w:rsidR="00D06B63" w:rsidRPr="003327C9" w:rsidRDefault="00D06B63" w:rsidP="00EA72C7">
                              <w:pPr>
                                <w:spacing w:after="0" w:line="240" w:lineRule="auto"/>
                                <w:jc w:val="center"/>
                                <w:textDirection w:val="btLr"/>
                                <w:rPr>
                                  <w:sz w:val="24"/>
                                  <w:szCs w:val="24"/>
                                </w:rPr>
                              </w:pPr>
                              <w:r w:rsidRPr="003327C9">
                                <w:rPr>
                                  <w:rFonts w:ascii="Times New Roman" w:eastAsia="Times New Roman" w:hAnsi="Times New Roman" w:cs="Times New Roman"/>
                                  <w:color w:val="000000"/>
                                  <w:sz w:val="24"/>
                                  <w:szCs w:val="24"/>
                                </w:rPr>
                                <w:t>Диагноз проблемы и целеполагание</w:t>
                              </w:r>
                            </w:p>
                          </w:txbxContent>
                        </wps:txbx>
                        <wps:bodyPr spcFirstLastPara="1" wrap="square" lIns="34275" tIns="34275" rIns="34275" bIns="34275" anchor="ctr" anchorCtr="0">
                          <a:noAutofit/>
                        </wps:bodyPr>
                      </wps:wsp>
                      <wps:wsp>
                        <wps:cNvPr id="71" name="Стрелка вправо 71"/>
                        <wps:cNvSpPr/>
                        <wps:spPr>
                          <a:xfrm>
                            <a:off x="1207191" y="342555"/>
                            <a:ext cx="234731" cy="274591"/>
                          </a:xfrm>
                          <a:prstGeom prst="rightArrow">
                            <a:avLst>
                              <a:gd name="adj1" fmla="val 60000"/>
                              <a:gd name="adj2" fmla="val 50000"/>
                            </a:avLst>
                          </a:prstGeom>
                          <a:solidFill>
                            <a:srgbClr val="B3CAE7"/>
                          </a:solidFill>
                          <a:ln>
                            <a:noFill/>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72" name="Надпись 72"/>
                        <wps:cNvSpPr txBox="1"/>
                        <wps:spPr>
                          <a:xfrm>
                            <a:off x="1207191" y="397473"/>
                            <a:ext cx="164312" cy="164755"/>
                          </a:xfrm>
                          <a:prstGeom prst="rect">
                            <a:avLst/>
                          </a:prstGeom>
                          <a:noFill/>
                          <a:ln>
                            <a:noFill/>
                          </a:ln>
                        </wps:spPr>
                        <wps:txbx>
                          <w:txbxContent>
                            <w:p w:rsidR="00D06B63" w:rsidRDefault="00D06B63" w:rsidP="00EA72C7">
                              <w:pPr>
                                <w:spacing w:after="0" w:line="215" w:lineRule="auto"/>
                                <w:jc w:val="center"/>
                                <w:textDirection w:val="btLr"/>
                              </w:pPr>
                            </w:p>
                          </w:txbxContent>
                        </wps:txbx>
                        <wps:bodyPr spcFirstLastPara="1" wrap="square" lIns="0" tIns="0" rIns="0" bIns="0" anchor="ctr" anchorCtr="0">
                          <a:noAutofit/>
                        </wps:bodyPr>
                      </wps:wsp>
                      <wps:wsp>
                        <wps:cNvPr id="73" name="Скругленный прямоугольник 73"/>
                        <wps:cNvSpPr/>
                        <wps:spPr>
                          <a:xfrm>
                            <a:off x="1441921" y="147683"/>
                            <a:ext cx="1315375" cy="809625"/>
                          </a:xfrm>
                          <a:prstGeom prst="roundRect">
                            <a:avLst>
                              <a:gd name="adj" fmla="val 10000"/>
                            </a:avLst>
                          </a:prstGeom>
                          <a:solidFill>
                            <a:schemeClr val="lt1"/>
                          </a:solidFill>
                          <a:ln w="12700" cap="flat" cmpd="sng">
                            <a:solidFill>
                              <a:srgbClr val="528CBE"/>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74" name="Надпись 74"/>
                        <wps:cNvSpPr txBox="1"/>
                        <wps:spPr>
                          <a:xfrm>
                            <a:off x="1441920" y="166673"/>
                            <a:ext cx="1315373" cy="763991"/>
                          </a:xfrm>
                          <a:prstGeom prst="rect">
                            <a:avLst/>
                          </a:prstGeom>
                          <a:noFill/>
                          <a:ln>
                            <a:noFill/>
                          </a:ln>
                        </wps:spPr>
                        <wps:txbx>
                          <w:txbxContent>
                            <w:p w:rsidR="00D06B63" w:rsidRPr="003327C9" w:rsidRDefault="00D06B63" w:rsidP="00EA72C7">
                              <w:pPr>
                                <w:spacing w:after="0" w:line="192" w:lineRule="auto"/>
                                <w:jc w:val="center"/>
                                <w:textDirection w:val="btLr"/>
                                <w:rPr>
                                  <w:sz w:val="24"/>
                                  <w:szCs w:val="24"/>
                                </w:rPr>
                              </w:pPr>
                              <w:r w:rsidRPr="003327C9">
                                <w:rPr>
                                  <w:rFonts w:ascii="Times New Roman" w:eastAsia="Times New Roman" w:hAnsi="Times New Roman" w:cs="Times New Roman"/>
                                  <w:color w:val="000000"/>
                                  <w:sz w:val="24"/>
                                  <w:szCs w:val="24"/>
                                </w:rPr>
                                <w:t>Формулировка ограничений и критериев при</w:t>
                              </w:r>
                              <w:r>
                                <w:rPr>
                                  <w:rFonts w:ascii="Times New Roman" w:eastAsia="Times New Roman" w:hAnsi="Times New Roman" w:cs="Times New Roman"/>
                                  <w:color w:val="000000"/>
                                  <w:sz w:val="24"/>
                                  <w:szCs w:val="24"/>
                                  <w:lang w:val="kk-KZ"/>
                                </w:rPr>
                                <w:t xml:space="preserve"> </w:t>
                              </w:r>
                              <w:r w:rsidRPr="003327C9">
                                <w:rPr>
                                  <w:rFonts w:ascii="Times New Roman" w:eastAsia="Times New Roman" w:hAnsi="Times New Roman" w:cs="Times New Roman"/>
                                  <w:color w:val="000000"/>
                                  <w:sz w:val="24"/>
                                  <w:szCs w:val="24"/>
                                </w:rPr>
                                <w:t>нятия управлен</w:t>
                              </w:r>
                              <w:r>
                                <w:rPr>
                                  <w:rFonts w:ascii="Times New Roman" w:eastAsia="Times New Roman" w:hAnsi="Times New Roman" w:cs="Times New Roman"/>
                                  <w:color w:val="000000"/>
                                  <w:sz w:val="24"/>
                                  <w:szCs w:val="24"/>
                                  <w:lang w:val="kk-KZ"/>
                                </w:rPr>
                                <w:t xml:space="preserve"> </w:t>
                              </w:r>
                              <w:r w:rsidRPr="003327C9">
                                <w:rPr>
                                  <w:rFonts w:ascii="Times New Roman" w:eastAsia="Times New Roman" w:hAnsi="Times New Roman" w:cs="Times New Roman"/>
                                  <w:color w:val="000000"/>
                                  <w:sz w:val="24"/>
                                  <w:szCs w:val="24"/>
                                </w:rPr>
                                <w:t>ческих решений</w:t>
                              </w:r>
                            </w:p>
                          </w:txbxContent>
                        </wps:txbx>
                        <wps:bodyPr spcFirstLastPara="1" wrap="square" lIns="34275" tIns="34275" rIns="34275" bIns="34275" anchor="ctr" anchorCtr="0">
                          <a:noAutofit/>
                        </wps:bodyPr>
                      </wps:wsp>
                      <wps:wsp>
                        <wps:cNvPr id="75" name="Стрелка вправо 75"/>
                        <wps:cNvSpPr/>
                        <wps:spPr>
                          <a:xfrm>
                            <a:off x="2757303" y="342555"/>
                            <a:ext cx="234731" cy="274591"/>
                          </a:xfrm>
                          <a:prstGeom prst="rightArrow">
                            <a:avLst>
                              <a:gd name="adj1" fmla="val 60000"/>
                              <a:gd name="adj2" fmla="val 50000"/>
                            </a:avLst>
                          </a:prstGeom>
                          <a:solidFill>
                            <a:srgbClr val="B3CAE7"/>
                          </a:solidFill>
                          <a:ln>
                            <a:noFill/>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76" name="Надпись 76"/>
                        <wps:cNvSpPr txBox="1"/>
                        <wps:spPr>
                          <a:xfrm>
                            <a:off x="2757303" y="397473"/>
                            <a:ext cx="164312" cy="164755"/>
                          </a:xfrm>
                          <a:prstGeom prst="rect">
                            <a:avLst/>
                          </a:prstGeom>
                          <a:noFill/>
                          <a:ln>
                            <a:noFill/>
                          </a:ln>
                        </wps:spPr>
                        <wps:txbx>
                          <w:txbxContent>
                            <w:p w:rsidR="00D06B63" w:rsidRDefault="00D06B63" w:rsidP="00EA72C7">
                              <w:pPr>
                                <w:spacing w:after="0" w:line="215" w:lineRule="auto"/>
                                <w:jc w:val="center"/>
                                <w:textDirection w:val="btLr"/>
                              </w:pPr>
                            </w:p>
                          </w:txbxContent>
                        </wps:txbx>
                        <wps:bodyPr spcFirstLastPara="1" wrap="square" lIns="0" tIns="0" rIns="0" bIns="0" anchor="ctr" anchorCtr="0">
                          <a:noAutofit/>
                        </wps:bodyPr>
                      </wps:wsp>
                      <wps:wsp>
                        <wps:cNvPr id="77" name="Скругленный прямоугольник 77"/>
                        <wps:cNvSpPr/>
                        <wps:spPr>
                          <a:xfrm>
                            <a:off x="3102757" y="147684"/>
                            <a:ext cx="1107223" cy="664333"/>
                          </a:xfrm>
                          <a:prstGeom prst="roundRect">
                            <a:avLst>
                              <a:gd name="adj" fmla="val 10000"/>
                            </a:avLst>
                          </a:prstGeom>
                          <a:solidFill>
                            <a:schemeClr val="lt1"/>
                          </a:solidFill>
                          <a:ln w="12700" cap="flat" cmpd="sng">
                            <a:solidFill>
                              <a:srgbClr val="528CBE"/>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80" name="Надпись 80"/>
                        <wps:cNvSpPr txBox="1"/>
                        <wps:spPr>
                          <a:xfrm>
                            <a:off x="3122215" y="167142"/>
                            <a:ext cx="1068307" cy="625417"/>
                          </a:xfrm>
                          <a:prstGeom prst="rect">
                            <a:avLst/>
                          </a:prstGeom>
                          <a:noFill/>
                          <a:ln>
                            <a:noFill/>
                          </a:ln>
                        </wps:spPr>
                        <wps:txbx>
                          <w:txbxContent>
                            <w:p w:rsidR="00D06B63" w:rsidRPr="003327C9" w:rsidRDefault="00D06B63" w:rsidP="00EA72C7">
                              <w:pPr>
                                <w:spacing w:after="0" w:line="240" w:lineRule="auto"/>
                                <w:jc w:val="center"/>
                                <w:textDirection w:val="btLr"/>
                                <w:rPr>
                                  <w:sz w:val="24"/>
                                  <w:szCs w:val="24"/>
                                </w:rPr>
                              </w:pPr>
                              <w:r w:rsidRPr="003327C9">
                                <w:rPr>
                                  <w:rFonts w:ascii="Times New Roman" w:eastAsia="Times New Roman" w:hAnsi="Times New Roman" w:cs="Times New Roman"/>
                                  <w:color w:val="000000"/>
                                  <w:sz w:val="24"/>
                                  <w:szCs w:val="24"/>
                                </w:rPr>
                                <w:t>Определение альтернатив</w:t>
                              </w:r>
                            </w:p>
                          </w:txbxContent>
                        </wps:txbx>
                        <wps:bodyPr spcFirstLastPara="1" wrap="square" lIns="34275" tIns="34275" rIns="34275" bIns="34275" anchor="ctr" anchorCtr="0">
                          <a:noAutofit/>
                        </wps:bodyPr>
                      </wps:wsp>
                      <wps:wsp>
                        <wps:cNvPr id="81" name="Стрелка вправо 81"/>
                        <wps:cNvSpPr/>
                        <wps:spPr>
                          <a:xfrm>
                            <a:off x="4307415" y="342555"/>
                            <a:ext cx="234731" cy="274591"/>
                          </a:xfrm>
                          <a:prstGeom prst="rightArrow">
                            <a:avLst>
                              <a:gd name="adj1" fmla="val 60000"/>
                              <a:gd name="adj2" fmla="val 50000"/>
                            </a:avLst>
                          </a:prstGeom>
                          <a:solidFill>
                            <a:srgbClr val="B3CAE7"/>
                          </a:solidFill>
                          <a:ln>
                            <a:noFill/>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82" name="Надпись 82"/>
                        <wps:cNvSpPr txBox="1"/>
                        <wps:spPr>
                          <a:xfrm>
                            <a:off x="4307415" y="397473"/>
                            <a:ext cx="164312" cy="164755"/>
                          </a:xfrm>
                          <a:prstGeom prst="rect">
                            <a:avLst/>
                          </a:prstGeom>
                          <a:noFill/>
                          <a:ln>
                            <a:noFill/>
                          </a:ln>
                        </wps:spPr>
                        <wps:txbx>
                          <w:txbxContent>
                            <w:p w:rsidR="00D06B63" w:rsidRDefault="00D06B63" w:rsidP="00EA72C7">
                              <w:pPr>
                                <w:spacing w:after="0" w:line="215" w:lineRule="auto"/>
                                <w:jc w:val="center"/>
                                <w:textDirection w:val="btLr"/>
                              </w:pPr>
                            </w:p>
                          </w:txbxContent>
                        </wps:txbx>
                        <wps:bodyPr spcFirstLastPara="1" wrap="square" lIns="0" tIns="0" rIns="0" bIns="0" anchor="ctr" anchorCtr="0">
                          <a:noAutofit/>
                        </wps:bodyPr>
                      </wps:wsp>
                      <wps:wsp>
                        <wps:cNvPr id="83" name="Скругленный прямоугольник 83"/>
                        <wps:cNvSpPr/>
                        <wps:spPr>
                          <a:xfrm>
                            <a:off x="4652869" y="147684"/>
                            <a:ext cx="1107223" cy="664333"/>
                          </a:xfrm>
                          <a:prstGeom prst="roundRect">
                            <a:avLst>
                              <a:gd name="adj" fmla="val 10000"/>
                            </a:avLst>
                          </a:prstGeom>
                          <a:solidFill>
                            <a:schemeClr val="lt1"/>
                          </a:solidFill>
                          <a:ln w="12700" cap="flat" cmpd="sng">
                            <a:solidFill>
                              <a:srgbClr val="528CBE"/>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84" name="Надпись 84"/>
                        <wps:cNvSpPr txBox="1"/>
                        <wps:spPr>
                          <a:xfrm>
                            <a:off x="4672327" y="167142"/>
                            <a:ext cx="1068307" cy="625417"/>
                          </a:xfrm>
                          <a:prstGeom prst="rect">
                            <a:avLst/>
                          </a:prstGeom>
                          <a:noFill/>
                          <a:ln>
                            <a:noFill/>
                          </a:ln>
                        </wps:spPr>
                        <wps:txbx>
                          <w:txbxContent>
                            <w:p w:rsidR="00D06B63" w:rsidRPr="003327C9" w:rsidRDefault="00D06B63" w:rsidP="00EA72C7">
                              <w:pPr>
                                <w:spacing w:after="0" w:line="240" w:lineRule="auto"/>
                                <w:jc w:val="center"/>
                                <w:textDirection w:val="btLr"/>
                                <w:rPr>
                                  <w:sz w:val="24"/>
                                  <w:szCs w:val="24"/>
                                </w:rPr>
                              </w:pPr>
                              <w:r w:rsidRPr="003327C9">
                                <w:rPr>
                                  <w:rFonts w:ascii="Times New Roman" w:eastAsia="Times New Roman" w:hAnsi="Times New Roman" w:cs="Times New Roman"/>
                                  <w:color w:val="000000"/>
                                  <w:sz w:val="24"/>
                                  <w:szCs w:val="24"/>
                                </w:rPr>
                                <w:t>Оценка альтернатив</w:t>
                              </w:r>
                            </w:p>
                          </w:txbxContent>
                        </wps:txbx>
                        <wps:bodyPr spcFirstLastPara="1" wrap="square" lIns="34275" tIns="34275" rIns="34275" bIns="34275" anchor="ctr" anchorCtr="0">
                          <a:noAutofit/>
                        </wps:bodyPr>
                      </wps:wsp>
                      <wps:wsp>
                        <wps:cNvPr id="85" name="Стрелка вправо 85"/>
                        <wps:cNvSpPr/>
                        <wps:spPr>
                          <a:xfrm rot="5400000">
                            <a:off x="5089115" y="889523"/>
                            <a:ext cx="234731" cy="274591"/>
                          </a:xfrm>
                          <a:prstGeom prst="rightArrow">
                            <a:avLst>
                              <a:gd name="adj1" fmla="val 60000"/>
                              <a:gd name="adj2" fmla="val 50000"/>
                            </a:avLst>
                          </a:prstGeom>
                          <a:solidFill>
                            <a:srgbClr val="B3CAE7"/>
                          </a:solidFill>
                          <a:ln>
                            <a:noFill/>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86" name="Надпись 86"/>
                        <wps:cNvSpPr txBox="1"/>
                        <wps:spPr>
                          <a:xfrm>
                            <a:off x="5124104" y="909453"/>
                            <a:ext cx="164755" cy="164312"/>
                          </a:xfrm>
                          <a:prstGeom prst="rect">
                            <a:avLst/>
                          </a:prstGeom>
                          <a:noFill/>
                          <a:ln>
                            <a:noFill/>
                          </a:ln>
                        </wps:spPr>
                        <wps:txbx>
                          <w:txbxContent>
                            <w:p w:rsidR="00D06B63" w:rsidRDefault="00D06B63" w:rsidP="00EA72C7">
                              <w:pPr>
                                <w:spacing w:after="0" w:line="215" w:lineRule="auto"/>
                                <w:jc w:val="center"/>
                                <w:textDirection w:val="btLr"/>
                              </w:pPr>
                            </w:p>
                          </w:txbxContent>
                        </wps:txbx>
                        <wps:bodyPr spcFirstLastPara="1" wrap="square" lIns="0" tIns="0" rIns="0" bIns="0" anchor="ctr" anchorCtr="0">
                          <a:noAutofit/>
                        </wps:bodyPr>
                      </wps:wsp>
                      <wps:wsp>
                        <wps:cNvPr id="87" name="Скругленный прямоугольник 87"/>
                        <wps:cNvSpPr/>
                        <wps:spPr>
                          <a:xfrm>
                            <a:off x="4652869" y="1254907"/>
                            <a:ext cx="1107223" cy="664333"/>
                          </a:xfrm>
                          <a:prstGeom prst="roundRect">
                            <a:avLst>
                              <a:gd name="adj" fmla="val 10000"/>
                            </a:avLst>
                          </a:prstGeom>
                          <a:solidFill>
                            <a:schemeClr val="lt1"/>
                          </a:solidFill>
                          <a:ln w="12700" cap="flat" cmpd="sng">
                            <a:solidFill>
                              <a:srgbClr val="528CBE"/>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88" name="Надпись 88"/>
                        <wps:cNvSpPr txBox="1"/>
                        <wps:spPr>
                          <a:xfrm>
                            <a:off x="4672327" y="1274365"/>
                            <a:ext cx="1068307" cy="625417"/>
                          </a:xfrm>
                          <a:prstGeom prst="rect">
                            <a:avLst/>
                          </a:prstGeom>
                          <a:noFill/>
                          <a:ln>
                            <a:noFill/>
                          </a:ln>
                        </wps:spPr>
                        <wps:txbx>
                          <w:txbxContent>
                            <w:p w:rsidR="00D06B63" w:rsidRPr="003327C9" w:rsidRDefault="00D06B63" w:rsidP="00EA72C7">
                              <w:pPr>
                                <w:spacing w:after="0" w:line="240" w:lineRule="auto"/>
                                <w:jc w:val="center"/>
                                <w:textDirection w:val="btLr"/>
                                <w:rPr>
                                  <w:sz w:val="24"/>
                                  <w:szCs w:val="24"/>
                                </w:rPr>
                              </w:pPr>
                              <w:r w:rsidRPr="003327C9">
                                <w:rPr>
                                  <w:rFonts w:ascii="Times New Roman" w:eastAsia="Times New Roman" w:hAnsi="Times New Roman" w:cs="Times New Roman"/>
                                  <w:color w:val="000000"/>
                                  <w:sz w:val="24"/>
                                  <w:szCs w:val="24"/>
                                </w:rPr>
                                <w:t>Выбор альтернативы</w:t>
                              </w:r>
                            </w:p>
                          </w:txbxContent>
                        </wps:txbx>
                        <wps:bodyPr spcFirstLastPara="1" wrap="square" lIns="34275" tIns="34275" rIns="34275" bIns="34275" anchor="ctr" anchorCtr="0">
                          <a:noAutofit/>
                        </wps:bodyPr>
                      </wps:wsp>
                      <wps:wsp>
                        <wps:cNvPr id="89" name="Стрелка вправо 89"/>
                        <wps:cNvSpPr/>
                        <wps:spPr>
                          <a:xfrm rot="10800000">
                            <a:off x="4320702" y="1449778"/>
                            <a:ext cx="234731" cy="274591"/>
                          </a:xfrm>
                          <a:prstGeom prst="rightArrow">
                            <a:avLst>
                              <a:gd name="adj1" fmla="val 60000"/>
                              <a:gd name="adj2" fmla="val 50000"/>
                            </a:avLst>
                          </a:prstGeom>
                          <a:solidFill>
                            <a:srgbClr val="B3CAE7"/>
                          </a:solidFill>
                          <a:ln>
                            <a:noFill/>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90" name="Надпись 90"/>
                        <wps:cNvSpPr txBox="1"/>
                        <wps:spPr>
                          <a:xfrm>
                            <a:off x="4391121" y="1504696"/>
                            <a:ext cx="164312" cy="164755"/>
                          </a:xfrm>
                          <a:prstGeom prst="rect">
                            <a:avLst/>
                          </a:prstGeom>
                          <a:noFill/>
                          <a:ln>
                            <a:noFill/>
                          </a:ln>
                        </wps:spPr>
                        <wps:txbx>
                          <w:txbxContent>
                            <w:p w:rsidR="00D06B63" w:rsidRDefault="00D06B63" w:rsidP="00EA72C7">
                              <w:pPr>
                                <w:spacing w:after="0" w:line="215" w:lineRule="auto"/>
                                <w:jc w:val="center"/>
                                <w:textDirection w:val="btLr"/>
                              </w:pPr>
                            </w:p>
                          </w:txbxContent>
                        </wps:txbx>
                        <wps:bodyPr spcFirstLastPara="1" wrap="square" lIns="0" tIns="0" rIns="0" bIns="0" anchor="ctr" anchorCtr="0">
                          <a:noAutofit/>
                        </wps:bodyPr>
                      </wps:wsp>
                      <wps:wsp>
                        <wps:cNvPr id="91" name="Скругленный прямоугольник 91"/>
                        <wps:cNvSpPr/>
                        <wps:spPr>
                          <a:xfrm>
                            <a:off x="3102757" y="1254907"/>
                            <a:ext cx="1107223" cy="664333"/>
                          </a:xfrm>
                          <a:prstGeom prst="roundRect">
                            <a:avLst>
                              <a:gd name="adj" fmla="val 10000"/>
                            </a:avLst>
                          </a:prstGeom>
                          <a:solidFill>
                            <a:schemeClr val="lt1"/>
                          </a:solidFill>
                          <a:ln w="12700" cap="flat" cmpd="sng">
                            <a:solidFill>
                              <a:srgbClr val="528CBE"/>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92" name="Надпись 92"/>
                        <wps:cNvSpPr txBox="1"/>
                        <wps:spPr>
                          <a:xfrm>
                            <a:off x="3122215" y="1274365"/>
                            <a:ext cx="1068307" cy="625417"/>
                          </a:xfrm>
                          <a:prstGeom prst="rect">
                            <a:avLst/>
                          </a:prstGeom>
                          <a:noFill/>
                          <a:ln>
                            <a:noFill/>
                          </a:ln>
                        </wps:spPr>
                        <wps:txbx>
                          <w:txbxContent>
                            <w:p w:rsidR="00D06B63" w:rsidRPr="003327C9" w:rsidRDefault="00D06B63" w:rsidP="00EA72C7">
                              <w:pPr>
                                <w:spacing w:after="0" w:line="215" w:lineRule="auto"/>
                                <w:jc w:val="center"/>
                                <w:textDirection w:val="btLr"/>
                                <w:rPr>
                                  <w:sz w:val="24"/>
                                  <w:szCs w:val="24"/>
                                </w:rPr>
                              </w:pPr>
                              <w:r w:rsidRPr="003327C9">
                                <w:rPr>
                                  <w:rFonts w:ascii="Times New Roman" w:eastAsia="Times New Roman" w:hAnsi="Times New Roman" w:cs="Times New Roman"/>
                                  <w:color w:val="000000"/>
                                  <w:sz w:val="24"/>
                                  <w:szCs w:val="24"/>
                                </w:rPr>
                                <w:t>Удовлетворительное решение</w:t>
                              </w:r>
                            </w:p>
                          </w:txbxContent>
                        </wps:txbx>
                        <wps:bodyPr spcFirstLastPara="1" wrap="square" lIns="34275" tIns="34275" rIns="34275" bIns="34275" anchor="ctr" anchorCtr="0">
                          <a:noAutofit/>
                        </wps:bodyPr>
                      </wps:wsp>
                      <wps:wsp>
                        <wps:cNvPr id="93" name="Стрелка вправо 93"/>
                        <wps:cNvSpPr/>
                        <wps:spPr>
                          <a:xfrm rot="10800000">
                            <a:off x="2770590" y="1449778"/>
                            <a:ext cx="234731" cy="274591"/>
                          </a:xfrm>
                          <a:prstGeom prst="rightArrow">
                            <a:avLst>
                              <a:gd name="adj1" fmla="val 60000"/>
                              <a:gd name="adj2" fmla="val 50000"/>
                            </a:avLst>
                          </a:prstGeom>
                          <a:solidFill>
                            <a:srgbClr val="B3CAE7"/>
                          </a:solidFill>
                          <a:ln>
                            <a:noFill/>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94" name="Надпись 94"/>
                        <wps:cNvSpPr txBox="1"/>
                        <wps:spPr>
                          <a:xfrm>
                            <a:off x="2841009" y="1504696"/>
                            <a:ext cx="164312" cy="164755"/>
                          </a:xfrm>
                          <a:prstGeom prst="rect">
                            <a:avLst/>
                          </a:prstGeom>
                          <a:noFill/>
                          <a:ln>
                            <a:noFill/>
                          </a:ln>
                        </wps:spPr>
                        <wps:txbx>
                          <w:txbxContent>
                            <w:p w:rsidR="00D06B63" w:rsidRDefault="00D06B63" w:rsidP="00EA72C7">
                              <w:pPr>
                                <w:spacing w:after="0" w:line="215" w:lineRule="auto"/>
                                <w:jc w:val="center"/>
                                <w:textDirection w:val="btLr"/>
                              </w:pPr>
                            </w:p>
                          </w:txbxContent>
                        </wps:txbx>
                        <wps:bodyPr spcFirstLastPara="1" wrap="square" lIns="0" tIns="0" rIns="0" bIns="0" anchor="ctr" anchorCtr="0">
                          <a:noAutofit/>
                        </wps:bodyPr>
                      </wps:wsp>
                      <wps:wsp>
                        <wps:cNvPr id="95" name="Скругленный прямоугольник 95"/>
                        <wps:cNvSpPr/>
                        <wps:spPr>
                          <a:xfrm>
                            <a:off x="1552644" y="1254907"/>
                            <a:ext cx="1107223" cy="664333"/>
                          </a:xfrm>
                          <a:prstGeom prst="roundRect">
                            <a:avLst>
                              <a:gd name="adj" fmla="val 10000"/>
                            </a:avLst>
                          </a:prstGeom>
                          <a:solidFill>
                            <a:schemeClr val="lt1"/>
                          </a:solidFill>
                          <a:ln w="12700" cap="flat" cmpd="sng">
                            <a:solidFill>
                              <a:srgbClr val="528CBE"/>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96" name="Надпись 96"/>
                        <wps:cNvSpPr txBox="1"/>
                        <wps:spPr>
                          <a:xfrm>
                            <a:off x="1572102" y="1274365"/>
                            <a:ext cx="1068307" cy="625417"/>
                          </a:xfrm>
                          <a:prstGeom prst="rect">
                            <a:avLst/>
                          </a:prstGeom>
                          <a:noFill/>
                          <a:ln>
                            <a:noFill/>
                          </a:ln>
                        </wps:spPr>
                        <wps:txbx>
                          <w:txbxContent>
                            <w:p w:rsidR="00D06B63" w:rsidRPr="003327C9" w:rsidRDefault="00D06B63" w:rsidP="00EA72C7">
                              <w:pPr>
                                <w:spacing w:after="0" w:line="240" w:lineRule="auto"/>
                                <w:jc w:val="center"/>
                                <w:textDirection w:val="btLr"/>
                                <w:rPr>
                                  <w:sz w:val="24"/>
                                  <w:szCs w:val="24"/>
                                </w:rPr>
                              </w:pPr>
                              <w:r w:rsidRPr="003327C9">
                                <w:rPr>
                                  <w:rFonts w:ascii="Times New Roman" w:eastAsia="Times New Roman" w:hAnsi="Times New Roman" w:cs="Times New Roman"/>
                                  <w:color w:val="000000"/>
                                  <w:sz w:val="24"/>
                                  <w:szCs w:val="24"/>
                                </w:rPr>
                                <w:t>Реализация и обратная связь</w:t>
                              </w:r>
                            </w:p>
                          </w:txbxContent>
                        </wps:txbx>
                        <wps:bodyPr spcFirstLastPara="1" wrap="square" lIns="34275" tIns="34275" rIns="34275" bIns="34275" anchor="ctr" anchorCtr="0">
                          <a:noAutofit/>
                        </wps:bodyPr>
                      </wps:wsp>
                      <wps:wsp>
                        <wps:cNvPr id="97" name="Стрелка вправо 97"/>
                        <wps:cNvSpPr/>
                        <wps:spPr>
                          <a:xfrm rot="10800000">
                            <a:off x="1220477" y="1449778"/>
                            <a:ext cx="234731" cy="274591"/>
                          </a:xfrm>
                          <a:prstGeom prst="rightArrow">
                            <a:avLst>
                              <a:gd name="adj1" fmla="val 60000"/>
                              <a:gd name="adj2" fmla="val 50000"/>
                            </a:avLst>
                          </a:prstGeom>
                          <a:solidFill>
                            <a:srgbClr val="B3CAE7"/>
                          </a:solidFill>
                          <a:ln>
                            <a:noFill/>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98" name="Надпись 98"/>
                        <wps:cNvSpPr txBox="1"/>
                        <wps:spPr>
                          <a:xfrm>
                            <a:off x="1290896" y="1504696"/>
                            <a:ext cx="164312" cy="164755"/>
                          </a:xfrm>
                          <a:prstGeom prst="rect">
                            <a:avLst/>
                          </a:prstGeom>
                          <a:noFill/>
                          <a:ln>
                            <a:noFill/>
                          </a:ln>
                        </wps:spPr>
                        <wps:txbx>
                          <w:txbxContent>
                            <w:p w:rsidR="00D06B63" w:rsidRDefault="00D06B63" w:rsidP="00EA72C7">
                              <w:pPr>
                                <w:spacing w:after="0" w:line="215" w:lineRule="auto"/>
                                <w:jc w:val="center"/>
                                <w:textDirection w:val="btLr"/>
                              </w:pPr>
                            </w:p>
                          </w:txbxContent>
                        </wps:txbx>
                        <wps:bodyPr spcFirstLastPara="1" wrap="square" lIns="0" tIns="0" rIns="0" bIns="0" anchor="ctr" anchorCtr="0">
                          <a:noAutofit/>
                        </wps:bodyPr>
                      </wps:wsp>
                      <wps:wsp>
                        <wps:cNvPr id="99" name="Скругленный прямоугольник 99"/>
                        <wps:cNvSpPr/>
                        <wps:spPr>
                          <a:xfrm>
                            <a:off x="2532" y="1254907"/>
                            <a:ext cx="1107223" cy="664333"/>
                          </a:xfrm>
                          <a:prstGeom prst="roundRect">
                            <a:avLst>
                              <a:gd name="adj" fmla="val 10000"/>
                            </a:avLst>
                          </a:prstGeom>
                          <a:solidFill>
                            <a:schemeClr val="lt1"/>
                          </a:solidFill>
                          <a:ln w="12700" cap="flat" cmpd="sng">
                            <a:solidFill>
                              <a:srgbClr val="528CBE"/>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00" name="Надпись 100"/>
                        <wps:cNvSpPr txBox="1"/>
                        <wps:spPr>
                          <a:xfrm>
                            <a:off x="21990" y="1274365"/>
                            <a:ext cx="1068307" cy="625417"/>
                          </a:xfrm>
                          <a:prstGeom prst="rect">
                            <a:avLst/>
                          </a:prstGeom>
                          <a:noFill/>
                          <a:ln>
                            <a:noFill/>
                          </a:ln>
                        </wps:spPr>
                        <wps:txbx>
                          <w:txbxContent>
                            <w:p w:rsidR="00D06B63" w:rsidRPr="003327C9" w:rsidRDefault="00D06B63" w:rsidP="00EA72C7">
                              <w:pPr>
                                <w:spacing w:after="0" w:line="240" w:lineRule="auto"/>
                                <w:jc w:val="center"/>
                                <w:textDirection w:val="btLr"/>
                                <w:rPr>
                                  <w:sz w:val="24"/>
                                  <w:szCs w:val="24"/>
                                </w:rPr>
                              </w:pPr>
                              <w:r w:rsidRPr="003327C9">
                                <w:rPr>
                                  <w:rFonts w:ascii="Times New Roman" w:eastAsia="Times New Roman" w:hAnsi="Times New Roman" w:cs="Times New Roman"/>
                                  <w:color w:val="000000"/>
                                  <w:sz w:val="24"/>
                                  <w:szCs w:val="24"/>
                                </w:rPr>
                                <w:t>Оценка р</w:t>
                              </w:r>
                              <w:r w:rsidRPr="003327C9">
                                <w:rPr>
                                  <w:rFonts w:ascii="Times New Roman" w:eastAsia="Times New Roman" w:hAnsi="Times New Roman" w:cs="Times New Roman"/>
                                  <w:color w:val="000000"/>
                                  <w:sz w:val="24"/>
                                  <w:szCs w:val="24"/>
                                  <w:lang w:val="kk-KZ"/>
                                </w:rPr>
                                <w:t>е</w:t>
                              </w:r>
                              <w:r w:rsidRPr="003327C9">
                                <w:rPr>
                                  <w:rFonts w:ascii="Times New Roman" w:eastAsia="Times New Roman" w:hAnsi="Times New Roman" w:cs="Times New Roman"/>
                                  <w:color w:val="000000"/>
                                  <w:sz w:val="24"/>
                                  <w:szCs w:val="24"/>
                                </w:rPr>
                                <w:t>зультатов</w:t>
                              </w:r>
                            </w:p>
                          </w:txbxContent>
                        </wps:txbx>
                        <wps:bodyPr spcFirstLastPara="1" wrap="square" lIns="34275" tIns="34275" rIns="34275" bIns="34275" anchor="ctr" anchorCtr="0">
                          <a:noAutofit/>
                        </wps:bodyPr>
                      </wps:wsp>
                    </wpg:wgp>
                  </a:graphicData>
                </a:graphic>
              </wp:inline>
            </w:drawing>
          </mc:Choice>
          <mc:Fallback xmlns:w16se="http://schemas.microsoft.com/office/word/2015/wordml/symex" xmlns:cx="http://schemas.microsoft.com/office/drawing/2014/chartex">
            <w:pict>
              <v:group w14:anchorId="3F951DD0" id="Группа 67" o:spid="_x0000_s1061" style="width:453.05pt;height:139.5pt;mso-position-horizontal-relative:char;mso-position-vertical-relative:line" coordorigin="25,1476" coordsize="57575,1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">
                <v:roundrect id="Скругленный прямоугольник 69" o:spid="_x0000_s1062" style="position:absolute;left:25;top:1476;width:11072;height:664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" fillcolor="white [3201]" strokecolor="#528cbe"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70" o:spid="_x0000_s1063" type="#_x0000_t202" style="position:absolute;left:219;top:1671;width:10683;height:6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" filled="f" stroked="f">
                  <v:textbox inset=".95208mm,.95208mm,.95208mm,.95208mm">
                    <w:txbxContent>
                      <w:p w:rsidR="00D06B63" w:rsidRPr="003327C9" w:rsidRDefault="00D06B63" w:rsidP="00EA72C7">
                        <w:pPr>
                          <w:spacing w:after="0" w:line="240" w:lineRule="auto"/>
                          <w:jc w:val="center"/>
                          <w:textDirection w:val="btLr"/>
                          <w:rPr>
                            <w:sz w:val="24"/>
                            <w:szCs w:val="24"/>
                          </w:rPr>
                        </w:pPr>
                        <w:r w:rsidRPr="003327C9">
                          <w:rPr>
                            <w:rFonts w:ascii="Times New Roman" w:eastAsia="Times New Roman" w:hAnsi="Times New Roman" w:cs="Times New Roman"/>
                            <w:color w:val="000000"/>
                            <w:sz w:val="24"/>
                            <w:szCs w:val="24"/>
                          </w:rPr>
                          <w:t>Диагноз проблемы и целеполагание</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1" o:spid="_x0000_s1064" type="#_x0000_t13" style="position:absolute;left:12071;top:3425;width:2348;height:2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" adj="10800,4320" fillcolor="#b3cae7" stroked="f">
                  <v:textbox inset="2.53958mm,2.53958mm,2.53958mm,2.53958mm">
                    <w:txbxContent>
                      <w:p w:rsidR="00D06B63" w:rsidRDefault="00D06B63" w:rsidP="00EA72C7">
                        <w:pPr>
                          <w:spacing w:after="0" w:line="240" w:lineRule="auto"/>
                          <w:textDirection w:val="btLr"/>
                        </w:pPr>
                      </w:p>
                    </w:txbxContent>
                  </v:textbox>
                </v:shape>
                <v:shape id="Надпись 72" o:spid="_x0000_s1065" type="#_x0000_t202" style="position:absolute;left:12071;top:3974;width:1644;height:1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" filled="f" stroked="f">
                  <v:textbox inset="0,0,0,0">
                    <w:txbxContent>
                      <w:p w:rsidR="00D06B63" w:rsidRDefault="00D06B63" w:rsidP="00EA72C7">
                        <w:pPr>
                          <w:spacing w:after="0" w:line="215" w:lineRule="auto"/>
                          <w:jc w:val="center"/>
                          <w:textDirection w:val="btLr"/>
                        </w:pPr>
                      </w:p>
                    </w:txbxContent>
                  </v:textbox>
                </v:shape>
                <v:roundrect id="Скругленный прямоугольник 73" o:spid="_x0000_s1066" style="position:absolute;left:14419;top:1476;width:13153;height:809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" fillcolor="white [3201]" strokecolor="#528cbe"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74" o:spid="_x0000_s1067" type="#_x0000_t202" style="position:absolute;left:14419;top:1666;width:13153;height:7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" filled="f" stroked="f">
                  <v:textbox inset=".95208mm,.95208mm,.95208mm,.95208mm">
                    <w:txbxContent>
                      <w:p w:rsidR="00D06B63" w:rsidRPr="003327C9" w:rsidRDefault="00D06B63" w:rsidP="00EA72C7">
                        <w:pPr>
                          <w:spacing w:after="0" w:line="192" w:lineRule="auto"/>
                          <w:jc w:val="center"/>
                          <w:textDirection w:val="btLr"/>
                          <w:rPr>
                            <w:sz w:val="24"/>
                            <w:szCs w:val="24"/>
                          </w:rPr>
                        </w:pPr>
                        <w:r w:rsidRPr="003327C9">
                          <w:rPr>
                            <w:rFonts w:ascii="Times New Roman" w:eastAsia="Times New Roman" w:hAnsi="Times New Roman" w:cs="Times New Roman"/>
                            <w:color w:val="000000"/>
                            <w:sz w:val="24"/>
                            <w:szCs w:val="24"/>
                          </w:rPr>
                          <w:t>Формулировка ограничений и критериев при</w:t>
                        </w:r>
                        <w:r>
                          <w:rPr>
                            <w:rFonts w:ascii="Times New Roman" w:eastAsia="Times New Roman" w:hAnsi="Times New Roman" w:cs="Times New Roman"/>
                            <w:color w:val="000000"/>
                            <w:sz w:val="24"/>
                            <w:szCs w:val="24"/>
                            <w:lang w:val="kk-KZ"/>
                          </w:rPr>
                          <w:t xml:space="preserve"> </w:t>
                        </w:r>
                        <w:r w:rsidRPr="003327C9">
                          <w:rPr>
                            <w:rFonts w:ascii="Times New Roman" w:eastAsia="Times New Roman" w:hAnsi="Times New Roman" w:cs="Times New Roman"/>
                            <w:color w:val="000000"/>
                            <w:sz w:val="24"/>
                            <w:szCs w:val="24"/>
                          </w:rPr>
                          <w:t>нятия управлен</w:t>
                        </w:r>
                        <w:r>
                          <w:rPr>
                            <w:rFonts w:ascii="Times New Roman" w:eastAsia="Times New Roman" w:hAnsi="Times New Roman" w:cs="Times New Roman"/>
                            <w:color w:val="000000"/>
                            <w:sz w:val="24"/>
                            <w:szCs w:val="24"/>
                            <w:lang w:val="kk-KZ"/>
                          </w:rPr>
                          <w:t xml:space="preserve"> </w:t>
                        </w:r>
                        <w:r w:rsidRPr="003327C9">
                          <w:rPr>
                            <w:rFonts w:ascii="Times New Roman" w:eastAsia="Times New Roman" w:hAnsi="Times New Roman" w:cs="Times New Roman"/>
                            <w:color w:val="000000"/>
                            <w:sz w:val="24"/>
                            <w:szCs w:val="24"/>
                          </w:rPr>
                          <w:t>ческих решений</w:t>
                        </w:r>
                      </w:p>
                    </w:txbxContent>
                  </v:textbox>
                </v:shape>
                <v:shape id="Стрелка вправо 75" o:spid="_x0000_s1068" type="#_x0000_t13" style="position:absolute;left:27573;top:3425;width:2347;height:2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" adj="10800,4320" fillcolor="#b3cae7" stroked="f">
                  <v:textbox inset="2.53958mm,2.53958mm,2.53958mm,2.53958mm">
                    <w:txbxContent>
                      <w:p w:rsidR="00D06B63" w:rsidRDefault="00D06B63" w:rsidP="00EA72C7">
                        <w:pPr>
                          <w:spacing w:after="0" w:line="240" w:lineRule="auto"/>
                          <w:textDirection w:val="btLr"/>
                        </w:pPr>
                      </w:p>
                    </w:txbxContent>
                  </v:textbox>
                </v:shape>
                <v:shape id="Надпись 76" o:spid="_x0000_s1069" type="#_x0000_t202" style="position:absolute;left:27573;top:3974;width:1643;height:1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" filled="f" stroked="f">
                  <v:textbox inset="0,0,0,0">
                    <w:txbxContent>
                      <w:p w:rsidR="00D06B63" w:rsidRDefault="00D06B63" w:rsidP="00EA72C7">
                        <w:pPr>
                          <w:spacing w:after="0" w:line="215" w:lineRule="auto"/>
                          <w:jc w:val="center"/>
                          <w:textDirection w:val="btLr"/>
                        </w:pPr>
                      </w:p>
                    </w:txbxContent>
                  </v:textbox>
                </v:shape>
                <v:roundrect id="Скругленный прямоугольник 77" o:spid="_x0000_s1070" style="position:absolute;left:31027;top:1476;width:11072;height:664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" fillcolor="white [3201]" strokecolor="#528cbe"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80" o:spid="_x0000_s1071" type="#_x0000_t202" style="position:absolute;left:31222;top:1671;width:10683;height:6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" filled="f" stroked="f">
                  <v:textbox inset=".95208mm,.95208mm,.95208mm,.95208mm">
                    <w:txbxContent>
                      <w:p w:rsidR="00D06B63" w:rsidRPr="003327C9" w:rsidRDefault="00D06B63" w:rsidP="00EA72C7">
                        <w:pPr>
                          <w:spacing w:after="0" w:line="240" w:lineRule="auto"/>
                          <w:jc w:val="center"/>
                          <w:textDirection w:val="btLr"/>
                          <w:rPr>
                            <w:sz w:val="24"/>
                            <w:szCs w:val="24"/>
                          </w:rPr>
                        </w:pPr>
                        <w:r w:rsidRPr="003327C9">
                          <w:rPr>
                            <w:rFonts w:ascii="Times New Roman" w:eastAsia="Times New Roman" w:hAnsi="Times New Roman" w:cs="Times New Roman"/>
                            <w:color w:val="000000"/>
                            <w:sz w:val="24"/>
                            <w:szCs w:val="24"/>
                          </w:rPr>
                          <w:t>Определение альтернатив</w:t>
                        </w:r>
                      </w:p>
                    </w:txbxContent>
                  </v:textbox>
                </v:shape>
                <v:shape id="Стрелка вправо 81" o:spid="_x0000_s1072" type="#_x0000_t13" style="position:absolute;left:43074;top:3425;width:2347;height:2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" adj="10800,4320" fillcolor="#b3cae7" stroked="f">
                  <v:textbox inset="2.53958mm,2.53958mm,2.53958mm,2.53958mm">
                    <w:txbxContent>
                      <w:p w:rsidR="00D06B63" w:rsidRDefault="00D06B63" w:rsidP="00EA72C7">
                        <w:pPr>
                          <w:spacing w:after="0" w:line="240" w:lineRule="auto"/>
                          <w:textDirection w:val="btLr"/>
                        </w:pPr>
                      </w:p>
                    </w:txbxContent>
                  </v:textbox>
                </v:shape>
                <v:shape id="Надпись 82" o:spid="_x0000_s1073" type="#_x0000_t202" style="position:absolute;left:43074;top:3974;width:1643;height:1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" filled="f" stroked="f">
                  <v:textbox inset="0,0,0,0">
                    <w:txbxContent>
                      <w:p w:rsidR="00D06B63" w:rsidRDefault="00D06B63" w:rsidP="00EA72C7">
                        <w:pPr>
                          <w:spacing w:after="0" w:line="215" w:lineRule="auto"/>
                          <w:jc w:val="center"/>
                          <w:textDirection w:val="btLr"/>
                        </w:pPr>
                      </w:p>
                    </w:txbxContent>
                  </v:textbox>
                </v:shape>
                <v:roundrect id="Скругленный прямоугольник 83" o:spid="_x0000_s1074" style="position:absolute;left:46528;top:1476;width:11072;height:664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" fillcolor="white [3201]" strokecolor="#528cbe"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84" o:spid="_x0000_s1075" type="#_x0000_t202" style="position:absolute;left:46723;top:1671;width:10683;height:6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" filled="f" stroked="f">
                  <v:textbox inset=".95208mm,.95208mm,.95208mm,.95208mm">
                    <w:txbxContent>
                      <w:p w:rsidR="00D06B63" w:rsidRPr="003327C9" w:rsidRDefault="00D06B63" w:rsidP="00EA72C7">
                        <w:pPr>
                          <w:spacing w:after="0" w:line="240" w:lineRule="auto"/>
                          <w:jc w:val="center"/>
                          <w:textDirection w:val="btLr"/>
                          <w:rPr>
                            <w:sz w:val="24"/>
                            <w:szCs w:val="24"/>
                          </w:rPr>
                        </w:pPr>
                        <w:r w:rsidRPr="003327C9">
                          <w:rPr>
                            <w:rFonts w:ascii="Times New Roman" w:eastAsia="Times New Roman" w:hAnsi="Times New Roman" w:cs="Times New Roman"/>
                            <w:color w:val="000000"/>
                            <w:sz w:val="24"/>
                            <w:szCs w:val="24"/>
                          </w:rPr>
                          <w:t>Оценка альтернатив</w:t>
                        </w:r>
                      </w:p>
                    </w:txbxContent>
                  </v:textbox>
                </v:shape>
                <v:shape id="Стрелка вправо 85" o:spid="_x0000_s1076" type="#_x0000_t13" style="position:absolute;left:50890;top:8895;width:2347;height:27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" adj="10800,4320" fillcolor="#b3cae7" stroked="f">
                  <v:textbox inset="2.53958mm,2.53958mm,2.53958mm,2.53958mm">
                    <w:txbxContent>
                      <w:p w:rsidR="00D06B63" w:rsidRDefault="00D06B63" w:rsidP="00EA72C7">
                        <w:pPr>
                          <w:spacing w:after="0" w:line="240" w:lineRule="auto"/>
                          <w:textDirection w:val="btLr"/>
                        </w:pPr>
                      </w:p>
                    </w:txbxContent>
                  </v:textbox>
                </v:shape>
                <v:shape id="Надпись 86" o:spid="_x0000_s1077" type="#_x0000_t202" style="position:absolute;left:51241;top:9094;width:1647;height:1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" filled="f" stroked="f">
                  <v:textbox inset="0,0,0,0">
                    <w:txbxContent>
                      <w:p w:rsidR="00D06B63" w:rsidRDefault="00D06B63" w:rsidP="00EA72C7">
                        <w:pPr>
                          <w:spacing w:after="0" w:line="215" w:lineRule="auto"/>
                          <w:jc w:val="center"/>
                          <w:textDirection w:val="btLr"/>
                        </w:pPr>
                      </w:p>
                    </w:txbxContent>
                  </v:textbox>
                </v:shape>
                <v:roundrect id="Скругленный прямоугольник 87" o:spid="_x0000_s1078" style="position:absolute;left:46528;top:12549;width:11072;height:664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" fillcolor="white [3201]" strokecolor="#528cbe"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88" o:spid="_x0000_s1079" type="#_x0000_t202" style="position:absolute;left:46723;top:12743;width:10683;height:6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" filled="f" stroked="f">
                  <v:textbox inset=".95208mm,.95208mm,.95208mm,.95208mm">
                    <w:txbxContent>
                      <w:p w:rsidR="00D06B63" w:rsidRPr="003327C9" w:rsidRDefault="00D06B63" w:rsidP="00EA72C7">
                        <w:pPr>
                          <w:spacing w:after="0" w:line="240" w:lineRule="auto"/>
                          <w:jc w:val="center"/>
                          <w:textDirection w:val="btLr"/>
                          <w:rPr>
                            <w:sz w:val="24"/>
                            <w:szCs w:val="24"/>
                          </w:rPr>
                        </w:pPr>
                        <w:r w:rsidRPr="003327C9">
                          <w:rPr>
                            <w:rFonts w:ascii="Times New Roman" w:eastAsia="Times New Roman" w:hAnsi="Times New Roman" w:cs="Times New Roman"/>
                            <w:color w:val="000000"/>
                            <w:sz w:val="24"/>
                            <w:szCs w:val="24"/>
                          </w:rPr>
                          <w:t>Выбор альтернативы</w:t>
                        </w:r>
                      </w:p>
                    </w:txbxContent>
                  </v:textbox>
                </v:shape>
                <v:shape id="Стрелка вправо 89" o:spid="_x0000_s1080" type="#_x0000_t13" style="position:absolute;left:43207;top:14497;width:2347;height:274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" adj="10800,4320" fillcolor="#b3cae7" stroked="f">
                  <v:textbox inset="2.53958mm,2.53958mm,2.53958mm,2.53958mm">
                    <w:txbxContent>
                      <w:p w:rsidR="00D06B63" w:rsidRDefault="00D06B63" w:rsidP="00EA72C7">
                        <w:pPr>
                          <w:spacing w:after="0" w:line="240" w:lineRule="auto"/>
                          <w:textDirection w:val="btLr"/>
                        </w:pPr>
                      </w:p>
                    </w:txbxContent>
                  </v:textbox>
                </v:shape>
                <v:shape id="Надпись 90" o:spid="_x0000_s1081" type="#_x0000_t202" style="position:absolute;left:43911;top:15046;width:1643;height:1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" filled="f" stroked="f">
                  <v:textbox inset="0,0,0,0">
                    <w:txbxContent>
                      <w:p w:rsidR="00D06B63" w:rsidRDefault="00D06B63" w:rsidP="00EA72C7">
                        <w:pPr>
                          <w:spacing w:after="0" w:line="215" w:lineRule="auto"/>
                          <w:jc w:val="center"/>
                          <w:textDirection w:val="btLr"/>
                        </w:pPr>
                      </w:p>
                    </w:txbxContent>
                  </v:textbox>
                </v:shape>
                <v:roundrect id="Скругленный прямоугольник 91" o:spid="_x0000_s1082" style="position:absolute;left:31027;top:12549;width:11072;height:664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" fillcolor="white [3201]" strokecolor="#528cbe"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92" o:spid="_x0000_s1083" type="#_x0000_t202" style="position:absolute;left:31222;top:12743;width:10683;height:6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" filled="f" stroked="f">
                  <v:textbox inset=".95208mm,.95208mm,.95208mm,.95208mm">
                    <w:txbxContent>
                      <w:p w:rsidR="00D06B63" w:rsidRPr="003327C9" w:rsidRDefault="00D06B63" w:rsidP="00EA72C7">
                        <w:pPr>
                          <w:spacing w:after="0" w:line="215" w:lineRule="auto"/>
                          <w:jc w:val="center"/>
                          <w:textDirection w:val="btLr"/>
                          <w:rPr>
                            <w:sz w:val="24"/>
                            <w:szCs w:val="24"/>
                          </w:rPr>
                        </w:pPr>
                        <w:r w:rsidRPr="003327C9">
                          <w:rPr>
                            <w:rFonts w:ascii="Times New Roman" w:eastAsia="Times New Roman" w:hAnsi="Times New Roman" w:cs="Times New Roman"/>
                            <w:color w:val="000000"/>
                            <w:sz w:val="24"/>
                            <w:szCs w:val="24"/>
                          </w:rPr>
                          <w:t>Удовлетворительное решение</w:t>
                        </w:r>
                      </w:p>
                    </w:txbxContent>
                  </v:textbox>
                </v:shape>
                <v:shape id="Стрелка вправо 93" o:spid="_x0000_s1084" type="#_x0000_t13" style="position:absolute;left:27705;top:14497;width:2348;height:274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" adj="10800,4320" fillcolor="#b3cae7" stroked="f">
                  <v:textbox inset="2.53958mm,2.53958mm,2.53958mm,2.53958mm">
                    <w:txbxContent>
                      <w:p w:rsidR="00D06B63" w:rsidRDefault="00D06B63" w:rsidP="00EA72C7">
                        <w:pPr>
                          <w:spacing w:after="0" w:line="240" w:lineRule="auto"/>
                          <w:textDirection w:val="btLr"/>
                        </w:pPr>
                      </w:p>
                    </w:txbxContent>
                  </v:textbox>
                </v:shape>
                <v:shape id="Надпись 94" o:spid="_x0000_s1085" type="#_x0000_t202" style="position:absolute;left:28410;top:15046;width:1643;height:1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" filled="f" stroked="f">
                  <v:textbox inset="0,0,0,0">
                    <w:txbxContent>
                      <w:p w:rsidR="00D06B63" w:rsidRDefault="00D06B63" w:rsidP="00EA72C7">
                        <w:pPr>
                          <w:spacing w:after="0" w:line="215" w:lineRule="auto"/>
                          <w:jc w:val="center"/>
                          <w:textDirection w:val="btLr"/>
                        </w:pPr>
                      </w:p>
                    </w:txbxContent>
                  </v:textbox>
                </v:shape>
                <v:roundrect id="Скругленный прямоугольник 95" o:spid="_x0000_s1086" style="position:absolute;left:15526;top:12549;width:11072;height:664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" fillcolor="white [3201]" strokecolor="#528cbe"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96" o:spid="_x0000_s1087" type="#_x0000_t202" style="position:absolute;left:15721;top:12743;width:10683;height:6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" filled="f" stroked="f">
                  <v:textbox inset=".95208mm,.95208mm,.95208mm,.95208mm">
                    <w:txbxContent>
                      <w:p w:rsidR="00D06B63" w:rsidRPr="003327C9" w:rsidRDefault="00D06B63" w:rsidP="00EA72C7">
                        <w:pPr>
                          <w:spacing w:after="0" w:line="240" w:lineRule="auto"/>
                          <w:jc w:val="center"/>
                          <w:textDirection w:val="btLr"/>
                          <w:rPr>
                            <w:sz w:val="24"/>
                            <w:szCs w:val="24"/>
                          </w:rPr>
                        </w:pPr>
                        <w:r w:rsidRPr="003327C9">
                          <w:rPr>
                            <w:rFonts w:ascii="Times New Roman" w:eastAsia="Times New Roman" w:hAnsi="Times New Roman" w:cs="Times New Roman"/>
                            <w:color w:val="000000"/>
                            <w:sz w:val="24"/>
                            <w:szCs w:val="24"/>
                          </w:rPr>
                          <w:t>Реализация и обратная связь</w:t>
                        </w:r>
                      </w:p>
                    </w:txbxContent>
                  </v:textbox>
                </v:shape>
                <v:shape id="Стрелка вправо 97" o:spid="_x0000_s1088" type="#_x0000_t13" style="position:absolute;left:12204;top:14497;width:2348;height:274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" adj="10800,4320" fillcolor="#b3cae7" stroked="f">
                  <v:textbox inset="2.53958mm,2.53958mm,2.53958mm,2.53958mm">
                    <w:txbxContent>
                      <w:p w:rsidR="00D06B63" w:rsidRDefault="00D06B63" w:rsidP="00EA72C7">
                        <w:pPr>
                          <w:spacing w:after="0" w:line="240" w:lineRule="auto"/>
                          <w:textDirection w:val="btLr"/>
                        </w:pPr>
                      </w:p>
                    </w:txbxContent>
                  </v:textbox>
                </v:shape>
                <v:shape id="Надпись 98" o:spid="_x0000_s1089" type="#_x0000_t202" style="position:absolute;left:12908;top:15046;width:1644;height:1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" filled="f" stroked="f">
                  <v:textbox inset="0,0,0,0">
                    <w:txbxContent>
                      <w:p w:rsidR="00D06B63" w:rsidRDefault="00D06B63" w:rsidP="00EA72C7">
                        <w:pPr>
                          <w:spacing w:after="0" w:line="215" w:lineRule="auto"/>
                          <w:jc w:val="center"/>
                          <w:textDirection w:val="btLr"/>
                        </w:pPr>
                      </w:p>
                    </w:txbxContent>
                  </v:textbox>
                </v:shape>
                <v:roundrect id="Скругленный прямоугольник 99" o:spid="_x0000_s1090" style="position:absolute;left:25;top:12549;width:11072;height:664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" fillcolor="white [3201]" strokecolor="#528cbe"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100" o:spid="_x0000_s1091" type="#_x0000_t202" style="position:absolute;left:219;top:12743;width:10683;height:6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" filled="f" stroked="f">
                  <v:textbox inset=".95208mm,.95208mm,.95208mm,.95208mm">
                    <w:txbxContent>
                      <w:p w:rsidR="00D06B63" w:rsidRPr="003327C9" w:rsidRDefault="00D06B63" w:rsidP="00EA72C7">
                        <w:pPr>
                          <w:spacing w:after="0" w:line="240" w:lineRule="auto"/>
                          <w:jc w:val="center"/>
                          <w:textDirection w:val="btLr"/>
                          <w:rPr>
                            <w:sz w:val="24"/>
                            <w:szCs w:val="24"/>
                          </w:rPr>
                        </w:pPr>
                        <w:r w:rsidRPr="003327C9">
                          <w:rPr>
                            <w:rFonts w:ascii="Times New Roman" w:eastAsia="Times New Roman" w:hAnsi="Times New Roman" w:cs="Times New Roman"/>
                            <w:color w:val="000000"/>
                            <w:sz w:val="24"/>
                            <w:szCs w:val="24"/>
                          </w:rPr>
                          <w:t>Оценка р</w:t>
                        </w:r>
                        <w:r w:rsidRPr="003327C9">
                          <w:rPr>
                            <w:rFonts w:ascii="Times New Roman" w:eastAsia="Times New Roman" w:hAnsi="Times New Roman" w:cs="Times New Roman"/>
                            <w:color w:val="000000"/>
                            <w:sz w:val="24"/>
                            <w:szCs w:val="24"/>
                            <w:lang w:val="kk-KZ"/>
                          </w:rPr>
                          <w:t>е</w:t>
                        </w:r>
                        <w:r w:rsidRPr="003327C9">
                          <w:rPr>
                            <w:rFonts w:ascii="Times New Roman" w:eastAsia="Times New Roman" w:hAnsi="Times New Roman" w:cs="Times New Roman"/>
                            <w:color w:val="000000"/>
                            <w:sz w:val="24"/>
                            <w:szCs w:val="24"/>
                          </w:rPr>
                          <w:t>зультатов</w:t>
                        </w:r>
                      </w:p>
                    </w:txbxContent>
                  </v:textbox>
                </v:shape>
                <w10:anchorlock/>
              </v:group>
            </w:pict>
          </mc:Fallback>
        </mc:AlternateContent>
      </w:r>
    </w:p>
    <w:p w:rsidR="00EA72C7" w:rsidRPr="00260A70" w:rsidRDefault="00EA72C7" w:rsidP="00EA72C7">
      <w:pPr>
        <w:spacing w:after="0" w:line="240" w:lineRule="auto"/>
        <w:jc w:val="center"/>
        <w:rPr>
          <w:rFonts w:ascii="Times New Roman" w:eastAsia="Times New Roman" w:hAnsi="Times New Roman" w:cs="Times New Roman"/>
          <w:sz w:val="16"/>
          <w:szCs w:val="16"/>
          <w:lang w:val="kk-KZ"/>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2 – Этапы принятия рационального управленческого </w:t>
      </w:r>
      <w:r>
        <w:rPr>
          <w:rFonts w:ascii="Times New Roman" w:eastAsia="Times New Roman" w:hAnsi="Times New Roman" w:cs="Times New Roman"/>
          <w:sz w:val="28"/>
          <w:szCs w:val="28"/>
        </w:rPr>
        <w:br/>
        <w:t>решения</w:t>
      </w:r>
    </w:p>
    <w:p w:rsidR="00EA72C7" w:rsidRDefault="00EA72C7" w:rsidP="00EA72C7">
      <w:pPr>
        <w:spacing w:after="0" w:line="240" w:lineRule="auto"/>
        <w:ind w:firstLine="709"/>
        <w:jc w:val="both"/>
        <w:rPr>
          <w:rFonts w:ascii="Times New Roman" w:eastAsia="Times New Roman" w:hAnsi="Times New Roman" w:cs="Times New Roman"/>
          <w:sz w:val="16"/>
          <w:szCs w:val="16"/>
        </w:rPr>
      </w:pPr>
    </w:p>
    <w:p w:rsidR="00EA72C7" w:rsidRDefault="00EA72C7" w:rsidP="00EA72C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автором по материалам [64, с. 54-60]</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Некоторые авторы утверждают, что «процесс принятия решений нельзя полностью свести лишь к сугубо рациональным факторам типа доступа к информации, эффективности организационной структуры, качества подготовки персонала, возможности привлечения высокопрофессиональных экспертов и т.д. В этой сфере всегда нужно учитывать менталитет, ценностные установки, систему мотивации людей.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Ситуации с полной определенностью называют детерминистскими, а оцениваемые в этих условиях результаты - детерминированными. В условиях определенности существует одна альтернатива.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решениям, принимаемым в условиях риска, относят те решения, результаты которых не являются определенными, но вероятность каждого из них известна. Решение принимается в условиях неопределенности, когда невозможно оценить вероятность потенциальных результатов, отражающих возможные положительные и отрицательные последствия при наступлении событий, связанных с этими неопределенностями </w:t>
      </w:r>
      <w:r w:rsidR="005F2A00">
        <w:rPr>
          <w:rFonts w:ascii="Times New Roman" w:eastAsia="Times New Roman" w:hAnsi="Times New Roman" w:cs="Times New Roman"/>
          <w:sz w:val="28"/>
          <w:szCs w:val="28"/>
        </w:rPr>
        <w:t xml:space="preserve">[63] </w:t>
      </w:r>
      <w:r>
        <w:rPr>
          <w:rFonts w:ascii="Times New Roman" w:eastAsia="Times New Roman" w:hAnsi="Times New Roman" w:cs="Times New Roman"/>
          <w:sz w:val="28"/>
          <w:szCs w:val="28"/>
        </w:rPr>
        <w:t xml:space="preserve">.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Инструментарий поддержки принятия решений очень разнообразный – от точных математических детерминированных или стохастических моделей принятия УР до абстрактных трудно формализуемых или не формализованных рекомендаций по управлению.</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моделям принятия решений в литературе по менеджменту относят: административную модель Г. Саймона, модель рационального поведения Дж.</w:t>
      </w:r>
      <w:r>
        <w:rPr>
          <w:rFonts w:ascii="Times New Roman" w:eastAsia="Times New Roman" w:hAnsi="Times New Roman" w:cs="Times New Roman"/>
          <w:sz w:val="28"/>
          <w:szCs w:val="28"/>
          <w:lang w:val="kk-KZ"/>
        </w:rPr>
        <w:t> </w:t>
      </w:r>
      <w:r>
        <w:rPr>
          <w:rFonts w:ascii="Times New Roman" w:eastAsia="Times New Roman" w:hAnsi="Times New Roman" w:cs="Times New Roman"/>
          <w:sz w:val="28"/>
          <w:szCs w:val="28"/>
        </w:rPr>
        <w:t xml:space="preserve">Фон Неймана и О. Моргенштерна, модель «мусорной корзины» Дж. Марча, модель принятия решения руководителем В. Врума, конфликтно-игровую модель М. Круазье, теорию локальных приращений Ч. Линдблома, теорию проспектов Д. Кенемана и А. Тверского и ряд других, в том числе </w:t>
      </w:r>
      <w:r>
        <w:rPr>
          <w:rFonts w:ascii="Times New Roman" w:eastAsia="Times New Roman" w:hAnsi="Times New Roman" w:cs="Times New Roman"/>
          <w:sz w:val="28"/>
          <w:szCs w:val="28"/>
        </w:rPr>
        <w:lastRenderedPageBreak/>
        <w:t>психологические (когнитивные), социально-психологические и социально-биологические модели.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Дж. Фон Нейман и О. Моргенштерн [66, с. 3-59] сформулировали аксиомы рационального поведения, исходя из самых общих априорных теоретических соображений, то ученые-психологи строили свою теорию, опираясь на эмпирически выявленные реальные особенности поведения людей в условиях риска. Широко известна так называемая теория проспектов</w:t>
      </w:r>
      <w:r>
        <w:t xml:space="preserve"> </w:t>
      </w:r>
      <w:r>
        <w:rPr>
          <w:rFonts w:ascii="Times New Roman" w:eastAsia="Times New Roman" w:hAnsi="Times New Roman" w:cs="Times New Roman"/>
          <w:sz w:val="28"/>
          <w:szCs w:val="28"/>
        </w:rPr>
        <w:t>Д. Кенемана и А. Тверского [71, 72], построенная с учетом трех важнейших поведенческих эффектов, зафиксированных в экспериментах: эффект определенности, заключающийся в тенденции придавать больший вес детерминированным исходам; эффект - отражения - связан с тем, если люди не склонны к риску при выигрыше, то идут на него при проигрышах; третий эффект - изоляции, заключающийся в том, что люди стремятся упростить свой выбор за счет исключения общих компонентов вариантов решений.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Основным препятствием на пути применения теории проспектов является тот факт, что это теория индивидуального выбора, в то время как большинство вопросов, на которые хочет дать ответ исследователь, сопряжены с коллективными органами принятия решений.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Все методы принятия УР можно разделить на три основные группы: формализованные (математические), неформализованные (экспертные, эвристические) и смешанные (синтез первых и вторых).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первой группе относятся, например, количественные методы (линейное и динамическое программирование, теория игр, сетевые модели и т.п.), ко второй группе – качественные методы (экспертные, «мозговой штурм», метод комиссий и конференций, метод Дельфи, метод сценариев, метод «дерева решений» и т.п.).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Методы принятия решений делят по числу лиц, принимающих решение: а) индивидуальные и б) коллективные (групповые).</w:t>
      </w:r>
      <w:r w:rsidR="003E7002">
        <w:rPr>
          <w:rFonts w:ascii="Times New Roman" w:eastAsia="Times New Roman" w:hAnsi="Times New Roman" w:cs="Times New Roman"/>
          <w:sz w:val="28"/>
          <w:szCs w:val="28"/>
        </w:rPr>
        <w:t xml:space="preserve">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таблице 2 различные методы логически упорядочены в рамках процесса разработки управленческих решений (подготовки, принятия и реализации).</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 – Классификация методов принятия управленческих решений</w:t>
      </w:r>
    </w:p>
    <w:p w:rsidR="00EA72C7" w:rsidRDefault="00EA72C7" w:rsidP="00EA72C7">
      <w:pPr>
        <w:spacing w:after="0" w:line="240" w:lineRule="auto"/>
        <w:jc w:val="right"/>
        <w:rPr>
          <w:rFonts w:ascii="Times New Roman" w:eastAsia="Times New Roman" w:hAnsi="Times New Roman" w:cs="Times New Roman"/>
          <w:sz w:val="16"/>
          <w:szCs w:val="16"/>
        </w:rPr>
      </w:pPr>
    </w:p>
    <w:tbl>
      <w:tblPr>
        <w:tblW w:w="95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8"/>
        <w:gridCol w:w="2322"/>
        <w:gridCol w:w="2125"/>
        <w:gridCol w:w="1466"/>
      </w:tblGrid>
      <w:tr w:rsidR="00EA72C7" w:rsidTr="003E7002">
        <w:trPr>
          <w:jc w:val="center"/>
        </w:trPr>
        <w:tc>
          <w:tcPr>
            <w:tcW w:w="3608" w:type="dxa"/>
            <w:vMerge w:val="restart"/>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w:t>
            </w:r>
          </w:p>
        </w:tc>
        <w:tc>
          <w:tcPr>
            <w:tcW w:w="5913" w:type="dxa"/>
            <w:gridSpan w:val="3"/>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методов</w:t>
            </w:r>
          </w:p>
        </w:tc>
      </w:tr>
      <w:tr w:rsidR="00EA72C7" w:rsidTr="003E7002">
        <w:trPr>
          <w:tblHeader/>
          <w:jc w:val="center"/>
        </w:trPr>
        <w:tc>
          <w:tcPr>
            <w:tcW w:w="3608" w:type="dxa"/>
            <w:vMerge/>
            <w:vAlign w:val="center"/>
          </w:tcPr>
          <w:p w:rsidR="00EA72C7" w:rsidRDefault="00EA72C7" w:rsidP="003E700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322"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неформализованные </w:t>
            </w:r>
          </w:p>
        </w:tc>
        <w:tc>
          <w:tcPr>
            <w:tcW w:w="2125"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формализованные</w:t>
            </w:r>
          </w:p>
        </w:tc>
        <w:tc>
          <w:tcPr>
            <w:tcW w:w="1466"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смешанные</w:t>
            </w:r>
          </w:p>
        </w:tc>
      </w:tr>
      <w:tr w:rsidR="00EA72C7" w:rsidTr="003E7002">
        <w:trPr>
          <w:tblHeader/>
          <w:jc w:val="center"/>
        </w:trPr>
        <w:tc>
          <w:tcPr>
            <w:tcW w:w="3608"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22"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25"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66"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A72C7" w:rsidTr="001F060E">
        <w:trPr>
          <w:jc w:val="center"/>
        </w:trPr>
        <w:tc>
          <w:tcPr>
            <w:tcW w:w="3608" w:type="dxa"/>
            <w:tcBorders>
              <w:bottom w:val="single" w:sz="4" w:space="0" w:color="auto"/>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Морфологический метод</w:t>
            </w:r>
          </w:p>
        </w:tc>
        <w:tc>
          <w:tcPr>
            <w:tcW w:w="2322" w:type="dxa"/>
            <w:tcBorders>
              <w:bottom w:val="single" w:sz="4" w:space="0" w:color="auto"/>
            </w:tcBorders>
            <w:vAlign w:val="center"/>
          </w:tcPr>
          <w:p w:rsidR="00EA72C7" w:rsidRPr="00260A70" w:rsidRDefault="00EA72C7"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2125" w:type="dxa"/>
            <w:tcBorders>
              <w:bottom w:val="single" w:sz="4" w:space="0" w:color="auto"/>
            </w:tcBorders>
            <w:vAlign w:val="center"/>
          </w:tcPr>
          <w:p w:rsidR="00EA72C7" w:rsidRPr="00260A70" w:rsidRDefault="00EA72C7"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1466" w:type="dxa"/>
            <w:tcBorders>
              <w:bottom w:val="single" w:sz="4" w:space="0" w:color="auto"/>
            </w:tcBorders>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A72C7" w:rsidTr="001F060E">
        <w:trPr>
          <w:jc w:val="center"/>
        </w:trPr>
        <w:tc>
          <w:tcPr>
            <w:tcW w:w="3608" w:type="dxa"/>
            <w:tcBorders>
              <w:top w:val="single" w:sz="4" w:space="0" w:color="auto"/>
              <w:left w:val="single" w:sz="4" w:space="0" w:color="auto"/>
              <w:bottom w:val="single" w:sz="4" w:space="0" w:color="auto"/>
              <w:right w:val="single" w:sz="4" w:space="0" w:color="auto"/>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SWOT-анализ</w:t>
            </w:r>
          </w:p>
        </w:tc>
        <w:tc>
          <w:tcPr>
            <w:tcW w:w="2322" w:type="dxa"/>
            <w:tcBorders>
              <w:top w:val="single" w:sz="4" w:space="0" w:color="auto"/>
              <w:left w:val="single" w:sz="4" w:space="0" w:color="auto"/>
              <w:bottom w:val="single" w:sz="4" w:space="0" w:color="auto"/>
              <w:right w:val="single" w:sz="4" w:space="0" w:color="auto"/>
            </w:tcBorders>
            <w:vAlign w:val="center"/>
          </w:tcPr>
          <w:p w:rsidR="00EA72C7" w:rsidRPr="00260A70" w:rsidRDefault="00EA72C7"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2125" w:type="dxa"/>
            <w:tcBorders>
              <w:top w:val="single" w:sz="4" w:space="0" w:color="auto"/>
              <w:left w:val="single" w:sz="4" w:space="0" w:color="auto"/>
              <w:bottom w:val="single" w:sz="4" w:space="0" w:color="auto"/>
              <w:right w:val="single" w:sz="4" w:space="0" w:color="auto"/>
            </w:tcBorders>
            <w:vAlign w:val="center"/>
          </w:tcPr>
          <w:p w:rsidR="00EA72C7" w:rsidRPr="00260A70" w:rsidRDefault="00EA72C7"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1466" w:type="dxa"/>
            <w:tcBorders>
              <w:top w:val="single" w:sz="4" w:space="0" w:color="auto"/>
              <w:left w:val="single" w:sz="4" w:space="0" w:color="auto"/>
              <w:bottom w:val="single" w:sz="4" w:space="0" w:color="auto"/>
              <w:right w:val="single" w:sz="4" w:space="0" w:color="auto"/>
            </w:tcBorders>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A72C7" w:rsidTr="001F060E">
        <w:trPr>
          <w:jc w:val="center"/>
        </w:trPr>
        <w:tc>
          <w:tcPr>
            <w:tcW w:w="3608" w:type="dxa"/>
            <w:tcBorders>
              <w:top w:val="single" w:sz="4" w:space="0" w:color="auto"/>
              <w:left w:val="single" w:sz="4" w:space="0" w:color="auto"/>
              <w:bottom w:val="single" w:sz="4" w:space="0" w:color="auto"/>
              <w:right w:val="single" w:sz="4" w:space="0" w:color="auto"/>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Причинно-следственный анализ</w:t>
            </w:r>
          </w:p>
        </w:tc>
        <w:tc>
          <w:tcPr>
            <w:tcW w:w="2322" w:type="dxa"/>
            <w:tcBorders>
              <w:top w:val="single" w:sz="4" w:space="0" w:color="auto"/>
              <w:left w:val="single" w:sz="4" w:space="0" w:color="auto"/>
              <w:bottom w:val="single" w:sz="4" w:space="0" w:color="auto"/>
              <w:right w:val="single" w:sz="4" w:space="0" w:color="auto"/>
            </w:tcBorders>
            <w:vAlign w:val="center"/>
          </w:tcPr>
          <w:p w:rsidR="00EA72C7" w:rsidRPr="00260A70" w:rsidRDefault="00EA72C7"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2125" w:type="dxa"/>
            <w:tcBorders>
              <w:top w:val="single" w:sz="4" w:space="0" w:color="auto"/>
              <w:left w:val="single" w:sz="4" w:space="0" w:color="auto"/>
              <w:bottom w:val="single" w:sz="4" w:space="0" w:color="auto"/>
              <w:right w:val="single" w:sz="4" w:space="0" w:color="auto"/>
            </w:tcBorders>
            <w:vAlign w:val="center"/>
          </w:tcPr>
          <w:p w:rsidR="00EA72C7" w:rsidRPr="00260A70" w:rsidRDefault="00EA72C7"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1466" w:type="dxa"/>
            <w:tcBorders>
              <w:top w:val="single" w:sz="4" w:space="0" w:color="auto"/>
              <w:left w:val="single" w:sz="4" w:space="0" w:color="auto"/>
              <w:bottom w:val="single" w:sz="4" w:space="0" w:color="auto"/>
              <w:right w:val="single" w:sz="4" w:space="0" w:color="auto"/>
            </w:tcBorders>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A72C7" w:rsidTr="001F060E">
        <w:trPr>
          <w:jc w:val="center"/>
        </w:trPr>
        <w:tc>
          <w:tcPr>
            <w:tcW w:w="3608" w:type="dxa"/>
            <w:tcBorders>
              <w:top w:val="single" w:sz="4" w:space="0" w:color="auto"/>
              <w:left w:val="single" w:sz="4" w:space="0" w:color="auto"/>
              <w:bottom w:val="nil"/>
              <w:right w:val="single" w:sz="4" w:space="0" w:color="auto"/>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 декомпозиции</w:t>
            </w:r>
          </w:p>
          <w:p w:rsidR="00037F18" w:rsidRDefault="00037F18" w:rsidP="003E7002">
            <w:pPr>
              <w:rPr>
                <w:rFonts w:ascii="Times New Roman" w:eastAsia="Times New Roman" w:hAnsi="Times New Roman" w:cs="Times New Roman"/>
                <w:sz w:val="24"/>
                <w:szCs w:val="24"/>
              </w:rPr>
            </w:pPr>
          </w:p>
          <w:p w:rsidR="00037F18" w:rsidRDefault="00037F18" w:rsidP="003E7002">
            <w:pPr>
              <w:rPr>
                <w:rFonts w:ascii="Times New Roman" w:eastAsia="Times New Roman" w:hAnsi="Times New Roman" w:cs="Times New Roman"/>
                <w:sz w:val="24"/>
                <w:szCs w:val="24"/>
              </w:rPr>
            </w:pPr>
          </w:p>
        </w:tc>
        <w:tc>
          <w:tcPr>
            <w:tcW w:w="2322" w:type="dxa"/>
            <w:tcBorders>
              <w:top w:val="single" w:sz="4" w:space="0" w:color="auto"/>
              <w:left w:val="single" w:sz="4" w:space="0" w:color="auto"/>
              <w:bottom w:val="nil"/>
              <w:right w:val="single" w:sz="4" w:space="0" w:color="auto"/>
            </w:tcBorders>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125" w:type="dxa"/>
            <w:tcBorders>
              <w:top w:val="single" w:sz="4" w:space="0" w:color="auto"/>
              <w:left w:val="single" w:sz="4" w:space="0" w:color="auto"/>
              <w:bottom w:val="nil"/>
              <w:right w:val="single" w:sz="4" w:space="0" w:color="auto"/>
            </w:tcBorders>
            <w:vAlign w:val="center"/>
          </w:tcPr>
          <w:p w:rsidR="00EA72C7" w:rsidRPr="00260A70" w:rsidRDefault="00EA72C7"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1466" w:type="dxa"/>
            <w:tcBorders>
              <w:top w:val="single" w:sz="4" w:space="0" w:color="auto"/>
              <w:left w:val="single" w:sz="4" w:space="0" w:color="auto"/>
              <w:bottom w:val="nil"/>
              <w:right w:val="single" w:sz="4" w:space="0" w:color="auto"/>
            </w:tcBorders>
            <w:vAlign w:val="center"/>
          </w:tcPr>
          <w:p w:rsidR="00EA72C7" w:rsidRDefault="00EA72C7" w:rsidP="003E7002">
            <w:pPr>
              <w:jc w:val="center"/>
              <w:rPr>
                <w:rFonts w:ascii="Times New Roman" w:eastAsia="Times New Roman" w:hAnsi="Times New Roman" w:cs="Times New Roman"/>
                <w:sz w:val="24"/>
                <w:szCs w:val="24"/>
              </w:rPr>
            </w:pPr>
          </w:p>
        </w:tc>
      </w:tr>
      <w:tr w:rsidR="00EA72C7" w:rsidTr="001F060E">
        <w:trPr>
          <w:jc w:val="center"/>
        </w:trPr>
        <w:tc>
          <w:tcPr>
            <w:tcW w:w="9521" w:type="dxa"/>
            <w:gridSpan w:val="4"/>
            <w:tcBorders>
              <w:top w:val="nil"/>
              <w:left w:val="nil"/>
              <w:bottom w:val="single" w:sz="4" w:space="0" w:color="auto"/>
              <w:right w:val="nil"/>
            </w:tcBorders>
          </w:tcPr>
          <w:p w:rsidR="00EA72C7" w:rsidRDefault="00EA72C7" w:rsidP="003E7002">
            <w:pPr>
              <w:ind w:hanging="1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Продолжение таблицы 2</w:t>
            </w:r>
          </w:p>
          <w:p w:rsidR="00EA72C7" w:rsidRDefault="00EA72C7" w:rsidP="003E7002">
            <w:pPr>
              <w:ind w:hanging="108"/>
              <w:jc w:val="both"/>
              <w:rPr>
                <w:rFonts w:ascii="Times New Roman" w:eastAsia="Times New Roman" w:hAnsi="Times New Roman" w:cs="Times New Roman"/>
                <w:sz w:val="16"/>
                <w:szCs w:val="16"/>
              </w:rPr>
            </w:pPr>
          </w:p>
        </w:tc>
      </w:tr>
      <w:tr w:rsidR="00EA72C7" w:rsidTr="001F060E">
        <w:trPr>
          <w:jc w:val="center"/>
        </w:trPr>
        <w:tc>
          <w:tcPr>
            <w:tcW w:w="3608" w:type="dxa"/>
            <w:tcBorders>
              <w:top w:val="single" w:sz="4" w:space="0" w:color="auto"/>
            </w:tcBorders>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22" w:type="dxa"/>
            <w:tcBorders>
              <w:top w:val="single" w:sz="4" w:space="0" w:color="auto"/>
            </w:tcBorders>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25" w:type="dxa"/>
            <w:tcBorders>
              <w:top w:val="single" w:sz="4" w:space="0" w:color="auto"/>
            </w:tcBorders>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66" w:type="dxa"/>
            <w:tcBorders>
              <w:top w:val="single" w:sz="4" w:space="0" w:color="auto"/>
            </w:tcBorders>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3E7002" w:rsidTr="003E7002">
        <w:trPr>
          <w:jc w:val="center"/>
        </w:trPr>
        <w:tc>
          <w:tcPr>
            <w:tcW w:w="3608" w:type="dxa"/>
          </w:tcPr>
          <w:p w:rsidR="003E7002" w:rsidRDefault="003E7002"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 «дерева» целей, проблем и решений</w:t>
            </w:r>
          </w:p>
        </w:tc>
        <w:tc>
          <w:tcPr>
            <w:tcW w:w="2322" w:type="dxa"/>
            <w:vAlign w:val="center"/>
          </w:tcPr>
          <w:p w:rsidR="003E7002" w:rsidRPr="00260A70" w:rsidRDefault="003E7002"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2125" w:type="dxa"/>
            <w:vAlign w:val="center"/>
          </w:tcPr>
          <w:p w:rsidR="003E7002" w:rsidRPr="00260A70" w:rsidRDefault="003E7002"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1466" w:type="dxa"/>
            <w:vAlign w:val="center"/>
          </w:tcPr>
          <w:p w:rsidR="003E7002" w:rsidRDefault="003E7002"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E7002" w:rsidTr="003E7002">
        <w:trPr>
          <w:jc w:val="center"/>
        </w:trPr>
        <w:tc>
          <w:tcPr>
            <w:tcW w:w="3608" w:type="dxa"/>
          </w:tcPr>
          <w:p w:rsidR="003E7002" w:rsidRDefault="003E7002"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 формирования критериев эффективности</w:t>
            </w:r>
          </w:p>
        </w:tc>
        <w:tc>
          <w:tcPr>
            <w:tcW w:w="2322" w:type="dxa"/>
            <w:vAlign w:val="center"/>
          </w:tcPr>
          <w:p w:rsidR="003E7002" w:rsidRPr="00260A70" w:rsidRDefault="003E7002"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2125" w:type="dxa"/>
            <w:vAlign w:val="center"/>
          </w:tcPr>
          <w:p w:rsidR="003E7002" w:rsidRPr="00260A70" w:rsidRDefault="003E7002"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1466" w:type="dxa"/>
            <w:vAlign w:val="center"/>
          </w:tcPr>
          <w:p w:rsidR="003E7002" w:rsidRDefault="003E7002"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E7002" w:rsidTr="003E7002">
        <w:trPr>
          <w:jc w:val="center"/>
        </w:trPr>
        <w:tc>
          <w:tcPr>
            <w:tcW w:w="3608" w:type="dxa"/>
          </w:tcPr>
          <w:p w:rsidR="003E7002" w:rsidRDefault="003E7002"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 мозгового штурма</w:t>
            </w:r>
          </w:p>
        </w:tc>
        <w:tc>
          <w:tcPr>
            <w:tcW w:w="2322" w:type="dxa"/>
            <w:vAlign w:val="center"/>
          </w:tcPr>
          <w:p w:rsidR="003E7002" w:rsidRDefault="003E7002"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125" w:type="dxa"/>
            <w:vAlign w:val="center"/>
          </w:tcPr>
          <w:p w:rsidR="003E7002" w:rsidRPr="00260A70" w:rsidRDefault="003E7002"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1466" w:type="dxa"/>
            <w:vAlign w:val="center"/>
          </w:tcPr>
          <w:p w:rsidR="003E7002" w:rsidRPr="00260A70" w:rsidRDefault="003E7002"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r>
      <w:tr w:rsidR="003E7002" w:rsidTr="003E7002">
        <w:trPr>
          <w:jc w:val="center"/>
        </w:trPr>
        <w:tc>
          <w:tcPr>
            <w:tcW w:w="3608" w:type="dxa"/>
          </w:tcPr>
          <w:p w:rsidR="003E7002" w:rsidRDefault="003E7002"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 «635»</w:t>
            </w:r>
          </w:p>
        </w:tc>
        <w:tc>
          <w:tcPr>
            <w:tcW w:w="2322" w:type="dxa"/>
            <w:vAlign w:val="center"/>
          </w:tcPr>
          <w:p w:rsidR="003E7002" w:rsidRDefault="003E7002"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125" w:type="dxa"/>
            <w:vAlign w:val="center"/>
          </w:tcPr>
          <w:p w:rsidR="003E7002" w:rsidRPr="00260A70" w:rsidRDefault="003E7002"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1466" w:type="dxa"/>
            <w:vAlign w:val="center"/>
          </w:tcPr>
          <w:p w:rsidR="003E7002" w:rsidRPr="00260A70" w:rsidRDefault="003E7002"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r>
      <w:tr w:rsidR="003E7002" w:rsidTr="003E7002">
        <w:trPr>
          <w:jc w:val="center"/>
        </w:trPr>
        <w:tc>
          <w:tcPr>
            <w:tcW w:w="3608" w:type="dxa"/>
          </w:tcPr>
          <w:p w:rsidR="003E7002" w:rsidRDefault="003E7002"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 синектики (Гордона)</w:t>
            </w:r>
          </w:p>
        </w:tc>
        <w:tc>
          <w:tcPr>
            <w:tcW w:w="2322" w:type="dxa"/>
            <w:vAlign w:val="center"/>
          </w:tcPr>
          <w:p w:rsidR="003E7002" w:rsidRDefault="003E7002"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125" w:type="dxa"/>
            <w:vAlign w:val="center"/>
          </w:tcPr>
          <w:p w:rsidR="003E7002" w:rsidRPr="00260A70" w:rsidRDefault="003E7002"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1466" w:type="dxa"/>
            <w:vAlign w:val="center"/>
          </w:tcPr>
          <w:p w:rsidR="003E7002" w:rsidRPr="00260A70" w:rsidRDefault="003E7002"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r>
      <w:tr w:rsidR="003E7002" w:rsidTr="003E7002">
        <w:trPr>
          <w:jc w:val="center"/>
        </w:trPr>
        <w:tc>
          <w:tcPr>
            <w:tcW w:w="3608" w:type="dxa"/>
          </w:tcPr>
          <w:p w:rsidR="003E7002" w:rsidRDefault="003E7002"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Ассоциативный метод</w:t>
            </w:r>
          </w:p>
        </w:tc>
        <w:tc>
          <w:tcPr>
            <w:tcW w:w="2322" w:type="dxa"/>
            <w:vAlign w:val="center"/>
          </w:tcPr>
          <w:p w:rsidR="003E7002" w:rsidRDefault="003E7002"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125" w:type="dxa"/>
            <w:vAlign w:val="center"/>
          </w:tcPr>
          <w:p w:rsidR="003E7002" w:rsidRPr="00260A70" w:rsidRDefault="003E7002"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1466" w:type="dxa"/>
            <w:vAlign w:val="center"/>
          </w:tcPr>
          <w:p w:rsidR="003E7002" w:rsidRPr="00260A70" w:rsidRDefault="003E7002"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r>
      <w:tr w:rsidR="003E7002" w:rsidTr="003E7002">
        <w:trPr>
          <w:jc w:val="center"/>
        </w:trPr>
        <w:tc>
          <w:tcPr>
            <w:tcW w:w="3608" w:type="dxa"/>
          </w:tcPr>
          <w:p w:rsidR="003E7002" w:rsidRDefault="003E7002"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 инверсии</w:t>
            </w:r>
          </w:p>
        </w:tc>
        <w:tc>
          <w:tcPr>
            <w:tcW w:w="2322" w:type="dxa"/>
            <w:vAlign w:val="center"/>
          </w:tcPr>
          <w:p w:rsidR="003E7002" w:rsidRDefault="003E7002"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125" w:type="dxa"/>
            <w:vAlign w:val="center"/>
          </w:tcPr>
          <w:p w:rsidR="003E7002" w:rsidRPr="00260A70" w:rsidRDefault="003E7002"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1466" w:type="dxa"/>
            <w:vAlign w:val="center"/>
          </w:tcPr>
          <w:p w:rsidR="003E7002" w:rsidRPr="00260A70" w:rsidRDefault="003E7002"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r>
      <w:tr w:rsidR="00EA72C7" w:rsidTr="003E7002">
        <w:trPr>
          <w:jc w:val="center"/>
        </w:trPr>
        <w:tc>
          <w:tcPr>
            <w:tcW w:w="3608"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 Дельфи</w:t>
            </w:r>
          </w:p>
        </w:tc>
        <w:tc>
          <w:tcPr>
            <w:tcW w:w="2322"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125" w:type="dxa"/>
            <w:vAlign w:val="center"/>
          </w:tcPr>
          <w:p w:rsidR="00EA72C7" w:rsidRDefault="00EA72C7" w:rsidP="003E7002">
            <w:pPr>
              <w:jc w:val="center"/>
              <w:rPr>
                <w:rFonts w:ascii="Times New Roman" w:eastAsia="Times New Roman" w:hAnsi="Times New Roman" w:cs="Times New Roman"/>
                <w:sz w:val="24"/>
                <w:szCs w:val="24"/>
              </w:rPr>
            </w:pPr>
          </w:p>
        </w:tc>
        <w:tc>
          <w:tcPr>
            <w:tcW w:w="1466" w:type="dxa"/>
            <w:vAlign w:val="center"/>
          </w:tcPr>
          <w:p w:rsidR="00EA72C7" w:rsidRPr="00260A70" w:rsidRDefault="00EA72C7"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r>
      <w:tr w:rsidR="00EA72C7" w:rsidTr="003E7002">
        <w:trPr>
          <w:jc w:val="center"/>
        </w:trPr>
        <w:tc>
          <w:tcPr>
            <w:tcW w:w="3608"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 коллективного блокнота</w:t>
            </w:r>
          </w:p>
        </w:tc>
        <w:tc>
          <w:tcPr>
            <w:tcW w:w="2322"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125" w:type="dxa"/>
            <w:vAlign w:val="center"/>
          </w:tcPr>
          <w:p w:rsidR="00EA72C7" w:rsidRPr="00260A70" w:rsidRDefault="00EA72C7"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1466" w:type="dxa"/>
            <w:vAlign w:val="center"/>
          </w:tcPr>
          <w:p w:rsidR="00EA72C7" w:rsidRPr="00260A70" w:rsidRDefault="00EA72C7"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r>
      <w:tr w:rsidR="00EA72C7" w:rsidTr="003E7002">
        <w:trPr>
          <w:jc w:val="center"/>
        </w:trPr>
        <w:tc>
          <w:tcPr>
            <w:tcW w:w="3608"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 моделирования</w:t>
            </w:r>
          </w:p>
        </w:tc>
        <w:tc>
          <w:tcPr>
            <w:tcW w:w="2322" w:type="dxa"/>
            <w:vAlign w:val="center"/>
          </w:tcPr>
          <w:p w:rsidR="00EA72C7" w:rsidRPr="00260A70" w:rsidRDefault="00EA72C7"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2125"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66" w:type="dxa"/>
            <w:vAlign w:val="center"/>
          </w:tcPr>
          <w:p w:rsidR="00EA72C7" w:rsidRPr="00260A70" w:rsidRDefault="00EA72C7"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r>
      <w:tr w:rsidR="00EA72C7" w:rsidTr="003E7002">
        <w:trPr>
          <w:jc w:val="center"/>
        </w:trPr>
        <w:tc>
          <w:tcPr>
            <w:tcW w:w="3608"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 прогнозирования</w:t>
            </w:r>
          </w:p>
        </w:tc>
        <w:tc>
          <w:tcPr>
            <w:tcW w:w="2322" w:type="dxa"/>
            <w:vAlign w:val="center"/>
          </w:tcPr>
          <w:p w:rsidR="00EA72C7" w:rsidRPr="00260A70" w:rsidRDefault="00EA72C7"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2125" w:type="dxa"/>
            <w:vAlign w:val="center"/>
          </w:tcPr>
          <w:p w:rsidR="00EA72C7" w:rsidRPr="00260A70" w:rsidRDefault="00EA72C7"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1466"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A72C7" w:rsidTr="003E7002">
        <w:trPr>
          <w:jc w:val="center"/>
        </w:trPr>
        <w:tc>
          <w:tcPr>
            <w:tcW w:w="3608"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Функционально-стоимостный анализ</w:t>
            </w:r>
          </w:p>
        </w:tc>
        <w:tc>
          <w:tcPr>
            <w:tcW w:w="2322" w:type="dxa"/>
            <w:vAlign w:val="center"/>
          </w:tcPr>
          <w:p w:rsidR="00EA72C7" w:rsidRPr="00260A70" w:rsidRDefault="00EA72C7"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2125"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66" w:type="dxa"/>
            <w:vAlign w:val="center"/>
          </w:tcPr>
          <w:p w:rsidR="00EA72C7" w:rsidRPr="00260A70" w:rsidRDefault="00EA72C7"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r>
      <w:tr w:rsidR="00EA72C7" w:rsidTr="003E7002">
        <w:trPr>
          <w:jc w:val="center"/>
        </w:trPr>
        <w:tc>
          <w:tcPr>
            <w:tcW w:w="3608"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 согласования интересов</w:t>
            </w:r>
          </w:p>
        </w:tc>
        <w:tc>
          <w:tcPr>
            <w:tcW w:w="2322" w:type="dxa"/>
            <w:vAlign w:val="center"/>
          </w:tcPr>
          <w:p w:rsidR="00EA72C7" w:rsidRPr="00260A70" w:rsidRDefault="00EA72C7"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2125" w:type="dxa"/>
            <w:vAlign w:val="center"/>
          </w:tcPr>
          <w:p w:rsidR="00EA72C7" w:rsidRPr="00260A70" w:rsidRDefault="00EA72C7" w:rsidP="003E700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1466"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A72C7" w:rsidTr="003E7002">
        <w:trPr>
          <w:trHeight w:val="220"/>
          <w:jc w:val="center"/>
        </w:trPr>
        <w:tc>
          <w:tcPr>
            <w:tcW w:w="9521" w:type="dxa"/>
            <w:gridSpan w:val="4"/>
          </w:tcPr>
          <w:p w:rsidR="00EA72C7" w:rsidRDefault="00EA72C7" w:rsidP="003E7002">
            <w:pPr>
              <w:ind w:firstLine="601"/>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 уровень применения на практике</w:t>
            </w:r>
          </w:p>
          <w:p w:rsidR="00EA72C7" w:rsidRDefault="00EA72C7" w:rsidP="003E7002">
            <w:pPr>
              <w:ind w:firstLine="6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w:t>
            </w:r>
            <w:r w:rsidR="00347F44">
              <w:rPr>
                <w:rFonts w:ascii="Times New Roman" w:eastAsia="Times New Roman" w:hAnsi="Times New Roman" w:cs="Times New Roman"/>
                <w:sz w:val="24"/>
                <w:szCs w:val="24"/>
              </w:rPr>
              <w:t>ние – Составлено по источнику [</w:t>
            </w:r>
            <w:r w:rsidR="00347F44" w:rsidRPr="00347F44">
              <w:rPr>
                <w:rFonts w:ascii="Times New Roman" w:eastAsia="Times New Roman" w:hAnsi="Times New Roman" w:cs="Times New Roman"/>
                <w:sz w:val="24"/>
                <w:szCs w:val="24"/>
              </w:rPr>
              <w:t>64</w:t>
            </w:r>
            <w:r>
              <w:rPr>
                <w:rFonts w:ascii="Times New Roman" w:eastAsia="Times New Roman" w:hAnsi="Times New Roman" w:cs="Times New Roman"/>
                <w:sz w:val="24"/>
                <w:szCs w:val="24"/>
              </w:rPr>
              <w:t>, с. 19]</w:t>
            </w:r>
          </w:p>
        </w:tc>
      </w:tr>
    </w:tbl>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Так, метод «дерева решений» – </w:t>
      </w:r>
      <w:r>
        <w:rPr>
          <w:rFonts w:ascii="Times New Roman" w:eastAsia="Times New Roman" w:hAnsi="Times New Roman" w:cs="Times New Roman"/>
          <w:sz w:val="28"/>
          <w:szCs w:val="28"/>
        </w:rPr>
        <w:t>это вариант</w:t>
      </w:r>
      <w:r>
        <w:rPr>
          <w:rFonts w:ascii="Times New Roman" w:eastAsia="Times New Roman" w:hAnsi="Times New Roman" w:cs="Times New Roman"/>
          <w:sz w:val="28"/>
          <w:szCs w:val="28"/>
          <w:highlight w:val="white"/>
        </w:rPr>
        <w:t xml:space="preserve"> использования ситуационного анализа для возможных действий. Деревья решений представляются в виде иерархических структур, включающих в себя узлы принятия решений. В процессе работы с «деревом решений» каждому узлу необходимо поставить в соответствие количественную характеристику. Начальные данные должны быть подготовлены, используя аналитический, статистический, экспертный методы, а с другой стороны, может быть предусмотрено накопление множества стратегий (вероятных исходов), в рамках конкретной задачи принятия решения </w:t>
      </w:r>
      <w:r w:rsidR="005F2A00">
        <w:rPr>
          <w:rFonts w:ascii="Times New Roman" w:eastAsia="Times New Roman" w:hAnsi="Times New Roman" w:cs="Times New Roman"/>
          <w:sz w:val="28"/>
          <w:szCs w:val="28"/>
          <w:highlight w:val="white"/>
        </w:rPr>
        <w:t xml:space="preserve">[66] </w:t>
      </w:r>
      <w:r>
        <w:rPr>
          <w:rFonts w:ascii="Times New Roman" w:eastAsia="Times New Roman" w:hAnsi="Times New Roman" w:cs="Times New Roman"/>
          <w:sz w:val="28"/>
          <w:szCs w:val="28"/>
          <w:highlight w:val="white"/>
        </w:rPr>
        <w:t>.</w:t>
      </w:r>
    </w:p>
    <w:p w:rsidR="00EA72C7" w:rsidRDefault="00EA72C7" w:rsidP="00EA72C7">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Метод сценариев дает возможность определить вероятные тенденции развития событий и возможные последствия принимаемых решений с целью выбора наиболее подходящей альтернативы управления.</w:t>
      </w:r>
    </w:p>
    <w:p w:rsidR="00EA72C7" w:rsidRDefault="00EA72C7" w:rsidP="00EA72C7">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Метод синектики (метод У. Дж. Гордона) – комплексный метод стимулирования творческой деятельности, когда решение проблемы ищет группа специалистов, используя сравнения, аналогии, ассоциации.</w:t>
      </w:r>
    </w:p>
    <w:p w:rsidR="00EA72C7" w:rsidRDefault="00EA72C7" w:rsidP="00EA72C7">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Метод «635» – особая форма «мозгового штурма», основанная на развитии и переплетении идей с целью повышения их качества. Число «635» символически отражает 6 участников совещания, которые в течение 5 минут должны разработать минимум 3 предложения по решению проблемы. Предложения записывают на бумаге и передают соседнему участнику по часовой стрелке.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числу наиболее распространенных методов стратегического анализа, применяемых в практике принятия и реализации УР, относятся: функционально-стоимостной анализ; факторный анализ; PEST-анализ, SWOT-анализ; GAP-анализ; CVP-анализ; причинно-следственная диаграмма (диаграмма Исикавы) </w:t>
      </w:r>
      <w:r w:rsidR="005F2A00">
        <w:rPr>
          <w:rFonts w:ascii="Times New Roman" w:eastAsia="Times New Roman" w:hAnsi="Times New Roman" w:cs="Times New Roman"/>
          <w:sz w:val="28"/>
          <w:szCs w:val="28"/>
        </w:rPr>
        <w:t xml:space="preserve">[67] </w:t>
      </w:r>
      <w:r>
        <w:rPr>
          <w:rFonts w:ascii="Times New Roman" w:eastAsia="Times New Roman" w:hAnsi="Times New Roman" w:cs="Times New Roman"/>
          <w:sz w:val="28"/>
          <w:szCs w:val="28"/>
        </w:rPr>
        <w:t xml:space="preserve">.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Большинство управленческих проблем весьма далеки от стереотипа. Для их разрешения могут применяться различные методы и подходы в разной комбинации, используемые на разных этапах и процедурах процесса принятия УР.</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 xml:space="preserve">Сегодня активно развивается многокритериальный анализ принятия решений (Multiple Criteria Decision Analysis – MCDA) – инструмент системного подхода к сложным проблемам принятия решений, применяемый в различных областях научного и практического знания. MCDA не предписывает ЛПР какого-либо «правильного» решения, он лишь позволяет ему найти такой вариант, который наилучшим образом согласуется с его пониманием сути проблемы и требованиями к ее решению </w:t>
      </w:r>
      <w:r w:rsidR="005F2A00">
        <w:rPr>
          <w:rFonts w:ascii="Times New Roman" w:eastAsia="Times New Roman" w:hAnsi="Times New Roman" w:cs="Times New Roman"/>
          <w:sz w:val="28"/>
          <w:szCs w:val="28"/>
        </w:rPr>
        <w:t xml:space="preserve">[68] </w:t>
      </w:r>
      <w:r>
        <w:rPr>
          <w:rFonts w:ascii="Times New Roman" w:eastAsia="Times New Roman" w:hAnsi="Times New Roman" w:cs="Times New Roman"/>
          <w:sz w:val="28"/>
          <w:szCs w:val="28"/>
        </w:rPr>
        <w:t xml:space="preserve">.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 из причин, по которой MCDA имеет высокую значимость в госуправлении – это наличие множества факторов, которые крайне сложно привести к общему знаменателю (изменения климата, удаленность территории, наличие квалифицированных кадров и прочие).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Факторы, обуславливающие качество УР, весьма разнообразны и могут иметь организационный, экономический, политический, методологический, биологический, социальный характер.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Среди основных факторов, влияющих на процесс принятия решений, называют следующие </w:t>
      </w:r>
      <w:r w:rsidR="005F2A00">
        <w:rPr>
          <w:rFonts w:ascii="Times New Roman" w:eastAsia="Times New Roman" w:hAnsi="Times New Roman" w:cs="Times New Roman"/>
          <w:sz w:val="28"/>
          <w:szCs w:val="28"/>
        </w:rPr>
        <w:t xml:space="preserve">[69] </w:t>
      </w:r>
      <w:r>
        <w:rPr>
          <w:rFonts w:ascii="Times New Roman" w:eastAsia="Times New Roman" w:hAnsi="Times New Roman" w:cs="Times New Roman"/>
          <w:sz w:val="28"/>
          <w:szCs w:val="28"/>
        </w:rPr>
        <w:t xml:space="preserve">: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информация: источник (средства массовой информации, друзья, лоббирующие группы, профессиональные организации); ясность содержания; как представлена информация (форма подачи); ощущение достоверности; ощущение актуальности; сила воздействия (живость подачи);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личные ценности, предпочтения и убеждения: социальная роль лица, принимающего решение (потребитель услуг или представитель власти); социально-экономический фон; предшествующее образование или опыт: политические пристрастия: желание воспринимать нововведения; желание принимать неопределенность; желание принимать участие в принятии решений; этические аспекты решения; предшествующие гипотезы;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ситуация, в которой принимается решение: социальная роль лица, принимающего решение; культурные особенности; лоббирование заинтересованных организаций; фактор времени; административные, финансовые или политические ограничения.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Подходы MCDA классифицируют на три типа моделей: модели измерения значений, модели выигрышей и модели контрольного уровня </w:t>
      </w:r>
      <w:r w:rsidR="005F2A00">
        <w:rPr>
          <w:rFonts w:ascii="Times New Roman" w:eastAsia="Times New Roman" w:hAnsi="Times New Roman" w:cs="Times New Roman"/>
          <w:sz w:val="28"/>
          <w:szCs w:val="28"/>
        </w:rPr>
        <w:t xml:space="preserve">[70] </w:t>
      </w:r>
      <w:r>
        <w:rPr>
          <w:rFonts w:ascii="Times New Roman" w:eastAsia="Times New Roman" w:hAnsi="Times New Roman" w:cs="Times New Roman"/>
          <w:sz w:val="28"/>
          <w:szCs w:val="28"/>
        </w:rPr>
        <w:t>. Несмотря на различия в методах применения этих моделей, существует несколько основных элементов процесса, которые являются общими. Шаги измерения процесса MCDA представлены в таблице 3.</w:t>
      </w: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3 – Шаги измерения процесса MCDA</w:t>
      </w:r>
    </w:p>
    <w:p w:rsidR="00EA72C7" w:rsidRDefault="00EA72C7" w:rsidP="00EA72C7">
      <w:pPr>
        <w:spacing w:after="0" w:line="240" w:lineRule="auto"/>
        <w:ind w:firstLine="709"/>
        <w:jc w:val="both"/>
        <w:rPr>
          <w:rFonts w:ascii="Times New Roman" w:eastAsia="Times New Roman" w:hAnsi="Times New Roman" w:cs="Times New Roman"/>
          <w:sz w:val="16"/>
          <w:szCs w:val="16"/>
        </w:rPr>
      </w:pPr>
    </w:p>
    <w:tbl>
      <w:tblPr>
        <w:tblW w:w="95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81"/>
        <w:gridCol w:w="6140"/>
      </w:tblGrid>
      <w:tr w:rsidR="00EA72C7" w:rsidTr="003E7002">
        <w:trPr>
          <w:trHeight w:val="491"/>
          <w:jc w:val="center"/>
        </w:trPr>
        <w:tc>
          <w:tcPr>
            <w:tcW w:w="3381"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Шаг</w:t>
            </w:r>
          </w:p>
        </w:tc>
        <w:tc>
          <w:tcPr>
            <w:tcW w:w="6140"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tc>
      </w:tr>
      <w:tr w:rsidR="00EA72C7" w:rsidTr="003E7002">
        <w:trPr>
          <w:jc w:val="center"/>
        </w:trPr>
        <w:tc>
          <w:tcPr>
            <w:tcW w:w="3381"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140"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A72C7" w:rsidTr="003E7002">
        <w:trPr>
          <w:jc w:val="center"/>
        </w:trPr>
        <w:tc>
          <w:tcPr>
            <w:tcW w:w="3381"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проблемы</w:t>
            </w:r>
          </w:p>
        </w:tc>
        <w:tc>
          <w:tcPr>
            <w:tcW w:w="6140"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Определите цели, тип решения альтернативы, заинтересованные стороны и требуемый результат.</w:t>
            </w:r>
          </w:p>
        </w:tc>
      </w:tr>
      <w:tr w:rsidR="00EA72C7" w:rsidTr="003E7002">
        <w:trPr>
          <w:jc w:val="center"/>
        </w:trPr>
        <w:tc>
          <w:tcPr>
            <w:tcW w:w="3381"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и структурирование критериев</w:t>
            </w:r>
          </w:p>
        </w:tc>
        <w:tc>
          <w:tcPr>
            <w:tcW w:w="6140"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Определите критерии, имеющие значение для оценки альтернатив.</w:t>
            </w:r>
          </w:p>
        </w:tc>
      </w:tr>
      <w:tr w:rsidR="00EA72C7" w:rsidTr="003E7002">
        <w:trPr>
          <w:jc w:val="center"/>
        </w:trPr>
        <w:tc>
          <w:tcPr>
            <w:tcW w:w="3381"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Измерение производительности</w:t>
            </w:r>
          </w:p>
        </w:tc>
        <w:tc>
          <w:tcPr>
            <w:tcW w:w="6140"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Соберите данные об эффективности альтернатив по критериям и суммируйте их в матрице производительности.</w:t>
            </w:r>
          </w:p>
        </w:tc>
      </w:tr>
      <w:tr w:rsidR="00EA72C7" w:rsidTr="003E7002">
        <w:trPr>
          <w:jc w:val="center"/>
        </w:trPr>
        <w:tc>
          <w:tcPr>
            <w:tcW w:w="3381" w:type="dxa"/>
            <w:tcBorders>
              <w:bottom w:val="nil"/>
            </w:tcBorders>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альтернатив</w:t>
            </w:r>
          </w:p>
        </w:tc>
        <w:tc>
          <w:tcPr>
            <w:tcW w:w="6140" w:type="dxa"/>
            <w:tcBorders>
              <w:bottom w:val="nil"/>
            </w:tcBorders>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Выявите предпочтения заинтересованных сторон для изменений в рамках критериев.</w:t>
            </w:r>
          </w:p>
        </w:tc>
      </w:tr>
      <w:tr w:rsidR="00EA72C7" w:rsidTr="003E7002">
        <w:trPr>
          <w:jc w:val="center"/>
        </w:trPr>
        <w:tc>
          <w:tcPr>
            <w:tcW w:w="3381"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взвешивания</w:t>
            </w:r>
          </w:p>
        </w:tc>
        <w:tc>
          <w:tcPr>
            <w:tcW w:w="6140"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предпочтения заинтересованных сторон между критериями.</w:t>
            </w:r>
          </w:p>
        </w:tc>
      </w:tr>
      <w:tr w:rsidR="00EA72C7" w:rsidTr="003E7002">
        <w:trPr>
          <w:jc w:val="center"/>
        </w:trPr>
        <w:tc>
          <w:tcPr>
            <w:tcW w:w="3381"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Вычисление совокупных баллов</w:t>
            </w:r>
          </w:p>
        </w:tc>
        <w:tc>
          <w:tcPr>
            <w:tcW w:w="6140"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Используйте оценки альтернатив по критериям, чтобы получить «общую стоимость», с помощью которой альтернативы ранжируются.</w:t>
            </w:r>
          </w:p>
        </w:tc>
      </w:tr>
      <w:tr w:rsidR="00EA72C7" w:rsidTr="003E7002">
        <w:trPr>
          <w:jc w:val="center"/>
        </w:trPr>
        <w:tc>
          <w:tcPr>
            <w:tcW w:w="3381"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неопределенностью</w:t>
            </w:r>
          </w:p>
        </w:tc>
        <w:tc>
          <w:tcPr>
            <w:tcW w:w="6140"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Выполните анализ неопределенности, чтобы понять уровень надежности результатов MCDA.</w:t>
            </w:r>
          </w:p>
        </w:tc>
      </w:tr>
      <w:tr w:rsidR="00EA72C7" w:rsidTr="003E7002">
        <w:trPr>
          <w:jc w:val="center"/>
        </w:trPr>
        <w:tc>
          <w:tcPr>
            <w:tcW w:w="3381"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Отчетность и анализ результатов</w:t>
            </w:r>
          </w:p>
        </w:tc>
        <w:tc>
          <w:tcPr>
            <w:tcW w:w="6140"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Интерпретируйте результаты MCDA, включая анализ неопределенности, для поддержки принятия решений.</w:t>
            </w:r>
          </w:p>
        </w:tc>
      </w:tr>
      <w:tr w:rsidR="00EA72C7" w:rsidTr="003E7002">
        <w:trPr>
          <w:jc w:val="center"/>
        </w:trPr>
        <w:tc>
          <w:tcPr>
            <w:tcW w:w="9521" w:type="dxa"/>
            <w:gridSpan w:val="2"/>
          </w:tcPr>
          <w:p w:rsidR="00EA72C7" w:rsidRDefault="00EA72C7" w:rsidP="003E7002">
            <w:pPr>
              <w:ind w:firstLine="6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по источнику [75, с. 30-34]</w:t>
            </w:r>
          </w:p>
        </w:tc>
      </w:tr>
    </w:tbl>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Методология MCDA повышает прозрачность и согласованность решений, а также подотчетность лиц, принимающих решения.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Широкое распространение на практике получил также ситуационный подход, который предполагает, что уникальные ситуации требуют выработки уникальных управленческих решений, основанных на системном рассмотрении ситуации. Идея ситуационного управления основана на двух гипотезах: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всю информацию об объекте и способах управления можно выразить на естественном языке;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всякий текст на естественном языке, относящийся к тому, о чем говорится в первой гипотезе, можно перевести на формальный язык </w:t>
      </w:r>
      <w:r w:rsidR="005F2A00">
        <w:rPr>
          <w:rFonts w:ascii="Times New Roman" w:eastAsia="Times New Roman" w:hAnsi="Times New Roman" w:cs="Times New Roman"/>
          <w:sz w:val="28"/>
          <w:szCs w:val="28"/>
        </w:rPr>
        <w:t xml:space="preserve">[71] </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Современные ситуационные центры (СЦ) представляют собой совокупность новейших программно-технических средств, математических методов, сетевых и системотехнических решений для автоматизации процессов сбора, отображения, моделирования и анализа ситуаций и оперативного управления </w:t>
      </w:r>
      <w:r w:rsidR="005F2A00">
        <w:rPr>
          <w:rFonts w:ascii="Times New Roman" w:eastAsia="Times New Roman" w:hAnsi="Times New Roman" w:cs="Times New Roman"/>
          <w:sz w:val="28"/>
          <w:szCs w:val="28"/>
        </w:rPr>
        <w:t xml:space="preserve">[72] </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СЦ современных организаций позволяют решать следующие задачи: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обеспечение информацией ЛПР;</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предоставление доступа руководителей к территориально разнесенным программно-техническим компонентам подразделений;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обеспечение согласованности и надежности функционирования программно-технических компонент системы;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предоставление доступа к информации организаций, участвующих в принятии решения;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сокращение временных и финансовых затрат в процессе принятия решений;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формирование единого информационного пространства для ЛПР всех структурных подразделений.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основным типам ситуационных центров относят </w:t>
      </w:r>
      <w:r w:rsidR="005F2A00">
        <w:rPr>
          <w:rFonts w:ascii="Times New Roman" w:eastAsia="Times New Roman" w:hAnsi="Times New Roman" w:cs="Times New Roman"/>
          <w:sz w:val="28"/>
          <w:szCs w:val="28"/>
        </w:rPr>
        <w:t xml:space="preserve">[73] </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СЦ анализа и управления кризисными ситуациями.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СЦ виртуальной реальности.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СЦ мониторинга и принятия стратегических решений. </w:t>
      </w:r>
    </w:p>
    <w:p w:rsidR="00EA72C7" w:rsidRDefault="00EA72C7" w:rsidP="00EA72C7">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Информационные технологии совершили настоящую революцию в управлении современной организацией.</w:t>
      </w:r>
      <w:r>
        <w:t xml:space="preserve"> </w:t>
      </w:r>
      <w:r>
        <w:rPr>
          <w:rFonts w:ascii="Times New Roman" w:eastAsia="Times New Roman" w:hAnsi="Times New Roman" w:cs="Times New Roman"/>
          <w:sz w:val="28"/>
          <w:szCs w:val="28"/>
        </w:rPr>
        <w:t xml:space="preserve">Информатизация управления идет по пути глобальной интеграции всех вычислительных машин во Всемирную сеть </w:t>
      </w:r>
      <w:r w:rsidR="005F2A00">
        <w:rPr>
          <w:rFonts w:ascii="Times New Roman" w:eastAsia="Times New Roman" w:hAnsi="Times New Roman" w:cs="Times New Roman"/>
          <w:sz w:val="28"/>
          <w:szCs w:val="28"/>
        </w:rPr>
        <w:t xml:space="preserve">[74] </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Основная идея смешанного метода состоит в уменьшении сложности проблемы через ее разделение на компоненты, которые должны быть относительно независимыми от общей проблемы.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Однако, если речь идет об экосистемном подходе, то задача выбора метода </w:t>
      </w:r>
      <w:r>
        <w:rPr>
          <w:rFonts w:ascii="Times New Roman" w:eastAsia="Times New Roman" w:hAnsi="Times New Roman" w:cs="Times New Roman"/>
          <w:sz w:val="28"/>
          <w:szCs w:val="28"/>
        </w:rPr>
        <w:t xml:space="preserve">оценки экосистемных услуг усложняется. Добавление экосистемных услуг в оценки подразумевает измерение того, насколько изменение экологических условий влияет на людей, социальную выгоду или ценность для общества. Несмотря на консенсус в отношении общих достоинств учета экосистемных услуг, отсутствует систематическое руководство о том, что измерять и как.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Сегодня оценка экоуслуг ведется главным образом по трем направлениям: экологическому, экономическому (монетарному) и социальному. Но исследования, связанные с оценкой экосистемных услуг, становятся все более многочисленными. Усилия ученых все чаще проявляются там, где эта концепция применяется в реальных ситуациях с целью поддержки устойчивого управления земельными, водными ресурсами и городским хозяйством [82-84]. Соответственно, увеличивается количество методов и инструментов, которые разработаны для оценки экосистемных услуг в конкретных ситуациях.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Всю совокупность методов оценки экосистемных услуг ученые [82, р. 481-497] предлагают классифицировать на следующие группы: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i/>
          <w:sz w:val="28"/>
          <w:szCs w:val="28"/>
        </w:rPr>
        <w:t>биофизические методы</w:t>
      </w:r>
      <w:r>
        <w:rPr>
          <w:rFonts w:ascii="Times New Roman" w:eastAsia="Times New Roman" w:hAnsi="Times New Roman" w:cs="Times New Roman"/>
          <w:sz w:val="28"/>
          <w:szCs w:val="28"/>
        </w:rPr>
        <w:t xml:space="preserve"> для картирования экосистемных услуг, такие как матричные или электронные таблицы, или моделирование экосистемных услуг, таких как InVEST, E-Tree или ESTIMAP;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социокультурные методы</w:t>
      </w:r>
      <w:r>
        <w:rPr>
          <w:rFonts w:ascii="Times New Roman" w:eastAsia="Times New Roman" w:hAnsi="Times New Roman" w:cs="Times New Roman"/>
          <w:sz w:val="28"/>
          <w:szCs w:val="28"/>
        </w:rPr>
        <w:t xml:space="preserve"> для понимания предпочтений или социальных ценностей экосистемных услуг, такие как методы совещательной оценки, методы ранжирования предпочтений, методы многокритериального анализа, а также исследования фотоэффектов;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денежные методы</w:t>
      </w:r>
      <w:r>
        <w:rPr>
          <w:rFonts w:ascii="Times New Roman" w:eastAsia="Times New Roman" w:hAnsi="Times New Roman" w:cs="Times New Roman"/>
          <w:sz w:val="28"/>
          <w:szCs w:val="28"/>
        </w:rPr>
        <w:t xml:space="preserve"> для оценки экономической стоимости услуг, такие как методы предпочтения с использованием условной оценки и экспериментов с выбором, выявленные предпочтительные методы с использованием метода стоимости поездки или гедонистические методы ценообразования.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Выбор конкретного метода (Приложение Б) для применения в том или ином случае может зависеть от многих факторов среды, включая контекст принятия решений, набор экосистемных услуг, сильные и слабые стороны различных методов и прагматические причины, такие как доступные данные (информация), ресурсы и опыт.</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Большой проблема для методологии принятия управленческих решений при экосистемном подходе - отсутствие общепринятых показателей для измерения тенденций, поддержания, регулирования и культурных особенностей экосистемных услуг. Логично, что эффективные показатели измерения должны соответствовать ряду конкретных критериев. К примеру, Национальный исследовательский совет США рекомендует три категории экологических показателей. Во-первых, степень и состояние экосистем (таких как растительный покров и землепользование) указывают на охват экосистем и их экологические атрибуты. Во-вторых, биотическое сырье (такое как общее видовое разнообразие) и абиотическое сырье (почва питательных веществ), указывают на количество ресурсов, доступных для оказания услуг. Наконец, показатель экологического функционирования измеряет производительность экосистем </w:t>
      </w:r>
      <w:r w:rsidR="005F2A00">
        <w:rPr>
          <w:rFonts w:ascii="Times New Roman" w:eastAsia="Times New Roman" w:hAnsi="Times New Roman" w:cs="Times New Roman"/>
          <w:sz w:val="28"/>
          <w:szCs w:val="28"/>
        </w:rPr>
        <w:t xml:space="preserve">[78] </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Например, критерии для эффективных экологических показателей, предлагаемые Национальным исследовательским советом США, следующие:</w:t>
      </w:r>
    </w:p>
    <w:p w:rsidR="00EA72C7" w:rsidRDefault="00EA72C7" w:rsidP="00EA72C7">
      <w:pPr>
        <w:numPr>
          <w:ilvl w:val="0"/>
          <w:numId w:val="1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Предоставляет ли индикатор информацию об изменениях в важных процессах?</w:t>
      </w:r>
    </w:p>
    <w:p w:rsidR="00EA72C7" w:rsidRDefault="00EA72C7" w:rsidP="00EA72C7">
      <w:pPr>
        <w:numPr>
          <w:ilvl w:val="0"/>
          <w:numId w:val="1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Достаточно ли чувствителен индикатор для выявления важных изменений, но не настолько чувствителен, чтобы сигналы маскировались естественной изменчивостью?</w:t>
      </w:r>
    </w:p>
    <w:p w:rsidR="00EA72C7" w:rsidRDefault="00EA72C7" w:rsidP="00EA72C7">
      <w:pPr>
        <w:numPr>
          <w:ilvl w:val="0"/>
          <w:numId w:val="1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Может ли индикатор обнаруживать изменения в соответствующих временных и пространственных масштабах, не перегруженных изменчивостью?</w:t>
      </w:r>
    </w:p>
    <w:p w:rsidR="00EA72C7" w:rsidRDefault="00EA72C7" w:rsidP="00EA72C7">
      <w:pPr>
        <w:numPr>
          <w:ilvl w:val="0"/>
          <w:numId w:val="1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Является ли индикатор обоснованным, применимым к общепринятой концептуальной модели?</w:t>
      </w:r>
    </w:p>
    <w:p w:rsidR="00EA72C7" w:rsidRDefault="00EA72C7" w:rsidP="00EA72C7">
      <w:pPr>
        <w:numPr>
          <w:ilvl w:val="0"/>
          <w:numId w:val="1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Имеются ли надежные данные для оценки тенденций, является ли сбор данных относительно простым процессом?</w:t>
      </w:r>
    </w:p>
    <w:p w:rsidR="00EA72C7" w:rsidRDefault="00EA72C7" w:rsidP="00EA72C7">
      <w:pPr>
        <w:numPr>
          <w:ilvl w:val="0"/>
          <w:numId w:val="1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Существуют ли системы мониторинга для базовых данных, необходимых для расчета показателя?</w:t>
      </w:r>
    </w:p>
    <w:p w:rsidR="00EA72C7" w:rsidRDefault="00EA72C7" w:rsidP="00EA72C7">
      <w:pPr>
        <w:numPr>
          <w:ilvl w:val="0"/>
          <w:numId w:val="1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Могут ли политики без проблем понять этот показатель?</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различных источниках литературы отмечается, что индикаторы оценки экоуслуг представляют собой изображения качеств, количеств или состояний систем, которые не доступны непосредственно для наблюдателя. Экологические показатели предоставляют агрегированную информацию о явлениях в системах человека и окружающей среды для характеристики вариантов управления окружающей средой. Они предоставляют сигналы, которые ретранслируют сложные сообщения, в упрощенной и полезной форме, обеспечивая средства коммуникации в управлении окружающей средой.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Исходя из того, что целью экологической индикации является предоставление количественной информации для процессов принятия решений, экосистемные индикаторы должны отражать сложные взаимодействия между биотическим и абиотическим компонентами. Данная задача требует целостного подхода, связывающего структуры и функции экологических объектов. Как следствие, наборы индикаторов необходимы для того, чтобы справляться с огромной сложностью экосистем и предоставлять существенные аргументы для компромиссов в процессе планирования.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Первым шагом этого процесса является собственно выбор индикаторов. Поскольку мы обсуждаем сложную систему, для этой цели целесообразно использовать этапы системного анализа: вначале необходимо детально определить проблему и цель, поскольку они дают указатель - объект указания. После этого разработчик должен принять решение о пространственных и временных границах индикации, масштабах и предполагаемом уровне сложности. Эти решения сопровождаются определением влияющих элементов, отношений и ограничений. Результатом такого подхода является лучшее понимание индикатора, который теперь можно использовать для составления предложений по индикаторам и оптимизации этих прокси со ссылкой на научную правильность, применимость и доступность данных.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таблице 4 представлены некоторые атрибуты качества индикаторов, предложенные H. Wiggering и F. Müller </w:t>
      </w:r>
      <w:r w:rsidR="005F2A00">
        <w:rPr>
          <w:rFonts w:ascii="Times New Roman" w:eastAsia="Times New Roman" w:hAnsi="Times New Roman" w:cs="Times New Roman"/>
          <w:sz w:val="28"/>
          <w:szCs w:val="28"/>
        </w:rPr>
        <w:t xml:space="preserve">[79] </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4 – Некоторые атрибуты качества индикаторов</w:t>
      </w:r>
    </w:p>
    <w:p w:rsidR="00EA72C7" w:rsidRDefault="00EA72C7" w:rsidP="00EA72C7">
      <w:pPr>
        <w:spacing w:after="0" w:line="240" w:lineRule="auto"/>
        <w:jc w:val="both"/>
        <w:rPr>
          <w:rFonts w:ascii="Times New Roman" w:eastAsia="Times New Roman" w:hAnsi="Times New Roman" w:cs="Times New Roman"/>
          <w:b/>
          <w:sz w:val="16"/>
          <w:szCs w:val="16"/>
        </w:rPr>
      </w:pPr>
    </w:p>
    <w:tbl>
      <w:tblPr>
        <w:tblW w:w="96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1"/>
        <w:gridCol w:w="5262"/>
      </w:tblGrid>
      <w:tr w:rsidR="00EA72C7" w:rsidTr="00037F18">
        <w:tc>
          <w:tcPr>
            <w:tcW w:w="4341"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Научная корректность</w:t>
            </w:r>
          </w:p>
        </w:tc>
        <w:tc>
          <w:tcPr>
            <w:tcW w:w="5262"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применимость</w:t>
            </w:r>
          </w:p>
        </w:tc>
      </w:tr>
      <w:tr w:rsidR="00EA72C7" w:rsidTr="00037F18">
        <w:tc>
          <w:tcPr>
            <w:tcW w:w="434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Четкое представление показателя</w:t>
            </w:r>
          </w:p>
        </w:tc>
        <w:tc>
          <w:tcPr>
            <w:tcW w:w="5262"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Высокая политическая значимость в отношении варианта управления</w:t>
            </w:r>
          </w:p>
        </w:tc>
      </w:tr>
      <w:tr w:rsidR="00EA72C7" w:rsidTr="00037F18">
        <w:tc>
          <w:tcPr>
            <w:tcW w:w="434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Четкое доказательство релевантных причинно-следственных связей</w:t>
            </w:r>
          </w:p>
        </w:tc>
        <w:tc>
          <w:tcPr>
            <w:tcW w:w="5262"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Прямые отношения к соответствующим управленческим действиям</w:t>
            </w:r>
          </w:p>
        </w:tc>
      </w:tr>
      <w:tr w:rsidR="00EA72C7" w:rsidTr="00037F18">
        <w:tc>
          <w:tcPr>
            <w:tcW w:w="434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Оптимальная чувствительность представления</w:t>
            </w:r>
          </w:p>
        </w:tc>
        <w:tc>
          <w:tcPr>
            <w:tcW w:w="5262"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Высокая понятность и публичная прозрачность</w:t>
            </w:r>
          </w:p>
        </w:tc>
      </w:tr>
      <w:tr w:rsidR="00EA72C7" w:rsidTr="00037F18">
        <w:tc>
          <w:tcPr>
            <w:tcW w:w="4341" w:type="dxa"/>
            <w:tcBorders>
              <w:bottom w:val="nil"/>
            </w:tcBorders>
          </w:tcPr>
          <w:p w:rsidR="00037F18"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Высокая прозрачность деривации стратегии</w:t>
            </w:r>
          </w:p>
        </w:tc>
        <w:tc>
          <w:tcPr>
            <w:tcW w:w="5262"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Высокая приемлемость для пользователей / заинтересованных сторон</w:t>
            </w:r>
          </w:p>
        </w:tc>
      </w:tr>
      <w:tr w:rsidR="00037F18" w:rsidTr="00037F18">
        <w:tc>
          <w:tcPr>
            <w:tcW w:w="9603" w:type="dxa"/>
            <w:gridSpan w:val="2"/>
            <w:tcBorders>
              <w:top w:val="nil"/>
              <w:left w:val="nil"/>
              <w:bottom w:val="single" w:sz="4" w:space="0" w:color="auto"/>
              <w:right w:val="nil"/>
            </w:tcBorders>
          </w:tcPr>
          <w:p w:rsidR="00037F18" w:rsidRDefault="00037F18" w:rsidP="00037F18">
            <w:pPr>
              <w:ind w:hanging="1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Продолжение таблицы 4</w:t>
            </w:r>
          </w:p>
          <w:p w:rsidR="00037F18" w:rsidRPr="00037F18" w:rsidRDefault="00037F18" w:rsidP="00037F18">
            <w:pPr>
              <w:ind w:hanging="108"/>
              <w:jc w:val="both"/>
              <w:rPr>
                <w:rFonts w:ascii="Times New Roman" w:eastAsia="Times New Roman" w:hAnsi="Times New Roman" w:cs="Times New Roman"/>
                <w:sz w:val="16"/>
                <w:szCs w:val="16"/>
              </w:rPr>
            </w:pPr>
          </w:p>
        </w:tc>
      </w:tr>
      <w:tr w:rsidR="001F060E" w:rsidTr="00037F18">
        <w:tc>
          <w:tcPr>
            <w:tcW w:w="4341" w:type="dxa"/>
            <w:tcBorders>
              <w:top w:val="single" w:sz="4" w:space="0" w:color="auto"/>
            </w:tcBorders>
          </w:tcPr>
          <w:p w:rsidR="001F060E" w:rsidRDefault="001F060E" w:rsidP="001F060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62" w:type="dxa"/>
            <w:tcBorders>
              <w:top w:val="single" w:sz="4" w:space="0" w:color="auto"/>
            </w:tcBorders>
          </w:tcPr>
          <w:p w:rsidR="001F060E" w:rsidRDefault="001F060E" w:rsidP="001F060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A72C7" w:rsidTr="00037F18">
        <w:tc>
          <w:tcPr>
            <w:tcW w:w="434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Высокая достоверность, точность, репрезентативность.</w:t>
            </w:r>
          </w:p>
        </w:tc>
        <w:tc>
          <w:tcPr>
            <w:tcW w:w="5262"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Ориентация на (количественные) целевые показатели окружающей среды.</w:t>
            </w:r>
          </w:p>
        </w:tc>
      </w:tr>
      <w:tr w:rsidR="00EA72C7" w:rsidTr="00037F18">
        <w:tc>
          <w:tcPr>
            <w:tcW w:w="434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Оптимальная степень агрегирования.</w:t>
            </w:r>
          </w:p>
        </w:tc>
        <w:tc>
          <w:tcPr>
            <w:tcW w:w="5262"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Высокая способность передавать информацию.</w:t>
            </w:r>
          </w:p>
        </w:tc>
      </w:tr>
      <w:tr w:rsidR="00EA72C7" w:rsidTr="00037F18">
        <w:tc>
          <w:tcPr>
            <w:tcW w:w="434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Удовлетворительная измеримость и высокая доступность данных.</w:t>
            </w:r>
          </w:p>
        </w:tc>
        <w:tc>
          <w:tcPr>
            <w:tcW w:w="5262"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Связь с информацией </w:t>
            </w:r>
          </w:p>
        </w:tc>
      </w:tr>
      <w:tr w:rsidR="00EA72C7" w:rsidTr="00037F18">
        <w:tc>
          <w:tcPr>
            <w:tcW w:w="434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Хорошее выполнение статистических требований</w:t>
            </w:r>
          </w:p>
        </w:tc>
        <w:tc>
          <w:tcPr>
            <w:tcW w:w="5262"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Связь с долгосрочными тенденциями и целью раннего предупреждения</w:t>
            </w:r>
          </w:p>
        </w:tc>
      </w:tr>
      <w:tr w:rsidR="00EA72C7" w:rsidTr="00037F18">
        <w:tc>
          <w:tcPr>
            <w:tcW w:w="9603" w:type="dxa"/>
            <w:gridSpan w:val="2"/>
          </w:tcPr>
          <w:p w:rsidR="00EA72C7" w:rsidRDefault="00EA72C7" w:rsidP="003E7002">
            <w:pPr>
              <w:ind w:firstLine="62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источник [86, р. 3-35]</w:t>
            </w:r>
          </w:p>
        </w:tc>
      </w:tr>
    </w:tbl>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Проблема индикации экосистемных услуг заключается в том, что один индикатор не помогает. Необходимо работать только с наборами показателей или связками, чтобы выполнить требования сложности, с одной стороны, и компромисса, с другой. Результирующие наборы индикаторов очень разнообразны, поскольку они включают как описательные аспекты, так и элементы оценки.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Некоторые авторы </w:t>
      </w:r>
      <w:r w:rsidR="005F2A00">
        <w:rPr>
          <w:rFonts w:ascii="Times New Roman" w:eastAsia="Times New Roman" w:hAnsi="Times New Roman" w:cs="Times New Roman"/>
          <w:sz w:val="28"/>
          <w:szCs w:val="28"/>
        </w:rPr>
        <w:t xml:space="preserve">[80] </w:t>
      </w:r>
      <w:r>
        <w:rPr>
          <w:rFonts w:ascii="Times New Roman" w:eastAsia="Times New Roman" w:hAnsi="Times New Roman" w:cs="Times New Roman"/>
          <w:sz w:val="28"/>
          <w:szCs w:val="28"/>
        </w:rPr>
        <w:t xml:space="preserve"> предлагают следующие наборы индикаторов: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1. Индикаторы наземных экосистемных услуг</w:t>
      </w:r>
      <w:r>
        <w:rPr>
          <w:rFonts w:ascii="Times New Roman" w:eastAsia="Times New Roman" w:hAnsi="Times New Roman" w:cs="Times New Roman"/>
          <w:sz w:val="28"/>
          <w:szCs w:val="28"/>
        </w:rPr>
        <w:t xml:space="preserve"> (леса, луга, пастбища, горные ландшафты, засушливые и пустынные экосистемы, болота). Соответствующие показатели для предоставления услуг показывают широкий спектр продуктов, таких как энергетическая биомасса, древесина, волокно и смолы, производство продовольственных культур на гектар, животноводство и пчеловодство (мед, мясо, шкуры, кости, трофеи), фармацевтические продукты, объемы воды в кубических метрах или количество рабочих мест в различных смежных секторах.</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2. Городские экосистемы:</w:t>
      </w:r>
      <w:r>
        <w:rPr>
          <w:rFonts w:ascii="Times New Roman" w:eastAsia="Times New Roman" w:hAnsi="Times New Roman" w:cs="Times New Roman"/>
          <w:sz w:val="28"/>
          <w:szCs w:val="28"/>
        </w:rPr>
        <w:t xml:space="preserve"> большая часть урбанизации в мире следует модели близости поставок товаров и услуг из окружающей природной среды в целях промышленного, социального, экономического развития и развития торговли. Предоставление экосистемных услуг в городских районах в основном определяется производством городских культур, чистым водоснабжением, топливом из древесины/биомассы, биотическими строительными материалами (древесина, плоты), художественными и ремесленными материалами и тростником.</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3. Сельскохозяйственные экосистемы.</w:t>
      </w:r>
      <w:r>
        <w:rPr>
          <w:rFonts w:ascii="Times New Roman" w:eastAsia="Times New Roman" w:hAnsi="Times New Roman" w:cs="Times New Roman"/>
          <w:sz w:val="28"/>
          <w:szCs w:val="28"/>
        </w:rPr>
        <w:t xml:space="preserve"> Сельскохозяйственные экосистемы расширяются во всем мире из-за высокого спроса людей на предоставление услуг (продовольствие, волокно, топливо). Следовательно, многие наземные экосистемы были преобразованы в сельскохозяйственные. Их интенсивное использование негативно влияет на регулирующие и культурные услуги (например, потеря питательных веществ, эрозия, снижение визуального </w:t>
      </w:r>
      <w:r>
        <w:rPr>
          <w:rFonts w:ascii="Times New Roman" w:eastAsia="Times New Roman" w:hAnsi="Times New Roman" w:cs="Times New Roman"/>
          <w:sz w:val="28"/>
          <w:szCs w:val="28"/>
        </w:rPr>
        <w:lastRenderedPageBreak/>
        <w:t>качества), требуя компромиссных оценок. Конкретные показатели здесь связаны с производством продуктов питания, например, растениеводством, животноводством и производством топлива.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4.</w:t>
      </w:r>
      <w:r>
        <w:rPr>
          <w:i/>
        </w:rPr>
        <w:t xml:space="preserve"> </w:t>
      </w:r>
      <w:r>
        <w:rPr>
          <w:rFonts w:ascii="Times New Roman" w:eastAsia="Times New Roman" w:hAnsi="Times New Roman" w:cs="Times New Roman"/>
          <w:i/>
          <w:sz w:val="28"/>
          <w:szCs w:val="28"/>
        </w:rPr>
        <w:t>Лесные экосистемы.</w:t>
      </w:r>
      <w:r>
        <w:rPr>
          <w:rFonts w:ascii="Times New Roman" w:eastAsia="Times New Roman" w:hAnsi="Times New Roman" w:cs="Times New Roman"/>
          <w:sz w:val="28"/>
          <w:szCs w:val="28"/>
        </w:rPr>
        <w:t xml:space="preserve"> Лесные экосистемы составляют 22,24% земной площади на Земле, обеспечивая многочисленные экосистемные услуги. Соответствующие показатели в основном касаются производства древесины, заготовленной биомассы для производства энергии, обеспечения дикими продуктами питания, регулирования климата, управления пожарами, регулирования качества воздуха, снижения шума, очистки воды, рекреационных и эстетических ценностей.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5. Морские экосистемы.</w:t>
      </w:r>
      <w:r>
        <w:rPr>
          <w:rFonts w:ascii="Times New Roman" w:eastAsia="Times New Roman" w:hAnsi="Times New Roman" w:cs="Times New Roman"/>
          <w:sz w:val="28"/>
          <w:szCs w:val="28"/>
        </w:rPr>
        <w:t xml:space="preserve"> Морская экосистема состоит из основных океанов, их связующих звеньев и расширений и охватывает примерно 70% поверхности Земли. Эта самая обширная экосистема мира, особенно прибрежная зона, обеспечивает более 60% общей экономической ценности биосферы. Типичные показатели обеспеченности морской пищей включают общий вылов или вылов на единицу усилия и количество жизнеспособных промыслов. Хранение и обеспечение водой являются другими основными морскими экосистемными услугами. Биотические материалы и биотопливо составляют третью важную службу обеспечения.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6. Пресноводные экосистемы.</w:t>
      </w:r>
      <w:r>
        <w:rPr>
          <w:rFonts w:ascii="Times New Roman" w:eastAsia="Times New Roman" w:hAnsi="Times New Roman" w:cs="Times New Roman"/>
          <w:sz w:val="28"/>
          <w:szCs w:val="28"/>
        </w:rPr>
        <w:t xml:space="preserve"> Пресноводные экосистемы включают стоячие экосистемы (озера и пруды), проточную воду или лотосные экосистемы (ручьи и реки) и внутренние водно-болотные угодья, уровень воды в которых колеблется вверх и вниз в сезон или год.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7. Речные и озерные экосистемы. </w:t>
      </w:r>
      <w:r>
        <w:rPr>
          <w:rFonts w:ascii="Times New Roman" w:eastAsia="Times New Roman" w:hAnsi="Times New Roman" w:cs="Times New Roman"/>
          <w:sz w:val="28"/>
          <w:szCs w:val="28"/>
        </w:rPr>
        <w:t>Пресноводные ресурсы - это основная услуга, предоставляемая данными экосистемами, на что может указывать, например, количество забираемой воды. Для этой услуги количество собранных пресноводных продуктов служит типичным показателем. Многие реки вносят ключевой вклад в энергоснабжение путем выработки гидроэнергии. Соответствующие показатели включают объем выработки гидроэнергии и соответствующую рыночную стоимость.</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8. Внутренние водно-болотные угодья.</w:t>
      </w:r>
      <w:r>
        <w:rPr>
          <w:rFonts w:ascii="Times New Roman" w:eastAsia="Times New Roman" w:hAnsi="Times New Roman" w:cs="Times New Roman"/>
          <w:sz w:val="28"/>
          <w:szCs w:val="28"/>
        </w:rPr>
        <w:t xml:space="preserve"> Пресноводные водно-болотные угодья – это участки, покрытые пресной водой на мелководье, которые постоянно находятся в пределах части годового цикла. Хотя водно-болотные угодья покрывают лишь около 2% поверхности земли, они играют относительно важную роль в глобальном круговороте серы, азота, фосфора, а также углерода благодаря аэробной и анаэробной стратификации водно-болотных угодий.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Экономические методы оценки экологического ущерба, как правило, находятся в центре внимания глобальных компаний и институтов, в том числе Шведского центра жизненного цикла, центре компетенции, который находится в Технологическом университете Чалмерса. В течение 30 лет шведские ученые используют так называемый «инструмент EPS», чтобы придать денежную оценку ущербу окружающей среде.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EPS включает в себя метод оценки воздействия (характеристики и взвешивания) на выбросы и использование природных ресурсов, который может </w:t>
      </w:r>
      <w:r>
        <w:rPr>
          <w:rFonts w:ascii="Times New Roman" w:eastAsia="Times New Roman" w:hAnsi="Times New Roman" w:cs="Times New Roman"/>
          <w:sz w:val="28"/>
          <w:szCs w:val="28"/>
        </w:rPr>
        <w:lastRenderedPageBreak/>
        <w:t xml:space="preserve">применяться в любой Оценке жизненного цикла (Life Cycle Assessment, LCA). Результатами метода оценки воздействия EPS являются затраты на ущерб для выбросов и использования природных ресурсов, выраженные как Единицы экологической нагрузки (Environmental Load Units, ELU). Один ELU представляет собой внешнюю стоимость, соответствующую одному евро стоимости ущерба окружающей среде </w:t>
      </w:r>
      <w:r w:rsidR="005F2A00">
        <w:rPr>
          <w:rFonts w:ascii="Times New Roman" w:eastAsia="Times New Roman" w:hAnsi="Times New Roman" w:cs="Times New Roman"/>
          <w:sz w:val="28"/>
          <w:szCs w:val="28"/>
        </w:rPr>
        <w:t xml:space="preserve">[81] </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денежной оценке воздействия учитываются различные аспекты. Они включают потребление энергии, воздействие на климат, использование материалов и выбросы в воду, воздух и почву. В течение срока службы продукции также могут быть измерены количество произведенных выбросов и количество затраченных ресурсов. Это приводит ко многим очевидным воздействиям на окружающую среду, таким как снижение урожайности, сокращение рыбных запасов и сокращение продолжительности жизни человека из-за наводнений или жары.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Несмотря на консенсус в отношении общей концепции экосистемных услуг и необходимости учитывать их при принятии решений, тем, кто применяет анализ экосистемных услуг для поддержки решений, обычно не хватает систематического руководства о том, что измерять и как. Отсутствие стандартов для мер по обслуживанию экосистем, наряду с отсутствием общих методов и словарного запаса, служит барьером для тех, кто желает применять структуры экосистемных услуг. В настоящее время существует даже путаница и непоследовательность в отношении того, что подразумевается под «индикаторами экосистемных услуг».</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связи с этим, некоторые авторы </w:t>
      </w:r>
      <w:r w:rsidR="005F2A00">
        <w:rPr>
          <w:rFonts w:ascii="Times New Roman" w:eastAsia="Times New Roman" w:hAnsi="Times New Roman" w:cs="Times New Roman"/>
          <w:sz w:val="28"/>
          <w:szCs w:val="28"/>
        </w:rPr>
        <w:t>[82</w:t>
      </w:r>
      <w:r>
        <w:rPr>
          <w:rFonts w:ascii="Times New Roman" w:eastAsia="Times New Roman" w:hAnsi="Times New Roman" w:cs="Times New Roman"/>
          <w:sz w:val="28"/>
          <w:szCs w:val="28"/>
        </w:rPr>
        <w:t xml:space="preserve">-93] предлагают использовать индикатор нового типа, который отражает способность экосистемы приносить пользу обществу, обеспечивая, чтобы оценки экоуслуг измеряли результаты, которые наглядно и непосредственно связаны с благосостоянием людей. Эти показатели, относящиеся к выгоде (Benefit-relevant indicators, </w:t>
      </w:r>
      <w:r w:rsidRPr="00260A70">
        <w:rPr>
          <w:rFonts w:ascii="Times New Roman" w:eastAsia="Times New Roman" w:hAnsi="Times New Roman" w:cs="Times New Roman"/>
          <w:i/>
          <w:sz w:val="24"/>
          <w:szCs w:val="24"/>
        </w:rPr>
        <w:t>BRIs</w:t>
      </w:r>
      <w:r w:rsidRPr="00260A70">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отражают причинно-следственные связи, связывая управленческие решения посредством экологических мер воздействия на благосостояние людей. </w:t>
      </w:r>
      <w:r>
        <w:rPr>
          <w:rFonts w:ascii="Times New Roman" w:eastAsia="Times New Roman" w:hAnsi="Times New Roman" w:cs="Times New Roman"/>
          <w:sz w:val="24"/>
          <w:szCs w:val="24"/>
        </w:rPr>
        <w:t>BRIs</w:t>
      </w:r>
      <w:r>
        <w:rPr>
          <w:rFonts w:ascii="Times New Roman" w:eastAsia="Times New Roman" w:hAnsi="Times New Roman" w:cs="Times New Roman"/>
          <w:sz w:val="28"/>
          <w:szCs w:val="28"/>
        </w:rPr>
        <w:t xml:space="preserve"> идентифицируют, что и кем оценивается, но не дотягивают до оценки. </w:t>
      </w:r>
      <w:r>
        <w:rPr>
          <w:rFonts w:ascii="Times New Roman" w:eastAsia="Times New Roman" w:hAnsi="Times New Roman" w:cs="Times New Roman"/>
          <w:sz w:val="24"/>
          <w:szCs w:val="24"/>
        </w:rPr>
        <w:t>BRIs</w:t>
      </w:r>
      <w:r>
        <w:rPr>
          <w:rFonts w:ascii="Times New Roman" w:eastAsia="Times New Roman" w:hAnsi="Times New Roman" w:cs="Times New Roman"/>
          <w:sz w:val="28"/>
          <w:szCs w:val="28"/>
        </w:rPr>
        <w:t xml:space="preserve"> могут поддерживать денежную или неденежную оценку, но особенно полезны, когда оценка не будет проводиться; в таких случаях они служат отдельными мерами «того, что ценится» конкретными бенефициарами. </w:t>
      </w:r>
      <w:r>
        <w:rPr>
          <w:rFonts w:ascii="Times New Roman" w:eastAsia="Times New Roman" w:hAnsi="Times New Roman" w:cs="Times New Roman"/>
          <w:sz w:val="24"/>
          <w:szCs w:val="24"/>
        </w:rPr>
        <w:t>BRIs</w:t>
      </w:r>
      <w:r>
        <w:rPr>
          <w:rFonts w:ascii="Times New Roman" w:eastAsia="Times New Roman" w:hAnsi="Times New Roman" w:cs="Times New Roman"/>
          <w:sz w:val="28"/>
          <w:szCs w:val="28"/>
        </w:rPr>
        <w:t>, по мнению авторов и сторонников этой идеи, «являются действительными показателями экосистемных услуг в том смысле, что они напрямую связаны с благосостоянием людей».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BRIs </w:t>
      </w:r>
      <w:r>
        <w:rPr>
          <w:rFonts w:ascii="Times New Roman" w:eastAsia="Times New Roman" w:hAnsi="Times New Roman" w:cs="Times New Roman"/>
          <w:sz w:val="28"/>
          <w:szCs w:val="28"/>
        </w:rPr>
        <w:t>– это меры, которые фиксируют связь между экологическими изменениями и социальными результатами, рассматривая то, что оценивается людьми, существует ли спрос на услугу, сколько она используется (для потребительских ценностей) или пользуется (для неиспользованной стоимости), и предоставляет ли сайт доступ, необходимый людям для получения выгоды от услуги [92, р. 170-181].</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таблице 5 приведены несколько примеров мер, которые будут или не будут рассматриваться как BRIs.</w:t>
      </w:r>
    </w:p>
    <w:p w:rsidR="00EA72C7" w:rsidRDefault="00EA72C7" w:rsidP="00EA72C7">
      <w:pPr>
        <w:spacing w:after="0" w:line="240" w:lineRule="auto"/>
        <w:ind w:firstLine="567"/>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5 – Примеры того, что будет или не будет классифицироваться как BRIs</w:t>
      </w:r>
    </w:p>
    <w:p w:rsidR="00EA72C7" w:rsidRDefault="00EA72C7" w:rsidP="00EA72C7">
      <w:pPr>
        <w:spacing w:after="0" w:line="240" w:lineRule="auto"/>
        <w:ind w:firstLine="567"/>
        <w:jc w:val="both"/>
        <w:rPr>
          <w:rFonts w:ascii="Times New Roman" w:eastAsia="Times New Roman" w:hAnsi="Times New Roman" w:cs="Times New Roman"/>
          <w:sz w:val="16"/>
          <w:szCs w:val="16"/>
        </w:rPr>
      </w:pPr>
    </w:p>
    <w:tbl>
      <w:tblPr>
        <w:tblW w:w="95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6"/>
        <w:gridCol w:w="2845"/>
        <w:gridCol w:w="3756"/>
      </w:tblGrid>
      <w:tr w:rsidR="00EA72C7" w:rsidTr="001F060E">
        <w:trPr>
          <w:tblHeader/>
        </w:trPr>
        <w:tc>
          <w:tcPr>
            <w:tcW w:w="2996"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Экосистемный сервис</w:t>
            </w:r>
          </w:p>
        </w:tc>
        <w:tc>
          <w:tcPr>
            <w:tcW w:w="2845"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BRIs</w:t>
            </w:r>
          </w:p>
        </w:tc>
        <w:tc>
          <w:tcPr>
            <w:tcW w:w="3756"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BRIs</w:t>
            </w:r>
          </w:p>
        </w:tc>
      </w:tr>
      <w:tr w:rsidR="00EA72C7" w:rsidTr="001F060E">
        <w:tc>
          <w:tcPr>
            <w:tcW w:w="2996" w:type="dxa"/>
            <w:vAlign w:val="center"/>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Существование или изобилие волков</w:t>
            </w:r>
          </w:p>
        </w:tc>
        <w:tc>
          <w:tcPr>
            <w:tcW w:w="2845" w:type="dxa"/>
            <w:vAlign w:val="center"/>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Люди, жертвующие природоохранным организаци</w:t>
            </w:r>
            <w:bookmarkStart w:id="8" w:name="bookmark=id.1t3h5sf" w:colFirst="0" w:colLast="0"/>
            <w:bookmarkEnd w:id="8"/>
            <w:r>
              <w:rPr>
                <w:rFonts w:ascii="Times New Roman" w:eastAsia="Times New Roman" w:hAnsi="Times New Roman" w:cs="Times New Roman"/>
                <w:sz w:val="24"/>
                <w:szCs w:val="24"/>
              </w:rPr>
              <w:t>ям</w:t>
            </w:r>
          </w:p>
        </w:tc>
        <w:tc>
          <w:tcPr>
            <w:tcW w:w="3756" w:type="dxa"/>
            <w:vAlign w:val="center"/>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волков×количество людей, для которых имеет значение существование волков</w:t>
            </w:r>
          </w:p>
        </w:tc>
      </w:tr>
      <w:tr w:rsidR="00EA72C7" w:rsidTr="001F060E">
        <w:tc>
          <w:tcPr>
            <w:tcW w:w="2996" w:type="dxa"/>
            <w:vAlign w:val="center"/>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Экологическое производство промысловой рыбы</w:t>
            </w:r>
          </w:p>
        </w:tc>
        <w:tc>
          <w:tcPr>
            <w:tcW w:w="2845" w:type="dxa"/>
            <w:vAlign w:val="center"/>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Изобилие рыбы</w:t>
            </w:r>
          </w:p>
        </w:tc>
        <w:tc>
          <w:tcPr>
            <w:tcW w:w="3756" w:type="dxa"/>
            <w:vAlign w:val="center"/>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Количество рыбы, выловленной коммерчески </w:t>
            </w:r>
          </w:p>
        </w:tc>
      </w:tr>
      <w:tr w:rsidR="00EA72C7" w:rsidTr="001F060E">
        <w:tc>
          <w:tcPr>
            <w:tcW w:w="2996" w:type="dxa"/>
            <w:vAlign w:val="center"/>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Регулирование паводков</w:t>
            </w:r>
          </w:p>
        </w:tc>
        <w:tc>
          <w:tcPr>
            <w:tcW w:w="2845" w:type="dxa"/>
            <w:vAlign w:val="center"/>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Частота наводнений</w:t>
            </w:r>
          </w:p>
        </w:tc>
        <w:tc>
          <w:tcPr>
            <w:tcW w:w="3756" w:type="dxa"/>
            <w:vAlign w:val="center"/>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уязвимых людей (например, пожилых людей) в районах, где риск наводнений снижается благодаря действиям руководства</w:t>
            </w:r>
          </w:p>
        </w:tc>
      </w:tr>
      <w:tr w:rsidR="00EA72C7" w:rsidTr="001F060E">
        <w:tc>
          <w:tcPr>
            <w:tcW w:w="2996" w:type="dxa"/>
            <w:vAlign w:val="center"/>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Регулирование качества воды</w:t>
            </w:r>
          </w:p>
        </w:tc>
        <w:tc>
          <w:tcPr>
            <w:tcW w:w="2845" w:type="dxa"/>
            <w:vAlign w:val="center"/>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Концентрация азота (прокси мера)</w:t>
            </w:r>
          </w:p>
        </w:tc>
        <w:tc>
          <w:tcPr>
            <w:tcW w:w="3756" w:type="dxa"/>
            <w:vAlign w:val="center"/>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«Плавательные дни» x количество людей с доступом к местам для купания</w:t>
            </w:r>
          </w:p>
        </w:tc>
      </w:tr>
      <w:tr w:rsidR="00EA72C7" w:rsidTr="001F060E">
        <w:tc>
          <w:tcPr>
            <w:tcW w:w="9597" w:type="dxa"/>
            <w:gridSpan w:val="3"/>
            <w:vAlign w:val="center"/>
          </w:tcPr>
          <w:p w:rsidR="00EA72C7" w:rsidRDefault="00EA72C7" w:rsidP="003E7002">
            <w:pPr>
              <w:ind w:firstLine="559"/>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по источнику [92, р. 170-175]</w:t>
            </w:r>
          </w:p>
        </w:tc>
      </w:tr>
    </w:tbl>
    <w:p w:rsidR="00EA72C7" w:rsidRDefault="00EA72C7" w:rsidP="00EA72C7">
      <w:pPr>
        <w:spacing w:after="0" w:line="240" w:lineRule="auto"/>
        <w:ind w:firstLine="567"/>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BRIs отражают соответствующие звенья в причинно-следственной цепочке, заканчивающиеся потенциальной выгодой услуги для идентифицируемой группы людей. BRIs также должны быть достаточно конкретными, чтобы отражать состояние экосистемы, которое причинно и проксимально связано с пользой для человека.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Критически важным шагом для обеспечения того, чтобы оценки экосистемных услуг были всеобъемлющими и прозрачными, и чтобы показатели, выбранные для оценки, отражали результаты, непосредственно относящиеся к бенефициарам человека, является разработка концептуальных диаграмм из причинно-следственных связей. Построенная концептуальная карта, на которой показаны управленческие действия, затрагивающие несколько аспектов экосистемы, покажет, как УР потенциально могут повлиять на социальные выгоды.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Процесс количественного определения экосистемных услуг включает в себя преобразование концептуальной модели, изображенной в качестве причинно-следственной цепочки, в оперативную эмпирическую модель для оценки изменения BRI как функции действия, то есть разработку формальных отношений между действием (политика, проект, управление) и его влияние на производство услуг.</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BRI могут использоваться и при интуитивном принятии решений, когда предпочтения, приоритеты и компромиссы между конфликтующими целями </w:t>
      </w:r>
      <w:r>
        <w:rPr>
          <w:rFonts w:ascii="Times New Roman" w:eastAsia="Times New Roman" w:hAnsi="Times New Roman" w:cs="Times New Roman"/>
          <w:sz w:val="28"/>
          <w:szCs w:val="28"/>
        </w:rPr>
        <w:lastRenderedPageBreak/>
        <w:t>обрабатываются без явного анализа. Интуитивные сравнения требуют, чтобы лица, принимающие решения, использовали свои знания о предпочтениях (заинтересованные стороны или институциональные структуры) косвенно, а не оценивали их явно.</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последние годы ученые разных стран разработали методики для оценки эко-эффективности, такие как простой подход к рациону </w:t>
      </w:r>
      <w:r w:rsidR="005F2A00">
        <w:rPr>
          <w:rFonts w:ascii="Times New Roman" w:eastAsia="Times New Roman" w:hAnsi="Times New Roman" w:cs="Times New Roman"/>
          <w:sz w:val="28"/>
          <w:szCs w:val="28"/>
        </w:rPr>
        <w:t>[86</w:t>
      </w:r>
      <w:r>
        <w:rPr>
          <w:rFonts w:ascii="Times New Roman" w:eastAsia="Times New Roman" w:hAnsi="Times New Roman" w:cs="Times New Roman"/>
          <w:sz w:val="28"/>
          <w:szCs w:val="28"/>
        </w:rPr>
        <w:t xml:space="preserve">, р. 1-4], метод анализа аналитической иерархии (Analytic Hierarchy Process, AHP) </w:t>
      </w:r>
      <w:r w:rsidR="005F2A00">
        <w:rPr>
          <w:rFonts w:ascii="Times New Roman" w:eastAsia="Times New Roman" w:hAnsi="Times New Roman" w:cs="Times New Roman"/>
          <w:sz w:val="28"/>
          <w:szCs w:val="28"/>
        </w:rPr>
        <w:t>[87]</w:t>
      </w:r>
      <w:r>
        <w:rPr>
          <w:rFonts w:ascii="Times New Roman" w:eastAsia="Times New Roman" w:hAnsi="Times New Roman" w:cs="Times New Roman"/>
          <w:sz w:val="28"/>
          <w:szCs w:val="28"/>
        </w:rPr>
        <w:t xml:space="preserve">, метод энтропийного веса </w:t>
      </w:r>
      <w:r w:rsidR="005F2A00">
        <w:rPr>
          <w:rFonts w:ascii="Times New Roman" w:eastAsia="Times New Roman" w:hAnsi="Times New Roman" w:cs="Times New Roman"/>
          <w:sz w:val="28"/>
          <w:szCs w:val="28"/>
        </w:rPr>
        <w:t>[85]</w:t>
      </w:r>
      <w:r>
        <w:rPr>
          <w:rFonts w:ascii="Times New Roman" w:eastAsia="Times New Roman" w:hAnsi="Times New Roman" w:cs="Times New Roman"/>
          <w:sz w:val="28"/>
          <w:szCs w:val="28"/>
        </w:rPr>
        <w:t xml:space="preserve">, метод реляционного анализа Грея </w:t>
      </w:r>
      <w:r w:rsidR="005F2A00">
        <w:rPr>
          <w:rFonts w:ascii="Times New Roman" w:eastAsia="Times New Roman" w:hAnsi="Times New Roman" w:cs="Times New Roman"/>
          <w:sz w:val="28"/>
          <w:szCs w:val="28"/>
        </w:rPr>
        <w:t>[89]</w:t>
      </w:r>
      <w:r>
        <w:rPr>
          <w:rFonts w:ascii="Times New Roman" w:eastAsia="Times New Roman" w:hAnsi="Times New Roman" w:cs="Times New Roman"/>
          <w:sz w:val="28"/>
          <w:szCs w:val="28"/>
        </w:rPr>
        <w:t xml:space="preserve">, анализ данных (DEA) [97-99] и т.д.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частности, большую популярность получил метод анализа среды функционирования (DEA – Data Envelopment Analysis). Это методология, основанная на применении линейного программирования, разработана для измерения производительности, затем применяемая для оценки относительной эффективности фирм </w:t>
      </w:r>
      <w:r w:rsidR="005F2A00">
        <w:rPr>
          <w:rFonts w:ascii="Times New Roman" w:eastAsia="Times New Roman" w:hAnsi="Times New Roman" w:cs="Times New Roman"/>
          <w:sz w:val="28"/>
          <w:szCs w:val="28"/>
        </w:rPr>
        <w:t>[93]</w:t>
      </w:r>
      <w:r>
        <w:rPr>
          <w:rFonts w:ascii="Times New Roman" w:eastAsia="Times New Roman" w:hAnsi="Times New Roman" w:cs="Times New Roman"/>
          <w:sz w:val="28"/>
          <w:szCs w:val="28"/>
        </w:rPr>
        <w:t xml:space="preserve">. Анализ охвата данных является эффективным непараметрическим подходом для оценки относительной эффективности ряда однородных единиц принятия решений (Decision Making Units, DMUs) </w:t>
      </w:r>
      <w:r w:rsidR="005F2A00">
        <w:rPr>
          <w:rFonts w:ascii="Times New Roman" w:eastAsia="Times New Roman" w:hAnsi="Times New Roman" w:cs="Times New Roman"/>
          <w:sz w:val="28"/>
          <w:szCs w:val="28"/>
        </w:rPr>
        <w:t>[94]</w:t>
      </w:r>
      <w:r>
        <w:rPr>
          <w:rFonts w:ascii="Times New Roman" w:eastAsia="Times New Roman" w:hAnsi="Times New Roman" w:cs="Times New Roman"/>
          <w:sz w:val="28"/>
          <w:szCs w:val="28"/>
        </w:rPr>
        <w:t xml:space="preserve">. В анализе данных (DEA) существуют различные методы измерения эффективности, такие как радиальная мера </w:t>
      </w:r>
      <w:r w:rsidR="005F2A00">
        <w:rPr>
          <w:rFonts w:ascii="Times New Roman" w:eastAsia="Times New Roman" w:hAnsi="Times New Roman" w:cs="Times New Roman"/>
          <w:sz w:val="28"/>
          <w:szCs w:val="28"/>
        </w:rPr>
        <w:t>[95]</w:t>
      </w:r>
      <w:r>
        <w:rPr>
          <w:rFonts w:ascii="Times New Roman" w:eastAsia="Times New Roman" w:hAnsi="Times New Roman" w:cs="Times New Roman"/>
          <w:sz w:val="28"/>
          <w:szCs w:val="28"/>
        </w:rPr>
        <w:t xml:space="preserve">, мера направленной функции расстояния [103, 104], нерадиальная мера </w:t>
      </w:r>
      <w:r w:rsidR="005F2A00">
        <w:rPr>
          <w:rFonts w:ascii="Times New Roman" w:eastAsia="Times New Roman" w:hAnsi="Times New Roman" w:cs="Times New Roman"/>
          <w:sz w:val="28"/>
          <w:szCs w:val="28"/>
        </w:rPr>
        <w:t>[98]</w:t>
      </w:r>
      <w:r>
        <w:rPr>
          <w:rFonts w:ascii="Times New Roman" w:eastAsia="Times New Roman" w:hAnsi="Times New Roman" w:cs="Times New Roman"/>
          <w:sz w:val="28"/>
          <w:szCs w:val="28"/>
        </w:rPr>
        <w:t xml:space="preserve"> и другие.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из основных факторов популярности DEA-методов как исследовательского метода является наличие доступного программного обеспечения, позволяющего свести сложность решения реальных практических задач к минимуму. На сегодняшний день представлены пакеты DEA Frontier, MaxDEA, Open Source DEA и другие, которые позволяют использовать радиальные модели с постоянной и переменной отдачей на масштаб, ориентированные по входу и выходу.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настоящее время получила распространение модель – SBM (Slack Based Model) </w:t>
      </w:r>
      <w:r w:rsidR="005F2A00">
        <w:rPr>
          <w:rFonts w:ascii="Times New Roman" w:eastAsia="Times New Roman" w:hAnsi="Times New Roman" w:cs="Times New Roman"/>
          <w:sz w:val="28"/>
          <w:szCs w:val="28"/>
        </w:rPr>
        <w:t>[99]</w:t>
      </w:r>
      <w:r>
        <w:rPr>
          <w:rFonts w:ascii="Times New Roman" w:eastAsia="Times New Roman" w:hAnsi="Times New Roman" w:cs="Times New Roman"/>
          <w:sz w:val="28"/>
          <w:szCs w:val="28"/>
        </w:rPr>
        <w:t>, конечный результат которой включает в себя все существующие недостатки (входных и выходных параметров) оцениваемых объектов.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Некоторые авторы [98, р. 798-800; 107] изучают секторальную ЭЭ. В частности, на макроуровне имеется ряд исследований, которые анализируют и оценивают экологическую и техническую эффективность, особенно при применении стохастических параметрических моделей. В исследовании M. Robaina, V. Moutinho, P. Madaleno </w:t>
      </w:r>
      <w:r w:rsidR="005F2A00">
        <w:rPr>
          <w:rFonts w:ascii="Times New Roman" w:eastAsia="Times New Roman" w:hAnsi="Times New Roman" w:cs="Times New Roman"/>
          <w:sz w:val="28"/>
          <w:szCs w:val="28"/>
        </w:rPr>
        <w:t>[101]</w:t>
      </w:r>
      <w:r>
        <w:rPr>
          <w:rFonts w:ascii="Times New Roman" w:eastAsia="Times New Roman" w:hAnsi="Times New Roman" w:cs="Times New Roman"/>
          <w:sz w:val="28"/>
          <w:szCs w:val="28"/>
        </w:rPr>
        <w:t xml:space="preserve"> предложен параметрический стохастический подход с использованием оценок максимальной энтропии, а именно обобщенной максимальной энтропии (GME) и обобщенной кросс-энтропии (GCE). Авторы провели оценку и сравнение эффективности 26 различных европейских стран за 2001 и 2012 годы, с использованием метода DEA. В затратах использовались следующие параметры подсчета: капитал (K), труд (L), возобновляемые источники энергии, энергия (R) и ископаемое топливо (F). В модели, ориентированной на результат, учитывались ВВП/l, ВВП/K, F/ВВП и R/ВВП (доля возобновляемых источников энергии в ВВП, и для обоих рассматриваемых результатов – ВВП на выбросы парниковых газов.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Ранее M. Robaina с коллегами изучала данный вопрос, учитывая два разных периода (2000-2004 </w:t>
      </w:r>
      <w:r>
        <w:rPr>
          <w:rFonts w:ascii="Times New Roman" w:eastAsia="Times New Roman" w:hAnsi="Times New Roman" w:cs="Times New Roman"/>
          <w:sz w:val="28"/>
          <w:szCs w:val="28"/>
          <w:lang w:val="kk-KZ"/>
        </w:rPr>
        <w:t xml:space="preserve">гг. </w:t>
      </w:r>
      <w:r>
        <w:rPr>
          <w:rFonts w:ascii="Times New Roman" w:eastAsia="Times New Roman" w:hAnsi="Times New Roman" w:cs="Times New Roman"/>
          <w:sz w:val="28"/>
          <w:szCs w:val="28"/>
        </w:rPr>
        <w:t>и 2005-2011</w:t>
      </w:r>
      <w:r>
        <w:rPr>
          <w:rFonts w:ascii="Times New Roman" w:eastAsia="Times New Roman" w:hAnsi="Times New Roman" w:cs="Times New Roman"/>
          <w:sz w:val="28"/>
          <w:szCs w:val="28"/>
          <w:lang w:val="kk-KZ"/>
        </w:rPr>
        <w:t xml:space="preserve"> гг.</w:t>
      </w:r>
      <w:r>
        <w:rPr>
          <w:rFonts w:ascii="Times New Roman" w:eastAsia="Times New Roman" w:hAnsi="Times New Roman" w:cs="Times New Roman"/>
          <w:sz w:val="28"/>
          <w:szCs w:val="28"/>
        </w:rPr>
        <w:t>). Ученые определили новую стохастическую модель границы, где соотношение между валовым внутренним продуктом (ВВП) и выбросами парниковых газов (ПГ) максимальны с учетом значений потребления ископаемого топлива, потребления возобновляемой энергии, капитала и рабочей силы в качестве затрат. Эмпирические результаты показали в числе наиболее эффективных стран Португалию, Словакию, Венгрию и Ирландию и наименее эффективные – Болгарию, Италию, Румынию и Данию.</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обеспечения показателей эффективности на основе модели SBM A. Charnes с коллегами </w:t>
      </w:r>
      <w:r w:rsidR="005F2A00">
        <w:rPr>
          <w:rFonts w:ascii="Times New Roman" w:eastAsia="Times New Roman" w:hAnsi="Times New Roman" w:cs="Times New Roman"/>
          <w:sz w:val="28"/>
          <w:szCs w:val="28"/>
        </w:rPr>
        <w:t>[102]</w:t>
      </w:r>
      <w:r>
        <w:rPr>
          <w:rFonts w:ascii="Times New Roman" w:eastAsia="Times New Roman" w:hAnsi="Times New Roman" w:cs="Times New Roman"/>
          <w:sz w:val="28"/>
          <w:szCs w:val="28"/>
        </w:rPr>
        <w:t xml:space="preserve"> предложили аддитивную модель, которая максимизировала сумму как входных, так и выходных провалов. На основании функции направленного расстояния и аддитивной модели, Cooper и другие </w:t>
      </w:r>
      <w:r w:rsidR="005F2A00">
        <w:rPr>
          <w:rFonts w:ascii="Times New Roman" w:eastAsia="Times New Roman" w:hAnsi="Times New Roman" w:cs="Times New Roman"/>
          <w:sz w:val="28"/>
          <w:szCs w:val="28"/>
        </w:rPr>
        <w:t>[103]</w:t>
      </w:r>
      <w:r>
        <w:rPr>
          <w:rFonts w:ascii="Times New Roman" w:eastAsia="Times New Roman" w:hAnsi="Times New Roman" w:cs="Times New Roman"/>
          <w:sz w:val="28"/>
          <w:szCs w:val="28"/>
        </w:rPr>
        <w:t xml:space="preserve"> представили скорректированный по диапазону показатель Range-adjusted Measure (RAM) неэффективности. В модели RAM целевой функцией является среднее значение отношения провалов входных и выходных сигналов к их диапазонам.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Tone [106, р. 498-506] выдвинул идею меры эффективности на основе модели SBM, КПД SBM, которая интерпретировалось им как произведение неэффективности ввода и вывода. Фукуяма и Вебер </w:t>
      </w:r>
      <w:r w:rsidR="005F2A00">
        <w:rPr>
          <w:rFonts w:ascii="Times New Roman" w:eastAsia="Times New Roman" w:hAnsi="Times New Roman" w:cs="Times New Roman"/>
          <w:sz w:val="28"/>
          <w:szCs w:val="28"/>
        </w:rPr>
        <w:t>[104]</w:t>
      </w:r>
      <w:r>
        <w:rPr>
          <w:rFonts w:ascii="Times New Roman" w:eastAsia="Times New Roman" w:hAnsi="Times New Roman" w:cs="Times New Roman"/>
          <w:sz w:val="28"/>
          <w:szCs w:val="28"/>
        </w:rPr>
        <w:t xml:space="preserve"> предложили модель измерения направленной SBI (Slacks-based Inefﬁciency), которая включает в себя все источники неэффективности и относится к функции направленного расстояния.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Помимо вышеупомянутых методик и моделей, применяется метод, основанный на системе самоконтроля, он упоминается как более эффективный для измерения экологических показателей предприятия </w:t>
      </w:r>
      <w:r w:rsidR="005F2A00">
        <w:rPr>
          <w:rFonts w:ascii="Times New Roman" w:eastAsia="Times New Roman" w:hAnsi="Times New Roman" w:cs="Times New Roman"/>
          <w:sz w:val="28"/>
          <w:szCs w:val="28"/>
        </w:rPr>
        <w:t>[105]</w:t>
      </w:r>
      <w:r>
        <w:rPr>
          <w:rFonts w:ascii="Times New Roman" w:eastAsia="Times New Roman" w:hAnsi="Times New Roman" w:cs="Times New Roman"/>
          <w:sz w:val="28"/>
          <w:szCs w:val="28"/>
        </w:rPr>
        <w:t>. Поскольку эко-эффективность относится к способности отраслей, компаний и регионов производить больше товаров и услуг с меньшими ресурсами, а также с меньшими затратами на выбросы, эко-эффективность первоначально оценивалась с помощью простых показателей соотношения, таких как ВВП над СO2, ВВП или потребление энергии на макроуровне, уровень или выход на единицу отходов на микроуровне. Эти простые соотношения могут быть легко поняты политиками и общественностью. Тем не менее, простые индикаторы измеряют экономический выход на единицу отходов и объясняют экологическую эффективность с очень ограниченной точки зрения.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целом в рамках экосистемного подхода к настоящему времени сформировался довольно большой арсенал моделей, методов и инструментов принятия управленческих решений. Наряду с перечисленными, к их числу относятся: нормативно-правовое регулирование, стандартизация, сертификация, программно-целевое планирование, учет, экологический мониторинг, экспертиза экологических проектов, экологические платежи, экологический аудит, экологическое прогнозирование, экострахование, и другие.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из известных примеров является инициатива G7 по страхованию климатических рисков InsResilience </w:t>
      </w:r>
      <w:r w:rsidR="005F2A00">
        <w:rPr>
          <w:rFonts w:ascii="Times New Roman" w:eastAsia="Times New Roman" w:hAnsi="Times New Roman" w:cs="Times New Roman"/>
          <w:sz w:val="28"/>
          <w:szCs w:val="28"/>
        </w:rPr>
        <w:t>[106]</w:t>
      </w:r>
      <w:r>
        <w:rPr>
          <w:rFonts w:ascii="Times New Roman" w:eastAsia="Times New Roman" w:hAnsi="Times New Roman" w:cs="Times New Roman"/>
          <w:sz w:val="28"/>
          <w:szCs w:val="28"/>
        </w:rPr>
        <w:t xml:space="preserve">. ООН рассматривает агрострахование как действенный инструмент управления природно-климатическими рисками. </w:t>
      </w:r>
      <w:r>
        <w:rPr>
          <w:rFonts w:ascii="Times New Roman" w:eastAsia="Times New Roman" w:hAnsi="Times New Roman" w:cs="Times New Roman"/>
          <w:sz w:val="28"/>
          <w:szCs w:val="28"/>
        </w:rPr>
        <w:lastRenderedPageBreak/>
        <w:t>Однако, сельскохозяйственное страхование имеет двоякую природу, с одной стороны, оно увеличивает скорость получения кредита фермерами, улучшает их сельскохозяйственную деятельность и максимизирует прибыль, вносит вклад безопасность доходов. Но с другой стороны, – страхование может привести к увеличению затрат и себестоимости продукции. Страхование не устраняет необходимость оказания помощи фермерам со стороны правительства при крупных стихийных бедствиях. Более подробно эти проблемы будут проанализированы далее.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Подводя итоги обзору методов, моделей и индикаторов принятия управленческих решений в рамках экосистемного подхода, следует отметить, что существует ряд ограничений и проблем, которые могут быть решены в ближайшем будущем. Один класс этих ограничений проистекает из множества источников неопределенности в индикации экосистемных услуг и их оценке, другой класс – из слабой приверженности экосистемному подходу, как в ряде развитых, так и развивающихся странах.</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pStyle w:val="2"/>
        <w:spacing w:before="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Мировой опыт применения экосистемного подхода при принятии управленческих решений (зарубежные методики и кейсы)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современную эпоху все больше стран мира обращают внимание на глобальные экологические проблемы, такие как нехватка ресурсов, загрязнение воздуха и воды, глобальное потепление и изменение климата, а также осаждение кислотных веществ на поверхности Земли, которые угрожают выживанию человека. В этом аспекте крайне важно оценить экологическое бремя для достижения целей устойчивого развития. Поэтому любая нация (регион и организация), которая стремится к устойчивому развитию, пытается применять экосистемный подход при принятии управленческих решений.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настоящему времени сформировался большой пул руководящих международных, профессиональных и национальных документов для практиков о том, как включить экосистемный подход и экосистемные услуги в политические и управленческие решения, нацеленные на различные сектора или группы заинтересованных сторон. Большая часть этих руководств и политик опубликована на специальных веб-сайтах и в специальной литературе, например, Руководство по оценке экосистемных услуг Королевского общества защиты птиц (RSPB) на участках Natura 2000; Подход Глобальной инициативы по отчетности (GRI) к отчетности по экосистемным услугам (GRI, 2011); Руководство по экосистемным услугам для нефтегазовой отрасли (IPIECA/OGP, 2011); «Лучшее политическое руководство по интеграции биологического разнообразия и экосистемных услуг в стандарты» Конвенции о биологическом разнообразии 2012 года; Руководящие принципы поддержки политики Продовольственной и сельскохозяйственной организации (ФАО) по содействию устойчивой интенсификации производства и экосистемным услугам и другие.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Особо следует отметить значение Индекса результативности экологической деятельности (The Environmental Performance Index, EPI), который предоставляет сводную информацию о состоянии устойчивости во всем </w:t>
      </w:r>
      <w:r>
        <w:rPr>
          <w:rFonts w:ascii="Times New Roman" w:eastAsia="Times New Roman" w:hAnsi="Times New Roman" w:cs="Times New Roman"/>
          <w:sz w:val="28"/>
          <w:szCs w:val="28"/>
        </w:rPr>
        <w:lastRenderedPageBreak/>
        <w:t>мире на основе данных. EPI составляется раз в 2 года Центром экологической политики и права при Йельском университете (Yale Center for Environmental Law and Policy) совместно с Колумбийским университетом и Всемирным экономическим форумом.</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Например, EPI 2020 </w:t>
      </w:r>
      <w:r w:rsidR="005F2A00">
        <w:rPr>
          <w:rFonts w:ascii="Times New Roman" w:eastAsia="Times New Roman" w:hAnsi="Times New Roman" w:cs="Times New Roman"/>
          <w:sz w:val="28"/>
          <w:szCs w:val="28"/>
        </w:rPr>
        <w:t>[107]</w:t>
      </w:r>
      <w:r>
        <w:rPr>
          <w:rFonts w:ascii="Times New Roman" w:eastAsia="Times New Roman" w:hAnsi="Times New Roman" w:cs="Times New Roman"/>
          <w:sz w:val="28"/>
          <w:szCs w:val="28"/>
        </w:rPr>
        <w:t>, используя 32 показателя эффективности по 11 категориям проблем, EPI оценил 180 стран по гигиене окружающей среды и жизнеспособности экосистем. Эти показатели дают в масштабе страны оценку того, насколько близки страны к установленным целям экологической политики. EPI предлагает систему показателей, которая выделяет лидеров и отстающих в области экологических показателей и предоставляет практические рекомендации для стран, которые стремятся к устойчивому будущему.</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Индикаторы EPI дают возможность выявлять проблемы, устанавливать цели, отслеживать тенденции, понимать результаты и выявлять лучшие практики политики. Хорошие данные и основанный на фактах анализ также могут помочь правительственным чиновникам уточнить свои политические программы, облегчить взаимодействие с ключевыми заинтересованными сторонами и максимизировать отдачу от инвестиций в охрану окружающей среды. Главное, что EPI предлагает мощный политический инструмент в поддержке усилий по достижению Целей ООН в области устойчивого развития и движению общества к устойчивому будущему.</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Общий рейтинг EPI показывает, какие страны лучше всего решают экологические проблемы, с которыми сталкивается каждая нация. Выход за пределы совокупных баллов и углубление в данные для анализа эффективности по категориям проблем, задачам политики и странам имеет большую ценность для политиков. Этот детальный взгляд и сравнительная перспектива могут помочь в понимании детерминант экологического прогресса и в уточнении политических решений </w:t>
      </w:r>
      <w:r w:rsidR="005F2A00">
        <w:rPr>
          <w:rFonts w:ascii="Times New Roman" w:eastAsia="Times New Roman" w:hAnsi="Times New Roman" w:cs="Times New Roman"/>
          <w:sz w:val="28"/>
          <w:szCs w:val="28"/>
        </w:rPr>
        <w:t>[108]</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следует из EPI 2020 </w:t>
      </w:r>
      <w:r w:rsidR="005F2A00">
        <w:rPr>
          <w:rFonts w:ascii="Times New Roman" w:eastAsia="Times New Roman" w:hAnsi="Times New Roman" w:cs="Times New Roman"/>
          <w:sz w:val="28"/>
          <w:szCs w:val="28"/>
        </w:rPr>
        <w:t>[107]</w:t>
      </w:r>
      <w:r>
        <w:rPr>
          <w:rFonts w:ascii="Times New Roman" w:eastAsia="Times New Roman" w:hAnsi="Times New Roman" w:cs="Times New Roman"/>
          <w:sz w:val="28"/>
          <w:szCs w:val="28"/>
        </w:rPr>
        <w:t>, в числе стран-лидеров экологического рейтинга (всего 180 стран) входят: Дания (82.5 баллов), Люксембург (82.3), Швейцария (81.5), Соединенное Королевство (81.3), Франция (80), Австрия (79.6), Финляндия (78.9), Швеция (78.7), Норвегия (77.7), Германия (77.2). В группе стран-аутсайдеров расположились: Гаити (27), Чад (26.7), Соломоновы Острова (26.7), Мадагаскар (26.5), Гвинея (26.4), Кот д'Ивуар (25,8), Сьерра Лионе (25.7), Афганистан (25.5), Мьянма (25.1), Либерия (22.6).</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последние два десятилетия наибольшую известность в мире получило масштабное эмпирическое исследование влияния человеческой деятельности на окружающую среду (Millenium Ecosystem Assessment, MA </w:t>
      </w:r>
      <w:r w:rsidR="005F2A00">
        <w:rPr>
          <w:rFonts w:ascii="Times New Roman" w:eastAsia="Times New Roman" w:hAnsi="Times New Roman" w:cs="Times New Roman"/>
          <w:sz w:val="28"/>
          <w:szCs w:val="28"/>
        </w:rPr>
        <w:t>[109]</w:t>
      </w:r>
      <w:r>
        <w:rPr>
          <w:rFonts w:ascii="Times New Roman" w:eastAsia="Times New Roman" w:hAnsi="Times New Roman" w:cs="Times New Roman"/>
          <w:sz w:val="28"/>
          <w:szCs w:val="28"/>
        </w:rPr>
        <w:t xml:space="preserve">), которое проводилось в 2001-2005 гг. Оценка экосистем на пороге тысячелетия была организована при участии правительств, частного сектора, неправительственных организаций и свыше 1 300 ученых для проведения комплексной оценки последствий изменения экосистем для благосостояния людей и анализа вариантов их сохранения и вклада в удовлетворение потребностей человека.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оценки, разработанная МА, предложила лицам, принимающим управленческие решения, механизмы: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определить варианты, которые помогут наилучшим образом достичь целей человеческого развития и цели устойчивости экосистем. Все страны и сообщества борются с проблемой удовлетворения растущих потребностей в еде, чистой воде, здоровье и занятости. И лица, принимающие решения в частном и государственном секторах, должны сбалансировать экономический рост и социальное развитие с необходимостью сохранения окружающей среды;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лучшего понимания компромиссов между вовлеченными в принятие решений секторами и заинтересованными сторонами по вопросам, касающимся окружающей среды. Структура МА дополняет секторальные оценки информацией о полном влиянии потенциального выбора политики в разных секторах и заинтересованными сторонами;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как совместить варианты решений с уровнем управления, где они могут быть наиболее эффективным. Управление экосистемами требует взаимодействия на всех уровнях, от местного до глобального.</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Особое внимание в МА уделено связям между экосистемными услугами и благосостоянием людей. Оценка включает полный диапазон экосистем – от относительно нетронутых, таких как природные леса, ландшафты со смешанным характером использования человеком, и экосистем, интенсивно управляемых и модифицируемых людьми, например, сельскохозяйственные угодья и городские районы.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Полная оценка взаимодействия людей и экосистем требует многоуровневого подхода, поскольку он лучше отражает многоаспектный характер принятия решений, позволяет изучить движущие силы, которые могут быть экзогенным для конкретных регионов, и обеспечивает средства изучения различного влияния изменений экосистемы, а также влияния ответных мер политики на различные регионы и группы внутри регионов.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Уже в начале 2000-х гг. стало понятно, что глобальные оценки экосистем и их услуг по определению включают обработку и оценку огромного количества и разнообразия данных. Оценка будет управляемой, только если эксперты сосредоточатся на ограниченном числе репрезентативных индикаторов экосистем и их услуг. Из-за большого веса, который имеют эти показатели, они должны быть тщательно выбранными. Характеристика «хорошего показателя» зависит от того, кто его использует и для какой цели, но три характеристики являются общими для всех целей: репрезентативность, надежность и осуществимость [117, 118].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Наиболее крупные международные неправительственные организации, занимающиеся оценкой экосистемных услуг, находятся в США (например, Forest Trends, Katoomba Group). Эти организации включают в себя представителей научно-исследовательских институтов (НИИ), правительственные организации из различных сфер промышленности из 70 стран. В 2011 году 14 крупных корпораций мира разработали «Руководство для оценки услуг экосистем корпорациями» и апробировали его в промышленных условиях </w:t>
      </w:r>
      <w:r w:rsidR="005F2A00">
        <w:rPr>
          <w:rFonts w:ascii="Times New Roman" w:eastAsia="Times New Roman" w:hAnsi="Times New Roman" w:cs="Times New Roman"/>
          <w:sz w:val="28"/>
          <w:szCs w:val="28"/>
        </w:rPr>
        <w:t>[112]</w:t>
      </w:r>
      <w:r>
        <w:rPr>
          <w:rFonts w:ascii="Times New Roman" w:eastAsia="Times New Roman" w:hAnsi="Times New Roman" w:cs="Times New Roman"/>
          <w:sz w:val="28"/>
          <w:szCs w:val="28"/>
        </w:rPr>
        <w:t xml:space="preserve">, в 2012 году завершились сплошные оценки экосистем </w:t>
      </w:r>
      <w:r>
        <w:rPr>
          <w:rFonts w:ascii="Times New Roman" w:eastAsia="Times New Roman" w:hAnsi="Times New Roman" w:cs="Times New Roman"/>
          <w:sz w:val="28"/>
          <w:szCs w:val="28"/>
        </w:rPr>
        <w:lastRenderedPageBreak/>
        <w:t xml:space="preserve">скандинавских стран с целью выявления наиболее критических для внедрения платежей в схемах рынка экоуслуг </w:t>
      </w:r>
      <w:r w:rsidR="005F2A00">
        <w:rPr>
          <w:rFonts w:ascii="Times New Roman" w:eastAsia="Times New Roman" w:hAnsi="Times New Roman" w:cs="Times New Roman"/>
          <w:sz w:val="28"/>
          <w:szCs w:val="28"/>
        </w:rPr>
        <w:t>[113]</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качестве примеров конкретных исследований по различным секторам можно привести исследовательский проект американских ученых Г.Е. Халкоса и Н.Г. Церемеса </w:t>
      </w:r>
      <w:r w:rsidR="005F2A00">
        <w:rPr>
          <w:rFonts w:ascii="Times New Roman" w:eastAsia="Times New Roman" w:hAnsi="Times New Roman" w:cs="Times New Roman"/>
          <w:sz w:val="28"/>
          <w:szCs w:val="28"/>
        </w:rPr>
        <w:t>[114]</w:t>
      </w:r>
      <w:r>
        <w:rPr>
          <w:rFonts w:ascii="Times New Roman" w:eastAsia="Times New Roman" w:hAnsi="Times New Roman" w:cs="Times New Roman"/>
          <w:sz w:val="28"/>
          <w:szCs w:val="28"/>
        </w:rPr>
        <w:t>, которые рассматривали экоэффективность на основе сравнения многолетних данных уровня загрязнения воздуха в США в 1998-2008 гг. с использованием метода DEA, которые соотносятся с параметрами численности населения и ВВП на душу населения. Непараметрический анализ указал на нелинейную связь между показателями численности населения, уровнями ВВП и экологической неэффективности штатов, где уровень экологической неэффективности в целом уменьшается с ростом населения и доходов на душу населения.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Результаты исследования Халкоса и Церемеса показали, что в основном экологическая неэффективность снижается с ростом доходов на душу населения, но есть ограничения. В частности, малые бедные штаты, как правило, экологически неэффективны, тогда как крупные штаты более эффективны независимо от уровня их дохода. В то же время, большие и богатые штаты сталкиваются с проблемами роста, что можно объяснить экологической политикой самого штата. Например, эффективность экологической политики проводимая в штате Калифорния, достигнута посредством предпринимаемых мер по регулированию.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параметров экологической эффективности в различных штатах можно было бы применить при планировании развития территорий и в Казахстане, где административные области имеют различный уровень развития, направленность и численность населения.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Особенно продвинулось вперед для интеграции информации об экосистемных услугах в процесс принятия решений Федеральное правительство США. В частности, Советом Белого дома по качеству окружающей среды в 2013 году были изданы новые принципы и требования для федеральных инвестиций в водные ресурсы, а Правила лесного планирования изданы Лесной службой США (National Forest System) в 2012 году; оба документа требуют четкого рассмотрения экосистемных услуг (Council on Environmental Quality, 2013, USFS, 2012). Кроме того, Исполнительные органы Президента США обязались выпустить новые руководящие указания, касающиеся принятия федеральных решений и экосистемных услуг, которые будут широко применяться в правительстве.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Повышение экологической эффективности рассматривалось неоднократно китайскими исследователями </w:t>
      </w:r>
      <w:r w:rsidR="005F2A00">
        <w:rPr>
          <w:rFonts w:ascii="Times New Roman" w:eastAsia="Times New Roman" w:hAnsi="Times New Roman" w:cs="Times New Roman"/>
          <w:sz w:val="28"/>
          <w:szCs w:val="28"/>
        </w:rPr>
        <w:t>[115]</w:t>
      </w:r>
      <w:r>
        <w:rPr>
          <w:rFonts w:ascii="Times New Roman" w:eastAsia="Times New Roman" w:hAnsi="Times New Roman" w:cs="Times New Roman"/>
          <w:sz w:val="28"/>
          <w:szCs w:val="28"/>
        </w:rPr>
        <w:t xml:space="preserve"> в качестве объективного и неизбежного требования на пути построения ресурсосберегающего и экологичного общества. Для измерения экологической эффективности провинций Китая в период с 1998 по 2009 годы была применена модель измерения на основе слабины (SBM) с нежелательным результатом. С помощью модели Тобита эмпирически были замерено влияние различных факторов на экологическую эффективность. В данном исследовании уровень экологической эффективности каждой из </w:t>
      </w:r>
      <w:r>
        <w:rPr>
          <w:rFonts w:ascii="Times New Roman" w:eastAsia="Times New Roman" w:hAnsi="Times New Roman" w:cs="Times New Roman"/>
          <w:sz w:val="28"/>
          <w:szCs w:val="28"/>
        </w:rPr>
        <w:lastRenderedPageBreak/>
        <w:t>провинций оценивается в зависимости от ВВП на душу населения, зависящий от иностранного капитала и торговли, осведомленности об окружающей среде и плотности населения.  В свою очередь, доля вторичной промышленности в ВВП показывает существенное негативное влияние на экологическую эффективность.</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рейтинга мирового Индекса результативности экологической деятельности в 2010 году, Китай получил 49 баллов, что соответствовало 121-е месту среди 163 стран, и означало для этой страны необходимость улучшения состояния окружающей среды как неотложной задачи (по состоянию на 2020 год EPI 37.7 баллов, т.е. ситуация значительно ухудшилась).</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основе теоретического анализа ученые отобрали факторы, влияющие на уровень экологической эффективности. Основные выводы состояли в следующем: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Во-первых, экологическая эффективность многих провинций находится на минимальном уровне с существенно снижающейся динамикой. Между каждой провинцией существует значительная разница в экологической эффективности.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Во-вторых, ВВП на душу населения определяемый зависимостью от внешнего капитала и торговли, экологическая осведомленность и плотность населения, безусловно, оказывают огромное влияние на экологическую эффективность. Соотношение вторичной промышленности к ВВП оказывает существенное негативное влияние на экологическую эффективность.</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связи с этим, для повышения экологической эффективности было предложено поменять режим экономического роста, уделяя больше внимание развитию окружающей среды.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В-третьих, некоторые наиболее развитые крупные современные города, такие как Пекин, Тяньцзинь, Шанхай, Ляонин и Юньнань, должны развиваться, чтобы построить ресурсосберегающее и экологически чистое общество.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В-четвертых, необходимо способствовать выравниванию обязательного и среднего образования и повысить уровень общего образования для повышения информированности населения об окружающей среде.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Австралии (EPI 74.9) исследователи </w:t>
      </w:r>
      <w:r w:rsidR="005F2A00">
        <w:rPr>
          <w:rFonts w:ascii="Times New Roman" w:eastAsia="Times New Roman" w:hAnsi="Times New Roman" w:cs="Times New Roman"/>
          <w:sz w:val="28"/>
          <w:szCs w:val="28"/>
        </w:rPr>
        <w:t>[116]</w:t>
      </w:r>
      <w:r>
        <w:rPr>
          <w:rFonts w:ascii="Times New Roman" w:eastAsia="Times New Roman" w:hAnsi="Times New Roman" w:cs="Times New Roman"/>
          <w:sz w:val="28"/>
          <w:szCs w:val="28"/>
        </w:rPr>
        <w:t xml:space="preserve"> проанализировали описание проектов, ориентированных на управление природными ресурсами, утвержденных для финансирования национальным правительством Австралии в 2011-2015 годах, содержащихся в его базе данных MERIT (Инструмент для мониторинга, оценки, отчетности и улучшения, https://fieldcapture.ala.org. .au/). Первоначальное исследование охватывало широкий спектр сотен специалистов и управляющих земельными участками в Австралии, от небольших местных организаций на добровольных началах до крупных НПО национального масштаба, а также от частных землевладельцев до правительственных учреждений, занимающихся управлением природными ресурсами. Для лучшего понимания использования аргументов экосистемных услуг в локальном и региональном масштабе, исследователи провели полуструктурированные интервью с 30 управляющими земельными участками, которые занимались восстановительными работами на всей территории Австралии. Ученые провели </w:t>
      </w:r>
      <w:r>
        <w:rPr>
          <w:rFonts w:ascii="Times New Roman" w:eastAsia="Times New Roman" w:hAnsi="Times New Roman" w:cs="Times New Roman"/>
          <w:sz w:val="28"/>
          <w:szCs w:val="28"/>
        </w:rPr>
        <w:lastRenderedPageBreak/>
        <w:t xml:space="preserve">также собеседование с руководителями среднего звена, которые имели полномочия принимать решения на уровне реализации проекта.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поэтапного обследования было установлено: две трети завершенных проектов и 56% проектов, получивших финансирование от национального правительства, прямо включали цели экосистемных услуг в дополнение к целям в области биоразнообразия. Среди населения 41% выбрали экосистемные услуги в качестве единственного наиболее предпочтительного результата восстановления; цели менеджеров и общественные предпочтения придают большее значение регулирующим услугам (47 и 40% соответственно), чем культурным услугам (34% в обоих), но национальные приоритеты финансирования относились к регулирующим и культурным услугам почти одинаково (45 и 46%) соответственно).</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Наиболее предпочтительным конкретным экосистемным сервисом в целом был социальный (работа/образование), который являлся наиболее предпочтительным для 28% населения, упоминался в 30% описаний финансируемых проектов и занимал первое место в 24% проектов менеджеров.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Довольно развитым в рассматриваемой сфере является законодательство Евросоюза. Законодательство ЕС о горизонтальной окружающей среде состоит из 5 основных директив: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Директива Совета 85/337/EEC от 27 июня 1985 года об оценке воздействия некоторых государственных и частных проектов на окружающую среду.</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Директива Совета 91/692/EEC от 23 декабря 1991 года о стандартизации и рационализации отчетов о выполнении определенных Директив, касающихся окружающей среды.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Директива 2001/42/EC Европейского парламента и Совета от 27 июня 2001 года об оценке воздействия определенных планов и программ на окружающую среду.</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Директива 2003/4/EC Европейского парламента и Совета от 28 января 2003 года о доступе общественности к экологической информации и отмене Директивы Совета 90/313/EEC.</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Директива 2003/35/EC Европейского парламента и Совета от 26 мая 2003 года, предусматривающая участие общественности в разработке определенных планов и программ, касающихся окружающей среды, и внесение поправок в отношении участия общественности и Совета по доступу к правосудию.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2018 году основным элементом Стратегии ЕС в области биоразнообразия стало картирование, оценка экосистем и их услуг. Для принятия обоснованных управленческих решений было рекомендовано использовать документ «Действие 5», который установил требования для базы знаний в масштабах ЕС, призванной стать: источником данных для развития зеленой инфраструктуры Европы; ресурсом для определения областей по восстановлению экосистем; базовым уровень оценки. В ответ на эти требования была создана методология ESMERALDA (Enhancing ecoSysteM sERvices mApping for poLicy and Decision mAking), обеспечивающая блоки для </w:t>
      </w:r>
      <w:r>
        <w:rPr>
          <w:rFonts w:ascii="Times New Roman" w:eastAsia="Times New Roman" w:hAnsi="Times New Roman" w:cs="Times New Roman"/>
          <w:sz w:val="28"/>
          <w:szCs w:val="28"/>
        </w:rPr>
        <w:lastRenderedPageBreak/>
        <w:t xml:space="preserve">общеевропейских и региональных оценок. Методология основывается на существующих экопроектах и базах данных (БД), в том числе MAES, OpenNESS, OPERA, национальные исследования), Оценка тысячелетия и ТЕЕВ. ESMERALDA – это </w:t>
      </w:r>
      <w:r w:rsidR="00037F18">
        <w:rPr>
          <w:rFonts w:ascii="Times New Roman" w:eastAsia="Times New Roman" w:hAnsi="Times New Roman" w:cs="Times New Roman"/>
          <w:sz w:val="28"/>
          <w:szCs w:val="28"/>
        </w:rPr>
        <w:t>гибкая методология,</w:t>
      </w:r>
      <w:r>
        <w:rPr>
          <w:rFonts w:ascii="Times New Roman" w:eastAsia="Times New Roman" w:hAnsi="Times New Roman" w:cs="Times New Roman"/>
          <w:sz w:val="28"/>
          <w:szCs w:val="28"/>
        </w:rPr>
        <w:t xml:space="preserve"> предлагающая интегрировать биофизические, социальные и экономические карты, а также методы оценки экосистемных услуг </w:t>
      </w:r>
      <w:r w:rsidR="005F2A00">
        <w:rPr>
          <w:rFonts w:ascii="Times New Roman" w:eastAsia="Times New Roman" w:hAnsi="Times New Roman" w:cs="Times New Roman"/>
          <w:sz w:val="28"/>
          <w:szCs w:val="28"/>
        </w:rPr>
        <w:t>[117]</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Принимая во внимание множество аспектов, связанных с поставками и спросом на экосистемные услуги, ESMERALDA поддерживает идею, что любая оценка ESS требует интегрированной оценки экосистемы, которая учитывает три измерения (биофизическое, социальное и экономическое), различные типы картирования и подходы к оценке. Исследователи из ЕС считают, что интегрированная система оценки экосистемы должна давать четкое представление о взаимозависимостях между несколькими измерениями, связанными с различными экосистемными услугами. Например, биофизическое измерение, т.е. способность экосистемы к услугам питания, определяет диапазон возможных применений со стороны общества, что также влияет на его социальные и экономические ценности. Социальные ценности также могут иметь влияют на экономические ценности, потому что этические и моральные мотивы определяют «полезность», которую человек получает от определенной услуги </w:t>
      </w:r>
      <w:r w:rsidR="005F2A00">
        <w:rPr>
          <w:rFonts w:ascii="Times New Roman" w:eastAsia="Times New Roman" w:hAnsi="Times New Roman" w:cs="Times New Roman"/>
          <w:sz w:val="28"/>
          <w:szCs w:val="28"/>
        </w:rPr>
        <w:t>[118]</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отмечалось выше, одним из значимых факторов для принятия управленческих решений при экосистемном управлении является наличие актуальной и достоверной, т.е. качественной информация. К этому же подводит суть наступающей «эпохи сетевого интеллекта», которая состоит «не только в сетевых технологиях... но во взаимодействии людей посредством сетевых технологий», которые «объединяют интеллект, знания и творчество для совершения прорыва в создании общественного капитала и благополучия» </w:t>
      </w:r>
      <w:r w:rsidR="005F2A00">
        <w:rPr>
          <w:rFonts w:ascii="Times New Roman" w:eastAsia="Times New Roman" w:hAnsi="Times New Roman" w:cs="Times New Roman"/>
          <w:sz w:val="28"/>
          <w:szCs w:val="28"/>
        </w:rPr>
        <w:t>[119]</w:t>
      </w:r>
      <w:r>
        <w:rPr>
          <w:rFonts w:ascii="Times New Roman" w:eastAsia="Times New Roman" w:hAnsi="Times New Roman" w:cs="Times New Roman"/>
          <w:sz w:val="28"/>
          <w:szCs w:val="28"/>
        </w:rPr>
        <w:t xml:space="preserve">.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W.C.C. Wright с коллегами </w:t>
      </w:r>
      <w:r w:rsidR="005F2A00">
        <w:rPr>
          <w:rFonts w:ascii="Times New Roman" w:eastAsia="Times New Roman" w:hAnsi="Times New Roman" w:cs="Times New Roman"/>
          <w:sz w:val="28"/>
          <w:szCs w:val="28"/>
        </w:rPr>
        <w:t>[120]</w:t>
      </w:r>
      <w:r>
        <w:rPr>
          <w:rFonts w:ascii="Times New Roman" w:eastAsia="Times New Roman" w:hAnsi="Times New Roman" w:cs="Times New Roman"/>
          <w:sz w:val="28"/>
          <w:szCs w:val="28"/>
        </w:rPr>
        <w:t xml:space="preserve"> оценили различные подходы к представлению информации об экосистемных услугах. Ученые сфокусировали свой поиск на прикладных и тематических исследованиях, а не на теоретических дискуссиях. Поиск проводился с использованием Google Scholar и Web of Science при сочетании поисковых терминов: экосистемные услуги, представление, информация, знания и ценности. Цель исследования состояла не в том, чтобы создать полный список исследований, которые генерируют или представляют информацию об ESS, а в том, чтобы создать список форматов представления, которые потенциально могли быть полезны для передачи информации ESS лицам, принимающим решения. Оказалось, что наиболее важным является качество информации, на основе которых правительство принимает управленческие решения.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 значимости больших данных информации говорит в свою очередь пример Великобритании (EPI 81.3), правительство которой в 2020 году изменило подходы к оценке экосистемных услуг и разработало «Guidance for policy and decision makers to help them consider the value of a natural capital approach» </w:t>
      </w:r>
      <w:r>
        <w:rPr>
          <w:rFonts w:ascii="Times New Roman" w:eastAsia="Times New Roman" w:hAnsi="Times New Roman" w:cs="Times New Roman"/>
          <w:sz w:val="28"/>
          <w:szCs w:val="28"/>
        </w:rPr>
        <w:lastRenderedPageBreak/>
        <w:t>(Руководство для политиков и лиц, принимающих решения, чтобы помочь им рассмотреть значение подхода природного капитала).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Подход с использованием природного капитала к политике и принятию управленческих решений учитывает ценность природной среды для людей и экономики. «Подход с использованием природного капитала» (ENCA) - это данные, рекомендации и инструменты, которые помогут понять природный капитал. ENCA стремится: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 созданию потенциала среди пользователей для оценки природной среды путем предоставления исчерпывающей информации и ресурсов для сокращения расходов на поиск для аналитиков и лиц, принимающих решения;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определить новые данные и области для дальнейшего развития.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базе данных активов ENCA собраны более 100 британских источников данных, инструментов и исследований по 8 категориям активов природного капитала:</w:t>
      </w:r>
    </w:p>
    <w:p w:rsidR="00EA72C7" w:rsidRDefault="00EA72C7" w:rsidP="00EA72C7">
      <w:pPr>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городской;</w:t>
      </w:r>
    </w:p>
    <w:p w:rsidR="00EA72C7" w:rsidRDefault="00EA72C7" w:rsidP="00EA72C7">
      <w:pPr>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огороженные поля;</w:t>
      </w:r>
    </w:p>
    <w:p w:rsidR="00EA72C7" w:rsidRDefault="00EA72C7" w:rsidP="00EA72C7">
      <w:pPr>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горы, болота и пустоши;</w:t>
      </w:r>
    </w:p>
    <w:p w:rsidR="00EA72C7" w:rsidRDefault="00EA72C7" w:rsidP="00EA72C7">
      <w:pPr>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пресная вода;</w:t>
      </w:r>
    </w:p>
    <w:p w:rsidR="00EA72C7" w:rsidRDefault="00EA72C7" w:rsidP="00EA72C7">
      <w:pPr>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 лесной;</w:t>
      </w:r>
    </w:p>
    <w:p w:rsidR="00EA72C7" w:rsidRDefault="00EA72C7" w:rsidP="00EA72C7">
      <w:pPr>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 береговой;</w:t>
      </w:r>
    </w:p>
    <w:p w:rsidR="00EA72C7" w:rsidRDefault="00EA72C7" w:rsidP="00EA72C7">
      <w:pPr>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 морской актив;</w:t>
      </w:r>
    </w:p>
    <w:p w:rsidR="00EA72C7" w:rsidRDefault="00EA72C7" w:rsidP="00EA72C7">
      <w:pPr>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 полуприродный луг.</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Ранее S. Raum </w:t>
      </w:r>
      <w:r w:rsidR="005F2A00">
        <w:rPr>
          <w:rFonts w:ascii="Times New Roman" w:eastAsia="Times New Roman" w:hAnsi="Times New Roman" w:cs="Times New Roman"/>
          <w:sz w:val="28"/>
          <w:szCs w:val="28"/>
        </w:rPr>
        <w:t>[121]</w:t>
      </w:r>
      <w:r>
        <w:rPr>
          <w:rFonts w:ascii="Times New Roman" w:eastAsia="Times New Roman" w:hAnsi="Times New Roman" w:cs="Times New Roman"/>
          <w:sz w:val="28"/>
          <w:szCs w:val="28"/>
        </w:rPr>
        <w:t xml:space="preserve"> попыталась выяснить, как применяется экосистемный подход в лесной политике Великобритании. Эмпирический анализ, предпринятый автором, основывался на текстовых данных, полученных в ходе интервью, проведенных в период с апреля 2013 года по июль 2014 года. Эксперты по лесному хозяйству и консервации Великобритании были отобраны с помощью комбинированного целенаправленного подхода и метода выборки, и опрошены с помощью полуструктурированных интервью. Цель заключалась в том, чтобы найти респондентов, которые не только хорошо понимали подходы к лесной политике в Великобритании, но и разбирались в сути экосистемного подхода и концепции экосистемных услуг. Собеседование проводилось с респондентами из числа государственных лесников-ученых, респондентов из неправительственных природоохранных организаций и частных лесных организаций. Стенограммы интервью были проанализированы с помощью ручных аннотированных кодов, поиска ключевых слов и представлены с помощью качественного тематического анализа. Анализ интервью показал, что в британском лесном хозяйстве экосистемный подход и концепция экосистемных услуг не являются чем-то принципиально новым, поскольку первый рассматривается как эквивалент устойчивого лесопользования, а второй понимается как расширение идеи многофункционального лесного хозяйства. Тем не менее, касаясь потенциально трансформирующего характера его общего применения в лесном хозяйстве, результаты исследования подтвердили формирующийся взгляд на устоявшуюся концепцию устойчивого </w:t>
      </w:r>
      <w:r>
        <w:rPr>
          <w:rFonts w:ascii="Times New Roman" w:eastAsia="Times New Roman" w:hAnsi="Times New Roman" w:cs="Times New Roman"/>
          <w:sz w:val="28"/>
          <w:szCs w:val="28"/>
        </w:rPr>
        <w:lastRenderedPageBreak/>
        <w:t xml:space="preserve">лесопользования, которая потенциально может быть совмещена с понятием экосистемных услуг. Устойчивое управление лесами продолжает формировать взаимопонимание среди широкого круга заинтересованных сторон. Но существует потребность в создании более четких концепций, определений и однозначных принципов для политического подхода, чтобы гарантировать, что его реализация принесет ожидаемые результаты.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Особый интерес представляет практика использования экосистемного подхода при принятии управленческих решений в странах Содружества Независимых Государств (СНГ).</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Состоянию окружающей среды во многих странах СНГ долгие годы уделялось крайне мало внимания. Например, в России, несмотря на развитое экологическое законодательство, на практике оно почти «не работает», единая база данных о состоянии экологии еще находятся в стадии формирования, оценка экосистемных услуг не является обязательной. При этом, Россия (EPI 50.5) входит в число стран с неблагоприятной экологической обстановкой. В отдельных регионах уровень загрязнения воздуха, воды и почв значительно превосходит предельно-допустимые показатели. Наиболее сложная экологическая обстановка сложилась в Иркутской, Московской, Нижегородской, Оренбургской, Свердловской, Тульской и Челябинской областях, а также в Республике Саха (Якутия), Красноярском и Забайкальском краях.</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Тяжелейшая ситуация многие годы наблюдается в связи с вырубкой лесов, лесными пожарами, браконьерством, неэффективным производством, загрязнением воды и почвы, радиацией. Например, в Иркутской и других областях проводится законная и незаконная массовая вырубка лесов, из-за чего ежегодно вырубается около 1,4 млн. га. Деревья уничтожаются во время строительства и добычи полезных ископаемых.</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настоящему времени проведен ряд глубоких исследований, в которых приведены убедительные доводы, что интенсивное развитие нефтегазовой отрасли и транспортировка углеводородов неизбежно влекут загрязнение моря нефтью и нефтепродуктами. Большинство ученых убеждены, что современный уровень развития технических средств и технологий в России для бурения и нефтегазодобычи в целом не гарантирует безаварийную работу даже в наиболее изученных и освоенных условиях суши. Особого внимания заслуживают анализ и мониторинг состояния многих десятков ликвидированных и законсервированных скважин </w:t>
      </w:r>
      <w:r w:rsidR="005F2A00">
        <w:rPr>
          <w:rFonts w:ascii="Times New Roman" w:eastAsia="Times New Roman" w:hAnsi="Times New Roman" w:cs="Times New Roman"/>
          <w:sz w:val="28"/>
          <w:szCs w:val="28"/>
        </w:rPr>
        <w:t>[122]</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Особая проблема – разработка углеводородных ресурсов в Арктике.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Располагая в арктических районах уникальной сырьевой базой для развития нефтегазохимии, Россия не имеет крупных систем сбора и транспорта углеводородных газов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2</m:t>
            </m:r>
          </m:sub>
        </m:sSub>
      </m:oMath>
      <w:r>
        <w:rPr>
          <w:rFonts w:ascii="Times New Roman" w:eastAsia="Times New Roman" w:hAnsi="Times New Roman" w:cs="Times New Roman"/>
          <w:sz w:val="28"/>
          <w:szCs w:val="28"/>
        </w:rPr>
        <w:t>-</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4</m:t>
            </m:r>
          </m:sub>
        </m:sSub>
      </m:oMath>
      <w:r>
        <w:rPr>
          <w:rFonts w:ascii="Times New Roman" w:eastAsia="Times New Roman" w:hAnsi="Times New Roman" w:cs="Times New Roman"/>
          <w:sz w:val="28"/>
          <w:szCs w:val="28"/>
        </w:rPr>
        <w:t xml:space="preserve">, не обладает оптимальными по используемому сырью (нафта вместо углеводородных газов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2</m:t>
            </m:r>
          </m:sub>
        </m:sSub>
      </m:oMath>
      <w:r>
        <w:rPr>
          <w:rFonts w:ascii="Times New Roman" w:eastAsia="Times New Roman" w:hAnsi="Times New Roman" w:cs="Times New Roman"/>
          <w:sz w:val="28"/>
          <w:szCs w:val="28"/>
        </w:rPr>
        <w:t>-</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4</m:t>
            </m:r>
          </m:sub>
        </m:sSub>
      </m:oMath>
      <w:r>
        <w:rPr>
          <w:rFonts w:ascii="Times New Roman" w:eastAsia="Times New Roman" w:hAnsi="Times New Roman" w:cs="Times New Roman"/>
          <w:sz w:val="28"/>
          <w:szCs w:val="28"/>
        </w:rPr>
        <w:t>) нефтегазохимическими производствами, значительная часть сырья сжигается. Тем самым наносится вред окружающей среде, сопровождаемый к тому же огромными экономическими потерями.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Надежность технологического оборудования и соблюдение природоохранных мероприятий существенно снижают вероятность возникновения опасных ситуаций. В тоже время эксперты признают, что техногенные геохимические потоки, формирующиеся в окружающей среде при разработке месторождений нефти, – объективный процесс, исключить который практически невозможно </w:t>
      </w:r>
      <w:r w:rsidR="005F2A00">
        <w:rPr>
          <w:rFonts w:ascii="Times New Roman" w:eastAsia="Times New Roman" w:hAnsi="Times New Roman" w:cs="Times New Roman"/>
          <w:sz w:val="28"/>
          <w:szCs w:val="28"/>
        </w:rPr>
        <w:t>[123</w:t>
      </w:r>
      <w:r>
        <w:rPr>
          <w:rFonts w:ascii="Times New Roman" w:eastAsia="Times New Roman" w:hAnsi="Times New Roman" w:cs="Times New Roman"/>
          <w:sz w:val="28"/>
          <w:szCs w:val="28"/>
        </w:rPr>
        <w:t>].</w:t>
      </w:r>
      <w:r>
        <w:rPr>
          <w:rFonts w:ascii="Times New Roman" w:eastAsia="Times New Roman" w:hAnsi="Times New Roman" w:cs="Times New Roman"/>
        </w:rPr>
        <w:t xml:space="preserve"> </w:t>
      </w:r>
      <w:r>
        <w:rPr>
          <w:rFonts w:ascii="Times New Roman" w:eastAsia="Times New Roman" w:hAnsi="Times New Roman" w:cs="Times New Roman"/>
          <w:sz w:val="28"/>
          <w:szCs w:val="28"/>
        </w:rPr>
        <w:t xml:space="preserve">Широко распространено мнение, что буровые или транспортировочные аварии в Арктике очень трудно уладить. Соответственно, и последствия для окружающей среды могут быть катастрофическими </w:t>
      </w:r>
      <w:r w:rsidR="005F2A00">
        <w:rPr>
          <w:rFonts w:ascii="Times New Roman" w:eastAsia="Times New Roman" w:hAnsi="Times New Roman" w:cs="Times New Roman"/>
          <w:sz w:val="28"/>
          <w:szCs w:val="28"/>
        </w:rPr>
        <w:t>[124</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Уже сейчас строительство дорог и трубопроводов в российской тундре разрушает поверхностный слой, который восстановить практически невозможно. Серьезной проблемой населенных пунктов Арктики и предприятий является утилизация промышленных отходов и отходов жизнедеятельности человека </w:t>
      </w:r>
      <w:r w:rsidR="005F2A00">
        <w:rPr>
          <w:rFonts w:ascii="Times New Roman" w:eastAsia="Times New Roman" w:hAnsi="Times New Roman" w:cs="Times New Roman"/>
          <w:sz w:val="28"/>
          <w:szCs w:val="28"/>
        </w:rPr>
        <w:t>[125</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Несмотря на сложную экологическую обстановку, масштабных эмпирических исследований экосистемных услуг и эко-эффективности в целях принятия управленческих решений в России не проводилось ни разу, в основном российские исследователи сосредоточены на общих теоретических вопросах и секторальных оценках в региональном аспекте. Так, С.В. Ратнер провела оценки сравнительной комплексной эколого-экономической эффективности региональных экономических систем (РЭС). Статический случай был рассмотрен в работе </w:t>
      </w:r>
      <w:r w:rsidR="005F2A00">
        <w:rPr>
          <w:rFonts w:ascii="Times New Roman" w:eastAsia="Times New Roman" w:hAnsi="Times New Roman" w:cs="Times New Roman"/>
          <w:sz w:val="28"/>
          <w:szCs w:val="28"/>
        </w:rPr>
        <w:t>[126</w:t>
      </w:r>
      <w:r>
        <w:rPr>
          <w:rFonts w:ascii="Times New Roman" w:eastAsia="Times New Roman" w:hAnsi="Times New Roman" w:cs="Times New Roman"/>
          <w:sz w:val="28"/>
          <w:szCs w:val="28"/>
        </w:rPr>
        <w:t>], где в качестве эффективных (в контексте концепции устойчивого развития) признаны регионы, производящие максимальные полезные экономические и социальные эффекты (выраженные как ВРП и количество населения) при минимальных объемах негативного воздействия на окружающую среду (выбросах в атмосферу, водные объекты и загрязнение почв).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более позднем исследовании С.В. Ратнер </w:t>
      </w:r>
      <w:r w:rsidR="005F2A00">
        <w:rPr>
          <w:rFonts w:ascii="Times New Roman" w:eastAsia="Times New Roman" w:hAnsi="Times New Roman" w:cs="Times New Roman"/>
          <w:sz w:val="28"/>
          <w:szCs w:val="28"/>
        </w:rPr>
        <w:t>[127</w:t>
      </w:r>
      <w:r>
        <w:rPr>
          <w:rFonts w:ascii="Times New Roman" w:eastAsia="Times New Roman" w:hAnsi="Times New Roman" w:cs="Times New Roman"/>
          <w:sz w:val="28"/>
          <w:szCs w:val="28"/>
        </w:rPr>
        <w:t xml:space="preserve">] задача мониторинга эффективности РЭС, но уже в динамике, решалась с использованием метода «window analysis» </w:t>
      </w:r>
      <w:r w:rsidR="005F2A00">
        <w:rPr>
          <w:rFonts w:ascii="Times New Roman" w:eastAsia="Times New Roman" w:hAnsi="Times New Roman" w:cs="Times New Roman"/>
          <w:sz w:val="28"/>
          <w:szCs w:val="28"/>
        </w:rPr>
        <w:t>[128</w:t>
      </w:r>
      <w:r>
        <w:rPr>
          <w:rFonts w:ascii="Times New Roman" w:eastAsia="Times New Roman" w:hAnsi="Times New Roman" w:cs="Times New Roman"/>
          <w:sz w:val="28"/>
          <w:szCs w:val="28"/>
        </w:rPr>
        <w:t xml:space="preserve">], суть которого близка к методу скользящего среднего. Идея метода состоит в выборе окна наблюдения для каждого производственного объекта определенной ширины w (например, логично взять w=4, если данные для каждого производственного объекта представлены поквартально) тремя способами: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простым расчетом коэффициентов эффективности для каждой РЭС в течение периода (2010-2014);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расчетом значений индекса Малкмвиста для каждой РЭС в периоды 2010-2011 гг., 2011-2012 гг. и т.д.;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расчетом коэффициентов эффективности для каждой РЭС по методу окна.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РЭС рассматривалась в исследовании Ратнер как объект, на вход которого подаются ресурсы (энергия, сырье, труд, капитал и т.д.), а на выходе получается экономический результат, который может быть измерен такими показателями, как ВРП, валовая добавленная стоимость (ВДС), уровень дохода населения и т.д. </w:t>
      </w:r>
      <w:r>
        <w:rPr>
          <w:rFonts w:ascii="Times New Roman" w:eastAsia="Times New Roman" w:hAnsi="Times New Roman" w:cs="Times New Roman"/>
          <w:sz w:val="28"/>
          <w:szCs w:val="28"/>
        </w:rPr>
        <w:lastRenderedPageBreak/>
        <w:t>Кроме того, на выходе каждого объекта образуются негативные экологические эффекты как неизбежный результат хозяйственной деятельности человека – выбросы загрязняющих веществ в атмосферу, забор природных вод для нужд экономики, твердые отходы, сбросы недостаточно очищенных сточных вод.</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отличие от простого решения не связанных друг с другом задач оценки сравнительной эффективности РЭС в каждой отдельной точке исследуемого периода, метод окна позволил Ратнер выявить динамику эффективности, связанную со сдвигом границ эффективности всего множества рассматриваемых объектов, обусловленную, как правило, внедрением технологических эко-инноваций (наилучших доступных технологий производства) или изменением структуры экономики региона.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большинстве источников, посвященных изучению особенностей динамических задач анализа среды функционирования, подчеркивается тот факт, что изменение значений меры эффективности производственного объекта в течение наблюдаемого периода времени может быть обусловлено, как непосредственно изменением его производительности, так и смещением границы эффективности, вызванного изменениями в производительности других производственных объектов референтного множества </w:t>
      </w:r>
      <w:r w:rsidR="005F2A00">
        <w:rPr>
          <w:rFonts w:ascii="Times New Roman" w:eastAsia="Times New Roman" w:hAnsi="Times New Roman" w:cs="Times New Roman"/>
          <w:sz w:val="28"/>
          <w:szCs w:val="28"/>
        </w:rPr>
        <w:t>[129</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Есть проекты оценки экосистемных услуг, осуществленные на Камчатке, в Алтайском крае, на озере Байкал, в центральных областях и Северо-Западе России. В 2017 г. Президент России утвердил перечень поручений по итогам Госсовета по вопросу «Об экологическом развитии РФ в интересах будущих поколений» </w:t>
      </w:r>
      <w:r w:rsidR="005F2A00">
        <w:rPr>
          <w:rFonts w:ascii="Times New Roman" w:eastAsia="Times New Roman" w:hAnsi="Times New Roman" w:cs="Times New Roman"/>
          <w:sz w:val="28"/>
          <w:szCs w:val="28"/>
        </w:rPr>
        <w:t>[130</w:t>
      </w:r>
      <w:r>
        <w:rPr>
          <w:rFonts w:ascii="Times New Roman" w:eastAsia="Times New Roman" w:hAnsi="Times New Roman" w:cs="Times New Roman"/>
          <w:sz w:val="28"/>
          <w:szCs w:val="28"/>
        </w:rPr>
        <w:t xml:space="preserve">], одно из них – «разработать и утвердить национальную методику оценки способности всех типов лесов, водно-болотных угодий и степей к поглощению диоксида углерода; провести расчеты способности экосистем регионов к его поглощению».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на практике экономическая оценка экосистемных услуг экономическими субъектами проводится редко. Вместе с тем, есть понимание, что такая оценка необходима для решения многих эколого-экономических проблем: экономического обоснования альтернатив развития территории; обоснование дополнительных затрат в проектах (программах) на природоохранные мероприятия; определения приоритетности и ранжирования инвестиций в использование и охрану экосистем; предоставления платежей, кредитов, займов, грантов для сохранения экосистем и их услуг [120, с. 25-38].</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Некоторые страны СНГ развивают сотрудничество с ЕС в сфере экологической информации. С 1 февраля 2016 года Европейское агентство по окружающей среде приступило к реализации второго этапа сотрудничества СЕИС с восточными соседями. Проект ENI SEIS II East («Осуществление принципов и практики Общей Системы Экологической Информации в странах Восточного партнерства»), рассчитанный на 4 года, охватывает Армению, Азербайджан, Беларусь, Грузию, Молдову и Украину. Этот проект опирается на сотрудничество, созданное в ходе проекта ENPISEIS («На пути к Общей Системе Экологической Информации в Европейском соседстве»).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Несмотря на сложную экологическую обстановку, определенные шаги в этом направлении уже сделаны в Грузии (EPI 41.3). Грузия отличается богатым биоразнообразием. Однако, сельскохозяйственное производство, являющееся одним из основных секторов национальной экономики, постоянно растет. Для сохранения уникальной флоры и фауны, достижения целей устойчивого развития правительство республики своими внутренними ресурсами с поддержкой международных донорских организаций сделало следующее: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страна взяла на себя обязательства дальнейшего развития системы управления экологической информацией (EIM) и системы мониторинга;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создано Национальное агентство по окружающей среде, ответственное за мониторинг окружающей среды и сбор экологических данных;</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создан Центр экологической информации и образования, ответственный за распространение экологических знаний в обществе;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принят ряд экологических законов.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Грузии действует Национальная стратегия и План действий по сохранению биоразнообразия на 2014-2020 гг. (определяет стратегию защиты и рационального использования биоразнообразия и меры, разработанные на 2014-2020 годы) и Вторая национальная программа действий по борьбе с опустыниванием на 2014-2022 гг.</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 не менее, в грузинских законах и подзаконных актах не сформулированы четкие требования к министерствам и ведомствам в отношении конкретной экологической информации, которую они должны собирать, обрабатывать и распространять. Необходимо создание наборов систем индикаторов, гармонизированные/сходящиеся с международными стандартами, особенно ЕС, для каждой природоохранной отрасли (вода, воздух, опустынивание, лесное хозяйство и т.д.), имеющей первостепенное значение для надлежащего функционирования системы EIM.</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 один из статутов, имеющих отношение к сбору статистических данных в муниципалитетах Грузии, не отражает обязанность местных властей содействовать сбору, обработке и распространению экологических данных.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данный момент в Грузии существует относительно большая группа организаций гражданского общества, занимающихся природоохранной деятельностью. Они играют важную роль в информировании широкой общественности, повышении осведомленности и экологическом консультировании. Многие из них являются аналитическими центрами с достаточно высокой пропускной способностью и многолетним опытом работы. Они собирают информацию от правительственных учреждений, исследовательских организаций, экономических операторов и т.д.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Перспективным документом для Республики Грузия является Проект «Гармонизация управления информацией для улучшения знаний и мониторинга глобальной окружающей среды в Грузии», инициированный Министерством окружающей среды и природных ресурсов. Цель проекта – поддержать создание и развитие системы управления и мониторинга экологических знаний в Грузии (Приложение 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Дальше всех среди стран СНГ на пути практической оценки экосистемных услуг продвинулась Республика Беларусь (EPI 53.0), где на государственном уровне при поддержке ЕС осуществляется поэтапный переход к «зеленой экономике».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2011 году заказник «Озеры» был определен как «перспективное место» для добычи торфа. Однако учеными Национальной академии наук Беларуси был проведен расчет стоимостной оценки ЭУ. В результате стоимость экосистемных услуг была оценена в $84,8 млн. В случае реализации сценария вывода земель под торфодобычу стоимость по конечной продукции составила бы $40,3 млн. Разница между двумя сценария $44,5 млн. </w:t>
      </w:r>
      <w:r w:rsidR="005F2A00">
        <w:rPr>
          <w:rFonts w:ascii="Times New Roman" w:eastAsia="Times New Roman" w:hAnsi="Times New Roman" w:cs="Times New Roman"/>
          <w:sz w:val="28"/>
          <w:szCs w:val="28"/>
        </w:rPr>
        <w:t>[131</w:t>
      </w:r>
      <w:r>
        <w:rPr>
          <w:rFonts w:ascii="Times New Roman" w:eastAsia="Times New Roman" w:hAnsi="Times New Roman" w:cs="Times New Roman"/>
          <w:sz w:val="28"/>
          <w:szCs w:val="28"/>
        </w:rPr>
        <w:t xml:space="preserve">].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Значительная часть территория Беларуси когда-то была покрыта торфяными болотами. С годами 2/3 из них оказались осушенными и трансформированными в сельскохозяйственные угодья, что привело к сокращению биоразнообразия и нарушению среды обитания биологических видов. В 2016 году группа белорусских исследователей </w:t>
      </w:r>
      <w:r w:rsidR="005F2A00">
        <w:rPr>
          <w:rFonts w:ascii="Times New Roman" w:eastAsia="Times New Roman" w:hAnsi="Times New Roman" w:cs="Times New Roman"/>
          <w:sz w:val="28"/>
          <w:szCs w:val="28"/>
        </w:rPr>
        <w:t>[132</w:t>
      </w:r>
      <w:r>
        <w:rPr>
          <w:rFonts w:ascii="Times New Roman" w:eastAsia="Times New Roman" w:hAnsi="Times New Roman" w:cs="Times New Roman"/>
          <w:sz w:val="28"/>
          <w:szCs w:val="28"/>
        </w:rPr>
        <w:t xml:space="preserve">] провела интегральную оценку болотно-озерного комплекса «Ельня» расположенного в Витебской области. Общая площадь этой ООПТ составляет более 25 тыс. га. Он является одним из древнейших памятников ледниковой эпохи, самым большим в Беларуси и одним из крупнейших на Евразийском материке. В соответствии с Директивой Европейского союза по местообитаниям (92/43/EEC Habitate Directive) 75,2% экосистем лесоболотного комплекса относится к охраняемым в Западной Европе. Наибольшую угрозу для функционирования природных экосистем заказника «Ельня» имеют пожары, которые уже уничтожили значительную часть лесного массива, в связи с чем, возникла задача его восстановления.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Стоимостная оценка экосистемных услуг проектной территории и всего болота проводилась в соответствии с Техническим Кодексом установившейся Практики (ТКП) 17.02-10-2012 (02120) </w:t>
      </w:r>
      <w:r w:rsidR="005F2A00">
        <w:rPr>
          <w:rFonts w:ascii="Times New Roman" w:eastAsia="Times New Roman" w:hAnsi="Times New Roman" w:cs="Times New Roman"/>
          <w:sz w:val="28"/>
          <w:szCs w:val="28"/>
        </w:rPr>
        <w:t>[133</w:t>
      </w:r>
      <w:r>
        <w:rPr>
          <w:rFonts w:ascii="Times New Roman" w:eastAsia="Times New Roman" w:hAnsi="Times New Roman" w:cs="Times New Roman"/>
          <w:sz w:val="28"/>
          <w:szCs w:val="28"/>
        </w:rPr>
        <w:t>]. Расчеты интегральной стоимостной оценки ЭУ были проведены по двум основным типам природных экологических систем: болотным и водным. Интегральная стоимостная оценка экосистемных услуг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Ц</m:t>
            </m:r>
          </m:e>
          <m:sub>
            <m:r>
              <w:rPr>
                <w:rFonts w:ascii="Cambria Math" w:eastAsia="Cambria Math" w:hAnsi="Cambria Math" w:cs="Cambria Math"/>
                <w:sz w:val="28"/>
                <w:szCs w:val="28"/>
              </w:rPr>
              <m:t>ЭУ</m:t>
            </m:r>
          </m:sub>
        </m:sSub>
      </m:oMath>
      <w:r>
        <w:rPr>
          <w:rFonts w:ascii="Times New Roman" w:eastAsia="Times New Roman" w:hAnsi="Times New Roman" w:cs="Times New Roman"/>
          <w:sz w:val="28"/>
          <w:szCs w:val="28"/>
        </w:rPr>
        <w:t>) определялась по формуле (1):</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593217" w:rsidP="00EA72C7">
      <w:pPr>
        <w:spacing w:after="0" w:line="240" w:lineRule="auto"/>
        <w:ind w:firstLine="709"/>
        <w:jc w:val="right"/>
        <w:rPr>
          <w:rFonts w:ascii="Times New Roman" w:eastAsia="Times New Roman" w:hAnsi="Times New Roman" w:cs="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Ц</m:t>
            </m:r>
          </m:e>
          <m:sub>
            <m:r>
              <w:rPr>
                <w:rFonts w:ascii="Cambria Math" w:eastAsia="Cambria Math" w:hAnsi="Cambria Math" w:cs="Cambria Math"/>
                <w:sz w:val="28"/>
                <w:szCs w:val="28"/>
              </w:rPr>
              <m:t>ЭУ</m:t>
            </m:r>
          </m:sub>
        </m:sSub>
        <m:r>
          <w:rPr>
            <w:rFonts w:ascii="Cambria Math" w:eastAsia="Cambria Math" w:hAnsi="Cambria Math" w:cs="Cambria Math"/>
            <w:sz w:val="28"/>
            <w:szCs w:val="28"/>
          </w:rPr>
          <m:t>=</m:t>
        </m:r>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l</m:t>
            </m:r>
          </m:sub>
          <m:sup/>
          <m:e/>
        </m:nary>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R</m:t>
            </m:r>
          </m:e>
          <m:sub>
            <m:r>
              <w:rPr>
                <w:rFonts w:ascii="Cambria Math" w:eastAsia="Cambria Math" w:hAnsi="Cambria Math" w:cs="Cambria Math"/>
                <w:sz w:val="28"/>
                <w:szCs w:val="28"/>
              </w:rPr>
              <m:t>ЭК1</m:t>
            </m:r>
          </m:sub>
        </m:sSub>
        <m:r>
          <w:rPr>
            <w:rFonts w:ascii="Cambria Math" w:eastAsia="Cambria Math" w:hAnsi="Cambria Math" w:cs="Cambria Math"/>
            <w:sz w:val="28"/>
            <w:szCs w:val="28"/>
          </w:rPr>
          <m:t xml:space="preserve">х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1</m:t>
            </m:r>
          </m:sub>
        </m:sSub>
        <m:r>
          <w:rPr>
            <w:rFonts w:ascii="Cambria Math" w:eastAsia="Cambria Math" w:hAnsi="Cambria Math" w:cs="Cambria Math"/>
            <w:sz w:val="28"/>
            <w:szCs w:val="28"/>
          </w:rPr>
          <m:t xml:space="preserve"> </m:t>
        </m:r>
      </m:oMath>
      <w:r w:rsidR="00EA72C7">
        <w:rPr>
          <w:rFonts w:ascii="Times New Roman" w:eastAsia="Times New Roman" w:hAnsi="Times New Roman" w:cs="Times New Roman"/>
          <w:sz w:val="28"/>
          <w:szCs w:val="28"/>
        </w:rPr>
        <w:t xml:space="preserve">                                                    (1)</w:t>
      </w:r>
    </w:p>
    <w:p w:rsidR="00EA72C7" w:rsidRDefault="00EA72C7" w:rsidP="00EA72C7">
      <w:pPr>
        <w:spacing w:after="0" w:line="240" w:lineRule="auto"/>
        <w:ind w:firstLine="709"/>
        <w:jc w:val="both"/>
        <w:rPr>
          <w:rFonts w:ascii="Times New Roman" w:eastAsia="Times New Roman" w:hAnsi="Times New Roman" w:cs="Times New Roman"/>
          <w:b/>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где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R</m:t>
            </m:r>
          </m:e>
          <m:sub>
            <m:r>
              <w:rPr>
                <w:rFonts w:ascii="Cambria Math" w:eastAsia="Cambria Math" w:hAnsi="Cambria Math" w:cs="Cambria Math"/>
                <w:sz w:val="28"/>
                <w:szCs w:val="28"/>
              </w:rPr>
              <m:t>ЭК1</m:t>
            </m:r>
          </m:sub>
        </m:sSub>
      </m:oMath>
      <w:r>
        <w:rPr>
          <w:rFonts w:ascii="Times New Roman" w:eastAsia="Times New Roman" w:hAnsi="Times New Roman" w:cs="Times New Roman"/>
          <w:sz w:val="28"/>
          <w:szCs w:val="28"/>
        </w:rPr>
        <w:t xml:space="preserve"> – текущая (ежегодная) оценка услуг экологической системы l-го типа, USD</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/га;</w:t>
      </w:r>
    </w:p>
    <w:p w:rsidR="00EA72C7" w:rsidRDefault="00593217" w:rsidP="00EA72C7">
      <w:pPr>
        <w:spacing w:after="0" w:line="240" w:lineRule="auto"/>
        <w:ind w:firstLine="709"/>
        <w:jc w:val="both"/>
        <w:rPr>
          <w:rFonts w:ascii="Times New Roman" w:eastAsia="Times New Roman" w:hAnsi="Times New Roman" w:cs="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1</m:t>
            </m:r>
          </m:sub>
        </m:sSub>
        <m:r>
          <w:rPr>
            <w:rFonts w:ascii="Cambria Math" w:eastAsia="Cambria Math" w:hAnsi="Cambria Math" w:cs="Cambria Math"/>
            <w:sz w:val="28"/>
            <w:szCs w:val="28"/>
          </w:rPr>
          <m:t xml:space="preserve">  </m:t>
        </m:r>
      </m:oMath>
      <w:r w:rsidR="00EA72C7">
        <w:rPr>
          <w:rFonts w:ascii="Times New Roman" w:eastAsia="Times New Roman" w:hAnsi="Times New Roman" w:cs="Times New Roman"/>
          <w:sz w:val="28"/>
          <w:szCs w:val="28"/>
        </w:rPr>
        <w:t xml:space="preserve"> – площадь территории (акватории) l-го типа экосистемы, га.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Расчет удельной текущей (ежегодной) оценки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R</m:t>
            </m:r>
          </m:e>
          <m:sub>
            <m:r>
              <w:rPr>
                <w:rFonts w:ascii="Cambria Math" w:eastAsia="Cambria Math" w:hAnsi="Cambria Math" w:cs="Cambria Math"/>
                <w:sz w:val="28"/>
                <w:szCs w:val="28"/>
              </w:rPr>
              <m:t>1</m:t>
            </m:r>
          </m:sub>
        </m:sSub>
      </m:oMath>
      <w:r>
        <w:rPr>
          <w:rFonts w:ascii="Times New Roman" w:eastAsia="Times New Roman" w:hAnsi="Times New Roman" w:cs="Times New Roman"/>
          <w:sz w:val="28"/>
          <w:szCs w:val="28"/>
        </w:rPr>
        <w:t>) для болотных экосистем (в расчете на 1 га) производился по формуле (2):</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593217" w:rsidP="00EA72C7">
      <w:pPr>
        <w:spacing w:after="0" w:line="240" w:lineRule="auto"/>
        <w:ind w:firstLine="709"/>
        <w:jc w:val="right"/>
        <w:rPr>
          <w:rFonts w:ascii="Times New Roman" w:eastAsia="Times New Roman" w:hAnsi="Times New Roman" w:cs="Times New Roman"/>
          <w:i/>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R</m:t>
            </m:r>
          </m:e>
          <m:sub>
            <m:r>
              <w:rPr>
                <w:rFonts w:ascii="Cambria Math" w:eastAsia="Cambria Math" w:hAnsi="Cambria Math" w:cs="Cambria Math"/>
                <w:sz w:val="28"/>
                <w:szCs w:val="28"/>
              </w:rPr>
              <m:t>1</m:t>
            </m:r>
          </m:sub>
        </m:sSub>
      </m:oMath>
      <w:r w:rsidR="00EA72C7">
        <w:rPr>
          <w:rFonts w:ascii="Times New Roman" w:eastAsia="Times New Roman" w:hAnsi="Times New Roman" w:cs="Times New Roman"/>
          <w:sz w:val="28"/>
          <w:szCs w:val="28"/>
        </w:rPr>
        <w:t>=</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 xml:space="preserve">Ц х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К</m:t>
                </m:r>
              </m:e>
              <m:sub>
                <m:r>
                  <w:rPr>
                    <w:rFonts w:ascii="Cambria Math" w:eastAsia="Cambria Math" w:hAnsi="Cambria Math" w:cs="Cambria Math"/>
                    <w:sz w:val="28"/>
                    <w:szCs w:val="28"/>
                  </w:rPr>
                  <m:t>R</m:t>
                </m:r>
              </m:sub>
            </m:sSub>
          </m:num>
          <m:den>
            <m:r>
              <w:rPr>
                <w:rFonts w:ascii="Cambria Math" w:eastAsia="Cambria Math" w:hAnsi="Cambria Math" w:cs="Cambria Math"/>
                <w:sz w:val="28"/>
                <w:szCs w:val="28"/>
              </w:rPr>
              <m:t xml:space="preserve">1+p+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К</m:t>
                </m:r>
              </m:e>
              <m:sub>
                <m:r>
                  <w:rPr>
                    <w:rFonts w:ascii="Cambria Math" w:eastAsia="Cambria Math" w:hAnsi="Cambria Math" w:cs="Cambria Math"/>
                    <w:sz w:val="28"/>
                    <w:szCs w:val="28"/>
                  </w:rPr>
                  <m:t>R</m:t>
                </m:r>
              </m:sub>
            </m:sSub>
          </m:den>
        </m:f>
        <m:r>
          <w:rPr>
            <w:rFonts w:ascii="Cambria Math" w:eastAsia="Cambria Math" w:hAnsi="Cambria Math" w:cs="Cambria Math"/>
            <w:sz w:val="28"/>
            <w:szCs w:val="28"/>
          </w:rPr>
          <m:t xml:space="preserve"> х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К</m:t>
            </m:r>
          </m:e>
          <m:sub>
            <m:r>
              <w:rPr>
                <w:rFonts w:ascii="Cambria Math" w:eastAsia="Cambria Math" w:hAnsi="Cambria Math" w:cs="Cambria Math"/>
                <w:sz w:val="28"/>
                <w:szCs w:val="28"/>
              </w:rPr>
              <m:t>вых</m:t>
            </m:r>
          </m:sub>
        </m:sSub>
      </m:oMath>
      <w:r w:rsidR="00EA72C7">
        <w:rPr>
          <w:rFonts w:ascii="Times New Roman" w:eastAsia="Times New Roman" w:hAnsi="Times New Roman" w:cs="Times New Roman"/>
          <w:sz w:val="28"/>
          <w:szCs w:val="28"/>
        </w:rPr>
        <w:t xml:space="preserve"> х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К</m:t>
            </m:r>
          </m:e>
          <m:sub>
            <m:r>
              <w:rPr>
                <w:rFonts w:ascii="Cambria Math" w:eastAsia="Cambria Math" w:hAnsi="Cambria Math" w:cs="Cambria Math"/>
                <w:sz w:val="28"/>
                <w:szCs w:val="28"/>
              </w:rPr>
              <m:t>CO2</m:t>
            </m:r>
          </m:sub>
        </m:sSub>
      </m:oMath>
      <w:r w:rsidR="00EA72C7">
        <w:rPr>
          <w:rFonts w:ascii="Times New Roman" w:eastAsia="Times New Roman" w:hAnsi="Times New Roman" w:cs="Times New Roman"/>
          <w:sz w:val="28"/>
          <w:szCs w:val="28"/>
        </w:rPr>
        <w:t xml:space="preserve"> х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К</m:t>
            </m:r>
          </m:e>
          <m:sub>
            <m:r>
              <w:rPr>
                <w:rFonts w:ascii="Cambria Math" w:eastAsia="Cambria Math" w:hAnsi="Cambria Math" w:cs="Cambria Math"/>
                <w:sz w:val="28"/>
                <w:szCs w:val="28"/>
              </w:rPr>
              <m:t>ф</m:t>
            </m:r>
          </m:sub>
        </m:sSub>
      </m:oMath>
      <w:r w:rsidR="00EA72C7">
        <w:rPr>
          <w:rFonts w:ascii="Times New Roman" w:eastAsia="Times New Roman" w:hAnsi="Times New Roman" w:cs="Times New Roman"/>
          <w:sz w:val="28"/>
          <w:szCs w:val="28"/>
        </w:rPr>
        <w:t xml:space="preserve"> х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К</m:t>
            </m:r>
          </m:e>
          <m:sub>
            <m:r>
              <w:rPr>
                <w:rFonts w:ascii="Cambria Math" w:eastAsia="Cambria Math" w:hAnsi="Cambria Math" w:cs="Cambria Math"/>
                <w:sz w:val="28"/>
                <w:szCs w:val="28"/>
              </w:rPr>
              <m:t>э</m:t>
            </m:r>
          </m:sub>
        </m:sSub>
      </m:oMath>
      <w:r w:rsidR="00EA72C7">
        <w:rPr>
          <w:rFonts w:ascii="Times New Roman" w:eastAsia="Times New Roman" w:hAnsi="Times New Roman" w:cs="Times New Roman"/>
          <w:sz w:val="28"/>
          <w:szCs w:val="28"/>
        </w:rPr>
        <w:t xml:space="preserve"> х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З</m:t>
            </m:r>
          </m:e>
          <m:sub>
            <m:r>
              <w:rPr>
                <w:rFonts w:ascii="Cambria Math" w:eastAsia="Cambria Math" w:hAnsi="Cambria Math" w:cs="Cambria Math"/>
                <w:sz w:val="28"/>
                <w:szCs w:val="28"/>
              </w:rPr>
              <m:t>ап</m:t>
            </m:r>
          </m:sub>
        </m:sSub>
      </m:oMath>
      <w:r w:rsidR="00EA72C7">
        <w:rPr>
          <w:rFonts w:ascii="Times New Roman" w:eastAsia="Times New Roman" w:hAnsi="Times New Roman" w:cs="Times New Roman"/>
          <w:sz w:val="28"/>
          <w:szCs w:val="28"/>
        </w:rPr>
        <w:t xml:space="preserve"> х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q</m:t>
            </m:r>
          </m:e>
          <m:sub>
            <m:r>
              <w:rPr>
                <w:rFonts w:ascii="Cambria Math" w:eastAsia="Cambria Math" w:hAnsi="Cambria Math" w:cs="Cambria Math"/>
                <w:sz w:val="28"/>
                <w:szCs w:val="28"/>
              </w:rPr>
              <m:t>ЭК1</m:t>
            </m:r>
          </m:sub>
        </m:sSub>
      </m:oMath>
      <w:r w:rsidR="00EA72C7">
        <w:rPr>
          <w:rFonts w:ascii="Times New Roman" w:eastAsia="Times New Roman" w:hAnsi="Times New Roman" w:cs="Times New Roman"/>
          <w:sz w:val="28"/>
          <w:szCs w:val="28"/>
        </w:rPr>
        <w:t xml:space="preserve">                      (2)</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где Ц – средняя рыночная цена основного продукта природопользования на момент оценки (по торфу верховому кипованному); </w:t>
      </w:r>
    </w:p>
    <w:p w:rsidR="00EA72C7" w:rsidRDefault="00EA72C7" w:rsidP="00EA72C7">
      <w:pPr>
        <w:spacing w:after="0" w:line="240" w:lineRule="auto"/>
        <w:ind w:firstLine="5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р=0,3 – коэффициент эффективности (рентабельности) производства продукции природопользования; </w:t>
      </w:r>
    </w:p>
    <w:p w:rsidR="00EA72C7" w:rsidRDefault="00593217" w:rsidP="00EA72C7">
      <w:pPr>
        <w:spacing w:after="0" w:line="240" w:lineRule="auto"/>
        <w:ind w:firstLine="532"/>
        <w:jc w:val="both"/>
        <w:rPr>
          <w:rFonts w:ascii="Times New Roman" w:eastAsia="Times New Roman" w:hAnsi="Times New Roman" w:cs="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К</m:t>
            </m:r>
          </m:e>
          <m:sub>
            <m:r>
              <w:rPr>
                <w:rFonts w:ascii="Cambria Math" w:eastAsia="Cambria Math" w:hAnsi="Cambria Math" w:cs="Cambria Math"/>
                <w:sz w:val="28"/>
                <w:szCs w:val="28"/>
              </w:rPr>
              <m:t>R</m:t>
            </m:r>
          </m:sub>
        </m:sSub>
      </m:oMath>
      <w:r w:rsidR="00EA72C7">
        <w:rPr>
          <w:rFonts w:ascii="Times New Roman" w:eastAsia="Times New Roman" w:hAnsi="Times New Roman" w:cs="Times New Roman"/>
          <w:sz w:val="28"/>
          <w:szCs w:val="28"/>
        </w:rPr>
        <w:t xml:space="preserve">=0,3 – коэффициент эффективности воспроизводства ресурса основного продукта природопользования (торф топливный); </w:t>
      </w:r>
    </w:p>
    <w:p w:rsidR="00EA72C7" w:rsidRDefault="00593217" w:rsidP="00EA72C7">
      <w:pPr>
        <w:spacing w:after="0" w:line="240" w:lineRule="auto"/>
        <w:ind w:firstLine="532"/>
        <w:jc w:val="both"/>
        <w:rPr>
          <w:rFonts w:ascii="Times New Roman" w:eastAsia="Times New Roman" w:hAnsi="Times New Roman" w:cs="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К</m:t>
            </m:r>
          </m:e>
          <m:sub>
            <m:r>
              <w:rPr>
                <w:rFonts w:ascii="Cambria Math" w:eastAsia="Cambria Math" w:hAnsi="Cambria Math" w:cs="Cambria Math"/>
                <w:sz w:val="28"/>
                <w:szCs w:val="28"/>
              </w:rPr>
              <m:t>вых</m:t>
            </m:r>
          </m:sub>
        </m:sSub>
      </m:oMath>
      <w:r w:rsidR="00EA72C7">
        <w:rPr>
          <w:rFonts w:ascii="Times New Roman" w:eastAsia="Times New Roman" w:hAnsi="Times New Roman" w:cs="Times New Roman"/>
          <w:sz w:val="28"/>
          <w:szCs w:val="28"/>
        </w:rPr>
        <w:t xml:space="preserve">=0,6 – коэффициент выхода конечной продукции природопользования с единицы природного сырья; </w:t>
      </w:r>
    </w:p>
    <w:p w:rsidR="00EA72C7" w:rsidRDefault="00593217" w:rsidP="00EA72C7">
      <w:pPr>
        <w:spacing w:after="0" w:line="240" w:lineRule="auto"/>
        <w:ind w:firstLine="532"/>
        <w:jc w:val="both"/>
        <w:rPr>
          <w:rFonts w:ascii="Times New Roman" w:eastAsia="Times New Roman" w:hAnsi="Times New Roman" w:cs="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К</m:t>
            </m:r>
          </m:e>
          <m:sub>
            <m:r>
              <w:rPr>
                <w:rFonts w:ascii="Cambria Math" w:eastAsia="Cambria Math" w:hAnsi="Cambria Math" w:cs="Cambria Math"/>
                <w:sz w:val="28"/>
                <w:szCs w:val="28"/>
              </w:rPr>
              <m:t>CO2</m:t>
            </m:r>
          </m:sub>
        </m:sSub>
      </m:oMath>
      <w:r w:rsidR="00EA72C7">
        <w:rPr>
          <w:rFonts w:ascii="Times New Roman" w:eastAsia="Times New Roman" w:hAnsi="Times New Roman" w:cs="Times New Roman"/>
          <w:sz w:val="28"/>
          <w:szCs w:val="28"/>
        </w:rPr>
        <w:t xml:space="preserve"> – коэффициент, соответствующий удельному показателю ежегодного поглощения диоксида углерода естественной болотной экологической системой в расчете на 1 га болота; </w:t>
      </w:r>
    </w:p>
    <w:p w:rsidR="00EA72C7" w:rsidRDefault="00593217" w:rsidP="00EA72C7">
      <w:pPr>
        <w:spacing w:after="0" w:line="240" w:lineRule="auto"/>
        <w:ind w:firstLine="532"/>
        <w:jc w:val="both"/>
        <w:rPr>
          <w:rFonts w:ascii="Times New Roman" w:eastAsia="Times New Roman" w:hAnsi="Times New Roman" w:cs="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К</m:t>
            </m:r>
          </m:e>
          <m:sub>
            <m:r>
              <w:rPr>
                <w:rFonts w:ascii="Cambria Math" w:eastAsia="Cambria Math" w:hAnsi="Cambria Math" w:cs="Cambria Math"/>
                <w:sz w:val="28"/>
                <w:szCs w:val="28"/>
              </w:rPr>
              <m:t>ф</m:t>
            </m:r>
          </m:sub>
        </m:sSub>
      </m:oMath>
      <w:r w:rsidR="00EA72C7">
        <w:rPr>
          <w:rFonts w:ascii="Times New Roman" w:eastAsia="Times New Roman" w:hAnsi="Times New Roman" w:cs="Times New Roman"/>
          <w:sz w:val="28"/>
          <w:szCs w:val="28"/>
        </w:rPr>
        <w:t xml:space="preserve"> – коэффициент, дифференцирующий ценность сорбционной способности в расчете на 1 га болота;</w:t>
      </w:r>
    </w:p>
    <w:p w:rsidR="00EA72C7" w:rsidRDefault="00593217" w:rsidP="00EA72C7">
      <w:pPr>
        <w:spacing w:after="0" w:line="240" w:lineRule="auto"/>
        <w:ind w:firstLine="532"/>
        <w:jc w:val="both"/>
        <w:rPr>
          <w:rFonts w:ascii="Times New Roman" w:eastAsia="Times New Roman" w:hAnsi="Times New Roman" w:cs="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К</m:t>
            </m:r>
          </m:e>
          <m:sub>
            <m:r>
              <w:rPr>
                <w:rFonts w:ascii="Cambria Math" w:eastAsia="Cambria Math" w:hAnsi="Cambria Math" w:cs="Cambria Math"/>
                <w:sz w:val="28"/>
                <w:szCs w:val="28"/>
              </w:rPr>
              <m:t>э</m:t>
            </m:r>
          </m:sub>
        </m:sSub>
      </m:oMath>
      <w:r w:rsidR="00EA72C7">
        <w:rPr>
          <w:rFonts w:ascii="Times New Roman" w:eastAsia="Times New Roman" w:hAnsi="Times New Roman" w:cs="Times New Roman"/>
          <w:sz w:val="28"/>
          <w:szCs w:val="28"/>
        </w:rPr>
        <w:t xml:space="preserve">=2 – коэффициент экологической значимости естественных болотных экосистем (устанавливается для редких биотопов болот), для остальных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К</m:t>
            </m:r>
          </m:e>
          <m:sub>
            <m:r>
              <w:rPr>
                <w:rFonts w:ascii="Cambria Math" w:eastAsia="Cambria Math" w:hAnsi="Cambria Math" w:cs="Cambria Math"/>
                <w:sz w:val="28"/>
                <w:szCs w:val="28"/>
              </w:rPr>
              <m:t>э</m:t>
            </m:r>
          </m:sub>
        </m:sSub>
      </m:oMath>
      <w:r w:rsidR="00EA72C7">
        <w:rPr>
          <w:rFonts w:ascii="Times New Roman" w:eastAsia="Times New Roman" w:hAnsi="Times New Roman" w:cs="Times New Roman"/>
          <w:sz w:val="28"/>
          <w:szCs w:val="28"/>
        </w:rPr>
        <w:t xml:space="preserve">=1; </w:t>
      </w:r>
    </w:p>
    <w:p w:rsidR="00EA72C7" w:rsidRDefault="00593217" w:rsidP="00EA72C7">
      <w:pPr>
        <w:spacing w:after="0" w:line="240" w:lineRule="auto"/>
        <w:ind w:firstLine="532"/>
        <w:jc w:val="both"/>
        <w:rPr>
          <w:rFonts w:ascii="Times New Roman" w:eastAsia="Times New Roman" w:hAnsi="Times New Roman" w:cs="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З</m:t>
            </m:r>
          </m:e>
          <m:sub>
            <m:r>
              <w:rPr>
                <w:rFonts w:ascii="Cambria Math" w:eastAsia="Cambria Math" w:hAnsi="Cambria Math" w:cs="Cambria Math"/>
                <w:sz w:val="28"/>
                <w:szCs w:val="28"/>
              </w:rPr>
              <m:t>ап</m:t>
            </m:r>
          </m:sub>
        </m:sSub>
      </m:oMath>
      <w:r w:rsidR="00EA72C7">
        <w:rPr>
          <w:rFonts w:ascii="Times New Roman" w:eastAsia="Times New Roman" w:hAnsi="Times New Roman" w:cs="Times New Roman"/>
          <w:sz w:val="28"/>
          <w:szCs w:val="28"/>
        </w:rPr>
        <w:t xml:space="preserve"> – удельный запас торфа в залежи, т/га; </w:t>
      </w:r>
    </w:p>
    <w:p w:rsidR="00EA72C7" w:rsidRDefault="00593217" w:rsidP="00EA72C7">
      <w:pPr>
        <w:spacing w:after="0" w:line="240" w:lineRule="auto"/>
        <w:ind w:firstLine="532"/>
        <w:jc w:val="both"/>
        <w:rPr>
          <w:rFonts w:ascii="Times New Roman" w:eastAsia="Times New Roman" w:hAnsi="Times New Roman" w:cs="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q</m:t>
            </m:r>
          </m:e>
          <m:sub>
            <m:r>
              <w:rPr>
                <w:rFonts w:ascii="Cambria Math" w:eastAsia="Cambria Math" w:hAnsi="Cambria Math" w:cs="Cambria Math"/>
                <w:sz w:val="28"/>
                <w:szCs w:val="28"/>
              </w:rPr>
              <m:t>ЭК1</m:t>
            </m:r>
          </m:sub>
        </m:sSub>
      </m:oMath>
      <w:r w:rsidR="00EA72C7">
        <w:rPr>
          <w:rFonts w:ascii="Times New Roman" w:eastAsia="Times New Roman" w:hAnsi="Times New Roman" w:cs="Times New Roman"/>
          <w:sz w:val="28"/>
          <w:szCs w:val="28"/>
        </w:rPr>
        <w:t xml:space="preserve"> – капитализатор, или коэффициент дисконтирования, значение которого обратно пропорционально сроку воспроизводства потребляемого природного вещества, составляющего основу естественной экологической системы l-го типа.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результатам расчета, интегральная оценка услуг болотных экосистем верхового болота Ельня, включая проектную территорию, составила: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Ц</m:t>
            </m:r>
          </m:e>
          <m:sub>
            <m:r>
              <w:rPr>
                <w:rFonts w:ascii="Cambria Math" w:eastAsia="Cambria Math" w:hAnsi="Cambria Math" w:cs="Cambria Math"/>
                <w:sz w:val="28"/>
                <w:szCs w:val="28"/>
              </w:rPr>
              <m:t>ЭУ</m:t>
            </m:r>
          </m:sub>
        </m:sSub>
      </m:oMath>
      <w:r>
        <w:rPr>
          <w:rFonts w:ascii="Times New Roman" w:eastAsia="Times New Roman" w:hAnsi="Times New Roman" w:cs="Times New Roman"/>
          <w:sz w:val="28"/>
          <w:szCs w:val="28"/>
        </w:rPr>
        <w:t xml:space="preserve"> = 20 440 985 $/год (в т.ч. территории, где запланирован восстановление гидрологического режима – 8 942 931 $/год).</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Интегральная оценка услуг водных экологических систем верхового болота Ельня, составила: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Ц</m:t>
            </m:r>
          </m:e>
          <m:sub>
            <m:r>
              <w:rPr>
                <w:rFonts w:ascii="Cambria Math" w:eastAsia="Cambria Math" w:hAnsi="Cambria Math" w:cs="Cambria Math"/>
                <w:sz w:val="28"/>
                <w:szCs w:val="28"/>
              </w:rPr>
              <m:t>ЭУ</m:t>
            </m:r>
          </m:sub>
        </m:sSub>
      </m:oMath>
      <w:r>
        <w:rPr>
          <w:rFonts w:ascii="Times New Roman" w:eastAsia="Times New Roman" w:hAnsi="Times New Roman" w:cs="Times New Roman"/>
          <w:sz w:val="28"/>
          <w:szCs w:val="28"/>
        </w:rPr>
        <w:t xml:space="preserve"> = 14 535 000 $/год.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результатам расчета, суммарная оценка экосистемных услуг верхового болота Ельня составила (ежегодно):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Ц</m:t>
            </m:r>
          </m:e>
          <m:sub>
            <m:r>
              <w:rPr>
                <w:rFonts w:ascii="Cambria Math" w:eastAsia="Cambria Math" w:hAnsi="Cambria Math" w:cs="Cambria Math"/>
                <w:sz w:val="28"/>
                <w:szCs w:val="28"/>
              </w:rPr>
              <m:t>ЭУ</m:t>
            </m:r>
          </m:sub>
        </m:sSub>
      </m:oMath>
      <w:r>
        <w:rPr>
          <w:rFonts w:ascii="Times New Roman" w:eastAsia="Times New Roman" w:hAnsi="Times New Roman" w:cs="Times New Roman"/>
          <w:sz w:val="28"/>
          <w:szCs w:val="28"/>
        </w:rPr>
        <w:t>=20 440 985+14 535 000=34975985($).</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Стоимость косвенного использования болот по естественной очистке воды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О</m:t>
            </m:r>
          </m:e>
          <m:sub>
            <m:r>
              <w:rPr>
                <w:rFonts w:ascii="Cambria Math" w:eastAsia="Cambria Math" w:hAnsi="Cambria Math" w:cs="Cambria Math"/>
                <w:sz w:val="28"/>
                <w:szCs w:val="28"/>
              </w:rPr>
              <m:t>фильтр</m:t>
            </m:r>
          </m:sub>
        </m:sSub>
      </m:oMath>
      <w:r>
        <w:rPr>
          <w:rFonts w:ascii="Times New Roman" w:eastAsia="Times New Roman" w:hAnsi="Times New Roman" w:cs="Times New Roman"/>
          <w:sz w:val="28"/>
          <w:szCs w:val="28"/>
        </w:rPr>
        <w:t>) определялась по формуле (3):</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593217" w:rsidP="00EA72C7">
      <w:pPr>
        <w:spacing w:after="0" w:line="240" w:lineRule="auto"/>
        <w:ind w:firstLine="709"/>
        <w:jc w:val="right"/>
        <w:rPr>
          <w:rFonts w:ascii="Times New Roman" w:eastAsia="Times New Roman" w:hAnsi="Times New Roman" w:cs="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О</m:t>
            </m:r>
          </m:e>
          <m:sub>
            <m:r>
              <w:rPr>
                <w:rFonts w:ascii="Cambria Math" w:eastAsia="Cambria Math" w:hAnsi="Cambria Math" w:cs="Cambria Math"/>
                <w:sz w:val="28"/>
                <w:szCs w:val="28"/>
              </w:rPr>
              <m:t>фильтр</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О</m:t>
            </m:r>
          </m:e>
          <m:sub>
            <m:r>
              <w:rPr>
                <w:rFonts w:ascii="Cambria Math" w:eastAsia="Cambria Math" w:hAnsi="Cambria Math" w:cs="Cambria Math"/>
                <w:sz w:val="28"/>
                <w:szCs w:val="28"/>
              </w:rPr>
              <m:t>пром</m:t>
            </m:r>
          </m:sub>
        </m:sSub>
        <m:r>
          <w:rPr>
            <w:rFonts w:ascii="Cambria Math" w:eastAsia="Cambria Math" w:hAnsi="Cambria Math" w:cs="Cambria Math"/>
            <w:sz w:val="28"/>
            <w:szCs w:val="28"/>
          </w:rPr>
          <m:t xml:space="preserve"> х</m:t>
        </m:r>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i</m:t>
            </m:r>
          </m:sub>
          <m:sup>
            <m:r>
              <w:rPr>
                <w:rFonts w:ascii="Cambria Math" w:eastAsia="Cambria Math" w:hAnsi="Cambria Math" w:cs="Cambria Math"/>
                <w:sz w:val="28"/>
                <w:szCs w:val="28"/>
              </w:rPr>
              <m:t>3</m:t>
            </m:r>
          </m:sup>
          <m:e/>
        </m:nary>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i</m:t>
                </m:r>
              </m:sub>
            </m:sSub>
            <m:r>
              <w:rPr>
                <w:rFonts w:ascii="Cambria Math" w:eastAsia="Cambria Math" w:hAnsi="Cambria Math" w:cs="Cambria Math"/>
                <w:sz w:val="28"/>
                <w:szCs w:val="28"/>
              </w:rPr>
              <m:t xml:space="preserve"> х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λ</m:t>
                </m:r>
              </m:e>
              <m:sub>
                <m:r>
                  <w:rPr>
                    <w:rFonts w:ascii="Cambria Math" w:eastAsia="Cambria Math" w:hAnsi="Cambria Math" w:cs="Cambria Math"/>
                    <w:sz w:val="28"/>
                    <w:szCs w:val="28"/>
                  </w:rPr>
                  <m:t>iестест</m:t>
                </m:r>
              </m:sub>
            </m:sSub>
          </m:num>
          <m:den>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λ</m:t>
                </m:r>
              </m:e>
              <m:sub>
                <m:r>
                  <w:rPr>
                    <w:rFonts w:ascii="Cambria Math" w:eastAsia="Cambria Math" w:hAnsi="Cambria Math" w:cs="Cambria Math"/>
                    <w:sz w:val="28"/>
                    <w:szCs w:val="28"/>
                  </w:rPr>
                  <m:t>пром</m:t>
                </m:r>
              </m:sub>
            </m:sSub>
          </m:den>
        </m:f>
        <m:r>
          <w:rPr>
            <w:rFonts w:ascii="Cambria Math" w:eastAsia="Cambria Math" w:hAnsi="Cambria Math" w:cs="Cambria Math"/>
            <w:sz w:val="28"/>
            <w:szCs w:val="28"/>
          </w:rPr>
          <m:t xml:space="preserve"> </m:t>
        </m:r>
      </m:oMath>
      <w:r w:rsidR="00EA72C7">
        <w:rPr>
          <w:rFonts w:ascii="Times New Roman" w:eastAsia="Times New Roman" w:hAnsi="Times New Roman" w:cs="Times New Roman"/>
          <w:sz w:val="28"/>
          <w:szCs w:val="28"/>
        </w:rPr>
        <w:t xml:space="preserve">                                            (3)</w:t>
      </w: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где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О</m:t>
            </m:r>
          </m:e>
          <m:sub>
            <m:r>
              <w:rPr>
                <w:rFonts w:ascii="Cambria Math" w:eastAsia="Cambria Math" w:hAnsi="Cambria Math" w:cs="Cambria Math"/>
                <w:sz w:val="28"/>
                <w:szCs w:val="28"/>
              </w:rPr>
              <m:t>пром</m:t>
            </m:r>
          </m:sub>
        </m:sSub>
      </m:oMath>
      <w:r>
        <w:rPr>
          <w:rFonts w:ascii="Times New Roman" w:eastAsia="Times New Roman" w:hAnsi="Times New Roman" w:cs="Times New Roman"/>
          <w:sz w:val="28"/>
          <w:szCs w:val="28"/>
        </w:rPr>
        <w:t xml:space="preserve"> – годовая приведенная стоимость промышленной очистной установки, USD; </w:t>
      </w:r>
    </w:p>
    <w:p w:rsidR="00EA72C7" w:rsidRDefault="00EA72C7" w:rsidP="00EA72C7">
      <w:pPr>
        <w:spacing w:after="0" w:line="240" w:lineRule="auto"/>
        <w:ind w:firstLine="6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 1, 2, 3 – тип торфа в залежи; </w:t>
      </w:r>
    </w:p>
    <w:p w:rsidR="00EA72C7" w:rsidRDefault="00593217" w:rsidP="00EA72C7">
      <w:pPr>
        <w:spacing w:after="0" w:line="240" w:lineRule="auto"/>
        <w:ind w:firstLine="644"/>
        <w:jc w:val="both"/>
        <w:rPr>
          <w:rFonts w:ascii="Times New Roman" w:eastAsia="Times New Roman" w:hAnsi="Times New Roman" w:cs="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i</m:t>
            </m:r>
          </m:sub>
        </m:sSub>
      </m:oMath>
      <w:r w:rsidR="00EA72C7">
        <w:rPr>
          <w:rFonts w:ascii="Times New Roman" w:eastAsia="Times New Roman" w:hAnsi="Times New Roman" w:cs="Times New Roman"/>
          <w:sz w:val="28"/>
          <w:szCs w:val="28"/>
        </w:rPr>
        <w:t xml:space="preserve"> – площадь соответствующего типа торфяной залежи, га; </w:t>
      </w:r>
    </w:p>
    <w:p w:rsidR="00EA72C7" w:rsidRDefault="00593217" w:rsidP="00EA72C7">
      <w:pPr>
        <w:spacing w:after="0" w:line="240" w:lineRule="auto"/>
        <w:ind w:firstLine="644"/>
        <w:jc w:val="both"/>
        <w:rPr>
          <w:rFonts w:ascii="Times New Roman" w:eastAsia="Times New Roman" w:hAnsi="Times New Roman" w:cs="Times New Roman"/>
          <w:sz w:val="28"/>
          <w:szCs w:val="28"/>
        </w:rPr>
      </w:pPr>
      <m:oMath>
        <m:sSub>
          <m:sSubPr>
            <m:ctrlPr>
              <w:rPr>
                <w:rFonts w:ascii="Cambria Math" w:eastAsia="Cambria Math" w:hAnsi="Cambria Math" w:cs="Cambria Math"/>
                <w:sz w:val="28"/>
                <w:szCs w:val="28"/>
              </w:rPr>
            </m:ctrlPr>
          </m:sSubPr>
          <m:e>
            <m:r>
              <w:rPr>
                <w:rFonts w:ascii="Cambria Math" w:hAnsi="Cambria Math"/>
              </w:rPr>
              <m:t>λ</m:t>
            </m:r>
          </m:e>
          <m:sub>
            <m:r>
              <w:rPr>
                <w:rFonts w:ascii="Cambria Math" w:eastAsia="Cambria Math" w:hAnsi="Cambria Math" w:cs="Cambria Math"/>
                <w:sz w:val="28"/>
                <w:szCs w:val="28"/>
              </w:rPr>
              <m:t>пром</m:t>
            </m:r>
          </m:sub>
        </m:sSub>
      </m:oMath>
      <w:r w:rsidR="00EA72C7">
        <w:rPr>
          <w:rFonts w:ascii="Times New Roman" w:eastAsia="Times New Roman" w:hAnsi="Times New Roman" w:cs="Times New Roman"/>
          <w:sz w:val="28"/>
          <w:szCs w:val="28"/>
        </w:rPr>
        <w:t xml:space="preserve"> – фильтрующая способность промышленной очистной установки, м3/сут.; </w:t>
      </w:r>
    </w:p>
    <w:p w:rsidR="00EA72C7" w:rsidRDefault="00593217" w:rsidP="00EA72C7">
      <w:pPr>
        <w:spacing w:after="0" w:line="240" w:lineRule="auto"/>
        <w:ind w:firstLine="644"/>
        <w:jc w:val="both"/>
        <w:rPr>
          <w:rFonts w:ascii="Times New Roman" w:eastAsia="Times New Roman" w:hAnsi="Times New Roman" w:cs="Times New Roman"/>
          <w:sz w:val="28"/>
          <w:szCs w:val="28"/>
        </w:rPr>
      </w:pPr>
      <m:oMath>
        <m:sSub>
          <m:sSubPr>
            <m:ctrlPr>
              <w:rPr>
                <w:rFonts w:ascii="Cambria Math" w:eastAsia="Cambria Math" w:hAnsi="Cambria Math" w:cs="Cambria Math"/>
                <w:sz w:val="28"/>
                <w:szCs w:val="28"/>
              </w:rPr>
            </m:ctrlPr>
          </m:sSubPr>
          <m:e>
            <m:r>
              <w:rPr>
                <w:rFonts w:ascii="Cambria Math" w:hAnsi="Cambria Math"/>
              </w:rPr>
              <m:t>λ</m:t>
            </m:r>
          </m:e>
          <m:sub>
            <m:r>
              <w:rPr>
                <w:rFonts w:ascii="Cambria Math" w:eastAsia="Cambria Math" w:hAnsi="Cambria Math" w:cs="Cambria Math"/>
                <w:sz w:val="28"/>
                <w:szCs w:val="28"/>
              </w:rPr>
              <m:t>iестест</m:t>
            </m:r>
          </m:sub>
        </m:sSub>
      </m:oMath>
      <w:r w:rsidR="00EA72C7">
        <w:rPr>
          <w:rFonts w:ascii="Times New Roman" w:eastAsia="Times New Roman" w:hAnsi="Times New Roman" w:cs="Times New Roman"/>
          <w:sz w:val="28"/>
          <w:szCs w:val="28"/>
        </w:rPr>
        <w:t xml:space="preserve"> – фильтрующая способность i-го вида болот, м</w:t>
      </w:r>
      <w:r w:rsidR="00EA72C7">
        <w:rPr>
          <w:rFonts w:ascii="Times New Roman" w:eastAsia="Times New Roman" w:hAnsi="Times New Roman" w:cs="Times New Roman"/>
          <w:sz w:val="28"/>
          <w:szCs w:val="28"/>
          <w:vertAlign w:val="superscript"/>
        </w:rPr>
        <w:t>3</w:t>
      </w:r>
      <w:r w:rsidR="00EA72C7">
        <w:rPr>
          <w:rFonts w:ascii="Times New Roman" w:eastAsia="Times New Roman" w:hAnsi="Times New Roman" w:cs="Times New Roman"/>
          <w:sz w:val="28"/>
          <w:szCs w:val="28"/>
        </w:rPr>
        <w:t>/сут./га, принимается для верхового типа торфа в залежи – 685 м</w:t>
      </w:r>
      <w:r w:rsidR="00EA72C7">
        <w:rPr>
          <w:rFonts w:ascii="Times New Roman" w:eastAsia="Times New Roman" w:hAnsi="Times New Roman" w:cs="Times New Roman"/>
          <w:sz w:val="28"/>
          <w:szCs w:val="28"/>
          <w:vertAlign w:val="superscript"/>
        </w:rPr>
        <w:t>3</w:t>
      </w:r>
      <w:r w:rsidR="00EA72C7">
        <w:rPr>
          <w:rFonts w:ascii="Times New Roman" w:eastAsia="Times New Roman" w:hAnsi="Times New Roman" w:cs="Times New Roman"/>
          <w:sz w:val="28"/>
          <w:szCs w:val="28"/>
        </w:rPr>
        <w:t xml:space="preserve">/сут./га.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результатам расчета стоимостная оценка сорбционной (водоочистительной) функции верхового болота Ельня составила: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О</m:t>
            </m:r>
          </m:e>
          <m:sub>
            <m:r>
              <w:rPr>
                <w:rFonts w:ascii="Cambria Math" w:eastAsia="Cambria Math" w:hAnsi="Cambria Math" w:cs="Cambria Math"/>
                <w:sz w:val="28"/>
                <w:szCs w:val="28"/>
              </w:rPr>
              <m:t>фильтр</m:t>
            </m:r>
          </m:sub>
        </m:sSub>
      </m:oMath>
      <w:r>
        <w:rPr>
          <w:rFonts w:ascii="Times New Roman" w:eastAsia="Times New Roman" w:hAnsi="Times New Roman" w:cs="Times New Roman"/>
          <w:sz w:val="28"/>
          <w:szCs w:val="28"/>
        </w:rPr>
        <w:t>=9 126 027 $/год (в т.ч. территории, где запланировано восстановление гидрологического режима – 3 242 333 $/год).</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Ресурсы пресной воды, которые накопились в поднятом болоте Ельня (без учета запасов в озерах), оценили в $247 510 080.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Среди трудностей экономической оценки экосистем исследователи отметили изменение стоимости ресурса со временем, например, увеличение стоимости чистой воды и уменьшение ценности торфа как топлива.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Приведенный пример говорит, как об актуальности, так и возможности экономической оценки ЭУ даже в условиях небольшого опыта такой оценки.</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Выводы по разделу 1</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Экосистемный подход, как новый и комплексный подход в управлении, востребован при принятии управленческих решений. Подход к оценке экосистем в новом тысячелетии основан на том, что управленческие решения обычно включают компромиссы между экосистемными услугами, количественной и научно обоснованной оценкой компромиссов, что и является необходимым компонентом для принятия обоснованных управленческих решений.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Экосистемное управление можно рассматривать как симбиоз экологических, экономических и социальных принципов управления биологическими и физическими экосистемами, преследующими три основные цели: экологической устойчивости, биологического разнообразия и продуктивности окружающей среды. Общее, что связывает большинство определений экосистемных услуг, — это их непосредственная взаимосвязь с выгодами и благосостоянием человека, как сегодня, так и в будущем.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экосистемного подхода в зарубежной науке и практике сформировался обширный арсенал моделей, методов и инструментов принятия управленческих решений. Однако, единая методология оценки, выбор и интерпретация экоиндикаторов – вопросы дискуссионные и, как правило, находятся в зависимости от множества факторов конкретных экосистем. Оценка экоуслуг ведется в основном по трем направлениям: экологическому, экономическому (монетарному) и социальному.</w:t>
      </w:r>
    </w:p>
    <w:p w:rsidR="00EA72C7" w:rsidRDefault="00EA72C7" w:rsidP="00EA72C7">
      <w:pPr>
        <w:spacing w:after="0" w:line="240" w:lineRule="auto"/>
        <w:ind w:firstLine="709"/>
        <w:jc w:val="both"/>
        <w:rPr>
          <w:rFonts w:ascii="Times New Roman" w:eastAsia="Times New Roman" w:hAnsi="Times New Roman" w:cs="Times New Roman"/>
          <w:sz w:val="28"/>
          <w:szCs w:val="28"/>
          <w:lang w:val="kk-KZ"/>
        </w:rPr>
      </w:pPr>
      <w:bookmarkStart w:id="9" w:name="_heading=h.4d34og8" w:colFirst="0" w:colLast="0"/>
      <w:bookmarkEnd w:id="9"/>
      <w:r>
        <w:rPr>
          <w:rFonts w:ascii="Times New Roman" w:eastAsia="Times New Roman" w:hAnsi="Times New Roman" w:cs="Times New Roman"/>
          <w:sz w:val="28"/>
          <w:szCs w:val="28"/>
        </w:rPr>
        <w:t>Анализ мирового опыта использования экосистемного подхода и оценки экосистемных услуг для принятия обоснованных управленческих решений привел к выводу, что страны СНГ, в отличие от США, стран Западной Европы и некоторых других стран, уделяют этим вопросам недостаточно внимания, они сделали лишь первые шаги в этом направлении. Мировая практика также свидетельствует о том, что монетизация экосистемных услуг представляется сложной методологической задачей, требующей взвешенного и сбалансированного подхода, учета множества факторов, поэтому требуются дальнейшие научные исследования, подготовка, принятие и использование соответствующих нормативных документов и методик.</w:t>
      </w:r>
    </w:p>
    <w:p w:rsidR="00EA72C7" w:rsidRDefault="00EA72C7" w:rsidP="00EA72C7">
      <w:pPr>
        <w:spacing w:after="0" w:line="240" w:lineRule="auto"/>
        <w:ind w:firstLine="709"/>
        <w:jc w:val="both"/>
        <w:rPr>
          <w:rFonts w:ascii="Times New Roman" w:eastAsia="Times New Roman" w:hAnsi="Times New Roman" w:cs="Times New Roman"/>
          <w:sz w:val="28"/>
          <w:szCs w:val="28"/>
          <w:lang w:val="kk-KZ"/>
        </w:rPr>
      </w:pPr>
    </w:p>
    <w:p w:rsidR="00EA72C7" w:rsidRDefault="00EA72C7" w:rsidP="00EA72C7">
      <w:pPr>
        <w:spacing w:after="0" w:line="240" w:lineRule="auto"/>
        <w:ind w:firstLine="709"/>
        <w:jc w:val="both"/>
        <w:rPr>
          <w:rFonts w:ascii="Times New Roman" w:eastAsia="Times New Roman" w:hAnsi="Times New Roman" w:cs="Times New Roman"/>
          <w:sz w:val="28"/>
          <w:szCs w:val="28"/>
          <w:lang w:val="kk-KZ"/>
        </w:rPr>
      </w:pPr>
    </w:p>
    <w:p w:rsidR="00EA72C7" w:rsidRDefault="00EA72C7" w:rsidP="00EA72C7">
      <w:pPr>
        <w:spacing w:after="0" w:line="240" w:lineRule="auto"/>
        <w:ind w:firstLine="709"/>
        <w:jc w:val="both"/>
        <w:rPr>
          <w:rFonts w:ascii="Times New Roman" w:eastAsia="Times New Roman" w:hAnsi="Times New Roman" w:cs="Times New Roman"/>
          <w:sz w:val="28"/>
          <w:szCs w:val="28"/>
          <w:lang w:val="kk-KZ"/>
        </w:rPr>
      </w:pPr>
    </w:p>
    <w:p w:rsidR="00EA72C7" w:rsidRDefault="00EA72C7" w:rsidP="00EA72C7">
      <w:pPr>
        <w:spacing w:after="0" w:line="240" w:lineRule="auto"/>
        <w:ind w:firstLine="709"/>
        <w:jc w:val="both"/>
        <w:rPr>
          <w:rFonts w:ascii="Times New Roman" w:eastAsia="Times New Roman" w:hAnsi="Times New Roman" w:cs="Times New Roman"/>
          <w:sz w:val="28"/>
          <w:szCs w:val="28"/>
          <w:lang w:val="kk-KZ"/>
        </w:rPr>
      </w:pPr>
    </w:p>
    <w:p w:rsidR="00EA72C7" w:rsidRDefault="00EA72C7" w:rsidP="00EA72C7">
      <w:pPr>
        <w:spacing w:after="0" w:line="240" w:lineRule="auto"/>
        <w:ind w:firstLine="709"/>
        <w:jc w:val="both"/>
        <w:rPr>
          <w:rFonts w:ascii="Times New Roman" w:eastAsia="Times New Roman" w:hAnsi="Times New Roman" w:cs="Times New Roman"/>
          <w:sz w:val="28"/>
          <w:szCs w:val="28"/>
          <w:lang w:val="kk-KZ"/>
        </w:rPr>
      </w:pPr>
    </w:p>
    <w:p w:rsidR="001F060E" w:rsidRDefault="001F060E" w:rsidP="00EA72C7">
      <w:pPr>
        <w:spacing w:after="0" w:line="240" w:lineRule="auto"/>
        <w:ind w:firstLine="709"/>
        <w:jc w:val="both"/>
        <w:rPr>
          <w:rFonts w:ascii="Times New Roman" w:eastAsia="Times New Roman" w:hAnsi="Times New Roman" w:cs="Times New Roman"/>
          <w:sz w:val="28"/>
          <w:szCs w:val="28"/>
          <w:lang w:val="kk-KZ"/>
        </w:rPr>
      </w:pPr>
    </w:p>
    <w:p w:rsidR="00EA72C7" w:rsidRDefault="00EA72C7" w:rsidP="00EA72C7">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МЕТОДЫ И ИНСТРУМЕНТАРИЙ УПРАВЛЕНИЯ ПРИРОДНЫМИ РЕСУРСАМИ </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pStyle w:val="2"/>
        <w:spacing w:before="0" w:line="240" w:lineRule="auto"/>
        <w:ind w:firstLine="709"/>
        <w:jc w:val="both"/>
        <w:rPr>
          <w:rFonts w:ascii="Times New Roman" w:eastAsia="Times New Roman" w:hAnsi="Times New Roman" w:cs="Times New Roman"/>
          <w:color w:val="000000"/>
          <w:sz w:val="28"/>
          <w:szCs w:val="28"/>
        </w:rPr>
      </w:pPr>
      <w:bookmarkStart w:id="10" w:name="_heading=h.2s8eyo1" w:colFirst="0" w:colLast="0"/>
      <w:bookmarkEnd w:id="10"/>
      <w:r>
        <w:rPr>
          <w:rFonts w:ascii="Times New Roman" w:eastAsia="Times New Roman" w:hAnsi="Times New Roman" w:cs="Times New Roman"/>
          <w:color w:val="000000"/>
          <w:sz w:val="28"/>
          <w:szCs w:val="28"/>
        </w:rPr>
        <w:t>2.1 Институциональные и законодательные основы деятельности государственных институтов в сфере управления природными ресурсами и охраны окружающей среды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Государственная власть в Казахстане едина, она осуществляется на основе Конституции </w:t>
      </w:r>
      <w:r>
        <w:rPr>
          <w:rFonts w:ascii="Times New Roman" w:eastAsia="Times New Roman" w:hAnsi="Times New Roman" w:cs="Times New Roman"/>
          <w:color w:val="000000"/>
          <w:sz w:val="28"/>
          <w:szCs w:val="28"/>
        </w:rPr>
        <w:t xml:space="preserve">РК 1995 г. </w:t>
      </w:r>
      <w:r w:rsidR="005F2A00">
        <w:rPr>
          <w:rFonts w:ascii="Times New Roman" w:eastAsia="Times New Roman" w:hAnsi="Times New Roman" w:cs="Times New Roman"/>
          <w:color w:val="000000"/>
          <w:sz w:val="28"/>
          <w:szCs w:val="28"/>
        </w:rPr>
        <w:t>[134</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и законов в соответствии с принципом ее разделения на законодательную, исполнительную и судебную.</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государственным структурам общей компетенции относятся: Президент, Парламент, Правительство, местные представительные органы.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Органы представительной власти по своему назначению выполняют руководящую роль в области охраны природы и рационального природопользования.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Парламент РК занимается законодательным выражением экологической политики страны, определяет основные направления деятельности исполнительной власти.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Исполнительная власть представляет сложную и разветвленную систему, в которой механизм применения экологического законодательства проявляет уровень своей эффективности.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Компетенции Правительства РК в области рационального природопользования и охраны окружающей среды (ООС) определены в Конституции РК, в Указе Президента РК, имеющем силу Конституционного закона, «О Правительстве РК» от 18 декабря 1995 г. </w:t>
      </w:r>
      <w:r w:rsidR="005F2A00">
        <w:rPr>
          <w:rFonts w:ascii="Times New Roman" w:eastAsia="Times New Roman" w:hAnsi="Times New Roman" w:cs="Times New Roman"/>
          <w:color w:val="000000"/>
          <w:sz w:val="28"/>
          <w:szCs w:val="28"/>
        </w:rPr>
        <w:t>[135</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и других нормативных актах.</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Правительство на основе статей 61, 64, 66, 85 Конституции обеспечивает государственное регулирование в области охраны окружающей среды и право государственной собственности на природные ресурсы, может издавать нормативные правовые акты.</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структуру Правительства входит Министерство экологии, геологии и природных ресурсов, которое осуществляет руководство и координацию деятельности в сферах формирования и реализации государственной политики, процессов управления в сферах охраны окружающей среды и развития «зеленой экономики».</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ведомства Министерства экологии, геологии и природных ресурсов:</w:t>
      </w:r>
    </w:p>
    <w:p w:rsidR="00EA72C7" w:rsidRDefault="00EA72C7" w:rsidP="00EA72C7">
      <w:pPr>
        <w:numPr>
          <w:ilvl w:val="0"/>
          <w:numId w:val="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Комитет геологии.</w:t>
      </w:r>
    </w:p>
    <w:p w:rsidR="00EA72C7" w:rsidRDefault="00EA72C7" w:rsidP="00EA72C7">
      <w:pPr>
        <w:numPr>
          <w:ilvl w:val="0"/>
          <w:numId w:val="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Комитет по водным ресурсам.</w:t>
      </w:r>
    </w:p>
    <w:p w:rsidR="00EA72C7" w:rsidRDefault="00EA72C7" w:rsidP="00EA72C7">
      <w:pPr>
        <w:numPr>
          <w:ilvl w:val="0"/>
          <w:numId w:val="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Комитет экологического регулирования и контроля.</w:t>
      </w:r>
    </w:p>
    <w:p w:rsidR="00EA72C7" w:rsidRDefault="00EA72C7" w:rsidP="00EA72C7">
      <w:pPr>
        <w:numPr>
          <w:ilvl w:val="0"/>
          <w:numId w:val="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Комитет лесного хозяйства и животного мира.</w:t>
      </w:r>
    </w:p>
    <w:p w:rsidR="00EA72C7" w:rsidRDefault="00EA72C7" w:rsidP="00EA72C7">
      <w:pPr>
        <w:numPr>
          <w:ilvl w:val="0"/>
          <w:numId w:val="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Комитет рыбного хозяйства.</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структуру Министерства экологии, геологии и природных ресурсов входят также 12 департаментов (Приложение Г).</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2018 году запущен Единый экологический интернет-ресурс Министерства экологии, геологии и природных ресурсов РК (</w:t>
      </w:r>
      <w:hyperlink r:id="rId8">
        <w:r>
          <w:rPr>
            <w:rFonts w:ascii="Times New Roman" w:eastAsia="Times New Roman" w:hAnsi="Times New Roman" w:cs="Times New Roman"/>
            <w:color w:val="000000"/>
            <w:sz w:val="28"/>
            <w:szCs w:val="28"/>
          </w:rPr>
          <w:t>http://ecogosfond.kz/</w:t>
        </w:r>
      </w:hyperlink>
      <w:r>
        <w:rPr>
          <w:rFonts w:ascii="Times New Roman" w:eastAsia="Times New Roman" w:hAnsi="Times New Roman" w:cs="Times New Roman"/>
          <w:sz w:val="28"/>
          <w:szCs w:val="28"/>
        </w:rPr>
        <w:t xml:space="preserve">). Правила ведения Государственного фонда экологической информации (ГФЭИ) утверждены Постановлением Правительства РК от 13 октября 2016 г. №589 </w:t>
      </w:r>
      <w:r w:rsidR="005F2A00">
        <w:rPr>
          <w:rFonts w:ascii="Times New Roman" w:eastAsia="Times New Roman" w:hAnsi="Times New Roman" w:cs="Times New Roman"/>
          <w:color w:val="000000"/>
          <w:sz w:val="28"/>
          <w:szCs w:val="28"/>
        </w:rPr>
        <w:t>[136</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Помимо Министерства экологии, геологии и природных ресурсов, в разработке и реализации экологической политики, экологическом мониторинге, экологической экспертизе, экологическом аудите, экологическом контроле; лицензировании, стандартизации, экологическом планировании и проектировании, в рамках своей компетенции непосредственное участие принимают такие министерства и ведомства, как: Министерство сельского хозяйства (МСХ); Комитет по водным ресурсам МСХ; Комитет по управлению земельными ресурсами МСХ; Комитет лесного хозяйства и животного мира МСХ; Министерство образования и науки; Комитет индустриального развития и промышленной безопасности Министерства по инвестициям и развитию (МИР); Комитет геологии и недропользования МИР; Комитет по защите прав потребителей Министерства национальной экономики (МНЭ); Департамент по изменению климата Министерства энергетики; Департамент по возобновляемым источникам энергии Министерства энергетики; Комитет по чрезвычайным ситуациям МВД и другие ведомства и государственные институты.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Существенную роль в процессе реализации экологической политики играют акиматы всех регионов и городов республиканского значения (Нур-Султан, Алматы, Шымкент) и органы местного самоуправления.</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основным элементам механизма обеспечения органами государственной власти и управления рационального природопользования и ООС относятся:</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экологическое нормирование;</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эколого-техническая регламентация;</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стандартизация;</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оценка воздействия на окружающую среду (ОВОС) и экологическая экспертиза; </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 планирование; </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 лицензирование;</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 сертификация;</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 экологический аудит;</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плата за природопользование;</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 страхование; </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 организационно-правовые средства информационного обеспечения рационального природопользования и ООС; </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 мониторинг окружающей среды; </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 государственные кадастры природных объектов; </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 статистический учет;</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экологический паспорт предприятия;</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 экологическая отчетность;</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экологический контроль и др.</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 состоянию на 2020 год природоохранное законодательство Казахстана включало комплекс нормативных правовых актов (НПА), где ведущую роль играют </w:t>
      </w:r>
      <w:r>
        <w:rPr>
          <w:rFonts w:ascii="Times New Roman" w:eastAsia="Times New Roman" w:hAnsi="Times New Roman" w:cs="Times New Roman"/>
          <w:color w:val="000000"/>
          <w:sz w:val="28"/>
          <w:szCs w:val="28"/>
        </w:rPr>
        <w:t>Конституция РК,</w:t>
      </w:r>
      <w:r>
        <w:rPr>
          <w:rFonts w:ascii="Times New Roman" w:eastAsia="Times New Roman" w:hAnsi="Times New Roman" w:cs="Times New Roman"/>
          <w:sz w:val="28"/>
          <w:szCs w:val="28"/>
        </w:rPr>
        <w:t xml:space="preserve"> Экологический кодекс РК </w:t>
      </w:r>
      <w:r w:rsidR="005F2A00">
        <w:rPr>
          <w:rFonts w:ascii="Times New Roman" w:eastAsia="Times New Roman" w:hAnsi="Times New Roman" w:cs="Times New Roman"/>
          <w:sz w:val="28"/>
          <w:szCs w:val="28"/>
        </w:rPr>
        <w:t xml:space="preserve">[8] </w:t>
      </w:r>
      <w:r>
        <w:rPr>
          <w:rFonts w:ascii="Times New Roman" w:eastAsia="Times New Roman" w:hAnsi="Times New Roman" w:cs="Times New Roman"/>
          <w:sz w:val="28"/>
          <w:szCs w:val="28"/>
        </w:rPr>
        <w:t xml:space="preserve">, Кодекс РК «О недрах и недропользовании» </w:t>
      </w:r>
      <w:r w:rsidR="005F2A00">
        <w:rPr>
          <w:rFonts w:ascii="Times New Roman" w:eastAsia="Times New Roman" w:hAnsi="Times New Roman" w:cs="Times New Roman"/>
          <w:sz w:val="28"/>
          <w:szCs w:val="28"/>
        </w:rPr>
        <w:t>[137</w:t>
      </w:r>
      <w:r>
        <w:rPr>
          <w:rFonts w:ascii="Times New Roman" w:eastAsia="Times New Roman" w:hAnsi="Times New Roman" w:cs="Times New Roman"/>
          <w:sz w:val="28"/>
          <w:szCs w:val="28"/>
        </w:rPr>
        <w:t xml:space="preserve">], Водный кодекс (ВК РК) </w:t>
      </w:r>
      <w:r w:rsidR="005F2A00">
        <w:rPr>
          <w:rFonts w:ascii="Times New Roman" w:eastAsia="Times New Roman" w:hAnsi="Times New Roman" w:cs="Times New Roman"/>
          <w:sz w:val="28"/>
          <w:szCs w:val="28"/>
        </w:rPr>
        <w:t>[138</w:t>
      </w:r>
      <w:r>
        <w:rPr>
          <w:rFonts w:ascii="Times New Roman" w:eastAsia="Times New Roman" w:hAnsi="Times New Roman" w:cs="Times New Roman"/>
          <w:sz w:val="28"/>
          <w:szCs w:val="28"/>
        </w:rPr>
        <w:t xml:space="preserve">], Земельный кодекс (ЗК РК) </w:t>
      </w:r>
      <w:r w:rsidR="005F2A00">
        <w:rPr>
          <w:rFonts w:ascii="Times New Roman" w:eastAsia="Times New Roman" w:hAnsi="Times New Roman" w:cs="Times New Roman"/>
          <w:sz w:val="28"/>
          <w:szCs w:val="28"/>
        </w:rPr>
        <w:t>[139</w:t>
      </w:r>
      <w:r>
        <w:rPr>
          <w:rFonts w:ascii="Times New Roman" w:eastAsia="Times New Roman" w:hAnsi="Times New Roman" w:cs="Times New Roman"/>
          <w:sz w:val="28"/>
          <w:szCs w:val="28"/>
        </w:rPr>
        <w:t xml:space="preserve">], Лесной кодекс (ЛК РК) </w:t>
      </w:r>
      <w:r w:rsidR="005738AE">
        <w:rPr>
          <w:rFonts w:ascii="Times New Roman" w:eastAsia="Times New Roman" w:hAnsi="Times New Roman" w:cs="Times New Roman"/>
          <w:sz w:val="28"/>
          <w:szCs w:val="28"/>
        </w:rPr>
        <w:t>[140</w:t>
      </w:r>
      <w:r>
        <w:rPr>
          <w:rFonts w:ascii="Times New Roman" w:eastAsia="Times New Roman" w:hAnsi="Times New Roman" w:cs="Times New Roman"/>
          <w:sz w:val="28"/>
          <w:szCs w:val="28"/>
        </w:rPr>
        <w:t>], и международные договоры, ратифицированные Республикой Казахстан.</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со ст. 31 Основного закона, государство ставит целью охрану окружающей среды, благоприятной для жизни и здоровья человека. Конституция содержит также положения: о природе, как публичном достоянии (ст. 6); о том, что граждане и их объединения вправе иметь в частной собственности землю (ст. 26); о праве граждан на охрану здоровья и медицинскую помощь (ст. 29); о правах и обязанностях граждан охранять окружающую среду (ст. 38), об институтах ответственности за нерациональное использование окружающей среды (статьи 31, 35, 78, 75).</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Статья 1 ЭК РК включает ряд ключевых терминов, относящихся к сфере государственного регулирования в области охраны окружающей среды и экологической безопасности личности, общества и государства: </w:t>
      </w:r>
      <w:r>
        <w:rPr>
          <w:rFonts w:ascii="Times New Roman" w:eastAsia="Times New Roman" w:hAnsi="Times New Roman" w:cs="Times New Roman"/>
          <w:i/>
          <w:sz w:val="28"/>
          <w:szCs w:val="28"/>
        </w:rPr>
        <w:t>биологическое разнообразие</w:t>
      </w:r>
      <w:r>
        <w:rPr>
          <w:rFonts w:ascii="Times New Roman" w:eastAsia="Times New Roman" w:hAnsi="Times New Roman" w:cs="Times New Roman"/>
          <w:sz w:val="28"/>
          <w:szCs w:val="28"/>
        </w:rPr>
        <w:t xml:space="preserve"> – «разнообразие объектов растительного и животного мира в рамках одного вида, между видами и в экологических системах»; </w:t>
      </w:r>
      <w:r>
        <w:rPr>
          <w:rFonts w:ascii="Times New Roman" w:eastAsia="Times New Roman" w:hAnsi="Times New Roman" w:cs="Times New Roman"/>
          <w:i/>
          <w:sz w:val="28"/>
          <w:szCs w:val="28"/>
        </w:rPr>
        <w:t xml:space="preserve">экологическая экспертиза проектов </w:t>
      </w:r>
      <w:r>
        <w:rPr>
          <w:rFonts w:ascii="Times New Roman" w:eastAsia="Times New Roman" w:hAnsi="Times New Roman" w:cs="Times New Roman"/>
          <w:sz w:val="28"/>
          <w:szCs w:val="28"/>
        </w:rPr>
        <w:t xml:space="preserve">– «экспертная оценка проектных решений и расчетов по вопросам экологической безопасности и инженерной защиты окружающей среды»; </w:t>
      </w:r>
      <w:r>
        <w:rPr>
          <w:rFonts w:ascii="Times New Roman" w:eastAsia="Times New Roman" w:hAnsi="Times New Roman" w:cs="Times New Roman"/>
          <w:i/>
          <w:sz w:val="28"/>
          <w:szCs w:val="28"/>
        </w:rPr>
        <w:t>опасные отходы</w:t>
      </w:r>
      <w:r>
        <w:rPr>
          <w:rFonts w:ascii="Times New Roman" w:eastAsia="Times New Roman" w:hAnsi="Times New Roman" w:cs="Times New Roman"/>
          <w:sz w:val="28"/>
          <w:szCs w:val="28"/>
        </w:rPr>
        <w:t xml:space="preserve"> – «отходы, которые содержат вредные вещества, обладающие одним или несколькими опасными свойствами»; </w:t>
      </w:r>
      <w:r>
        <w:rPr>
          <w:rFonts w:ascii="Times New Roman" w:eastAsia="Times New Roman" w:hAnsi="Times New Roman" w:cs="Times New Roman"/>
          <w:i/>
          <w:sz w:val="28"/>
          <w:szCs w:val="28"/>
        </w:rPr>
        <w:t xml:space="preserve">паспорт опасных отходов </w:t>
      </w:r>
      <w:r>
        <w:rPr>
          <w:rFonts w:ascii="Times New Roman" w:eastAsia="Times New Roman" w:hAnsi="Times New Roman" w:cs="Times New Roman"/>
          <w:sz w:val="28"/>
          <w:szCs w:val="28"/>
        </w:rPr>
        <w:t xml:space="preserve">– «документ, содержащий стандартизированное описание процессов образования отходов по месту их происхождения, их количественных и качественных показателей, правил обращения с ними»; </w:t>
      </w:r>
      <w:r>
        <w:rPr>
          <w:rFonts w:ascii="Times New Roman" w:eastAsia="Times New Roman" w:hAnsi="Times New Roman" w:cs="Times New Roman"/>
          <w:i/>
          <w:sz w:val="28"/>
          <w:szCs w:val="28"/>
        </w:rPr>
        <w:t>окружающая среда</w:t>
      </w:r>
      <w:r>
        <w:rPr>
          <w:rFonts w:ascii="Times New Roman" w:eastAsia="Times New Roman" w:hAnsi="Times New Roman" w:cs="Times New Roman"/>
          <w:sz w:val="28"/>
          <w:szCs w:val="28"/>
        </w:rPr>
        <w:t xml:space="preserve"> – «совокупность природных и искусственных объектов, включая атмосферный воздух, озоновый слой Земли, поверхностные и подземные воды, земли, недра, растительный и животный мир, а также климат в их взаимодействии»; </w:t>
      </w:r>
      <w:r>
        <w:rPr>
          <w:rFonts w:ascii="Times New Roman" w:eastAsia="Times New Roman" w:hAnsi="Times New Roman" w:cs="Times New Roman"/>
          <w:i/>
          <w:sz w:val="28"/>
          <w:szCs w:val="28"/>
        </w:rPr>
        <w:t>благоприятная окружающая среда</w:t>
      </w:r>
      <w:r>
        <w:rPr>
          <w:rFonts w:ascii="Times New Roman" w:eastAsia="Times New Roman" w:hAnsi="Times New Roman" w:cs="Times New Roman"/>
          <w:sz w:val="28"/>
          <w:szCs w:val="28"/>
        </w:rPr>
        <w:t xml:space="preserve"> – «окружающая среда, состояние которой обеспечивает экологическую безопасность и охрану здоровья населения, сохранение биоразнообразия, предотвращение загрязнения, устойчивое функционирование экологических систем, воспроизводство и рациональное использование природных ресурсов»; </w:t>
      </w:r>
      <w:r>
        <w:rPr>
          <w:rFonts w:ascii="Times New Roman" w:eastAsia="Times New Roman" w:hAnsi="Times New Roman" w:cs="Times New Roman"/>
          <w:i/>
          <w:sz w:val="28"/>
          <w:szCs w:val="28"/>
        </w:rPr>
        <w:t>ущерб окружающей среде</w:t>
      </w:r>
      <w:r>
        <w:rPr>
          <w:rFonts w:ascii="Times New Roman" w:eastAsia="Times New Roman" w:hAnsi="Times New Roman" w:cs="Times New Roman"/>
          <w:sz w:val="28"/>
          <w:szCs w:val="28"/>
        </w:rPr>
        <w:t xml:space="preserve"> – «загрязнение окружающей среды или изъятие природных ресурсов свыше установленных нормативов, вызвавшее или вызывающее деградацию и истощение природных ресурсов или гибель живых организмов»; </w:t>
      </w:r>
      <w:r>
        <w:rPr>
          <w:rFonts w:ascii="Times New Roman" w:eastAsia="Times New Roman" w:hAnsi="Times New Roman" w:cs="Times New Roman"/>
          <w:i/>
          <w:sz w:val="28"/>
          <w:szCs w:val="28"/>
        </w:rPr>
        <w:t>охрана окружающей среды</w:t>
      </w:r>
      <w:r>
        <w:rPr>
          <w:rFonts w:ascii="Times New Roman" w:eastAsia="Times New Roman" w:hAnsi="Times New Roman" w:cs="Times New Roman"/>
          <w:sz w:val="28"/>
          <w:szCs w:val="28"/>
        </w:rPr>
        <w:t xml:space="preserve"> – «система государственных и общественных мер, направленных на сохранение и восстановление окружающей среды, предотвращение негативного воздействия хозяйственной и иной деятельности на окружающую среду и ликвидацию ее последствий»; </w:t>
      </w:r>
      <w:r>
        <w:rPr>
          <w:rFonts w:ascii="Times New Roman" w:eastAsia="Times New Roman" w:hAnsi="Times New Roman" w:cs="Times New Roman"/>
          <w:i/>
          <w:sz w:val="28"/>
          <w:szCs w:val="28"/>
        </w:rPr>
        <w:t>загрязнение окружающей среды</w:t>
      </w:r>
      <w:r>
        <w:rPr>
          <w:rFonts w:ascii="Times New Roman" w:eastAsia="Times New Roman" w:hAnsi="Times New Roman" w:cs="Times New Roman"/>
          <w:sz w:val="28"/>
          <w:szCs w:val="28"/>
        </w:rPr>
        <w:t xml:space="preserve"> – «поступление в окружающую среду загрязняющих веществ, радиоактивных материалов, отходов производства и потребления, а также влияние на окружающую среду шума, вибраций, магнитных полей и иных вредных физических воздействий»; </w:t>
      </w:r>
      <w:r>
        <w:rPr>
          <w:rFonts w:ascii="Times New Roman" w:eastAsia="Times New Roman" w:hAnsi="Times New Roman" w:cs="Times New Roman"/>
          <w:i/>
          <w:sz w:val="28"/>
          <w:szCs w:val="28"/>
        </w:rPr>
        <w:t xml:space="preserve">нормативы </w:t>
      </w:r>
      <w:r>
        <w:rPr>
          <w:rFonts w:ascii="Times New Roman" w:eastAsia="Times New Roman" w:hAnsi="Times New Roman" w:cs="Times New Roman"/>
          <w:i/>
          <w:sz w:val="28"/>
          <w:szCs w:val="28"/>
        </w:rPr>
        <w:lastRenderedPageBreak/>
        <w:t>качества окружающей среды</w:t>
      </w:r>
      <w:r>
        <w:rPr>
          <w:rFonts w:ascii="Times New Roman" w:eastAsia="Times New Roman" w:hAnsi="Times New Roman" w:cs="Times New Roman"/>
          <w:sz w:val="28"/>
          <w:szCs w:val="28"/>
        </w:rPr>
        <w:t xml:space="preserve"> – «показатели, характеризующие благоприятное для жизни и здоровья человека состояние окружающей среды и природных ресурсов»; </w:t>
      </w:r>
      <w:r>
        <w:rPr>
          <w:rFonts w:ascii="Times New Roman" w:eastAsia="Times New Roman" w:hAnsi="Times New Roman" w:cs="Times New Roman"/>
          <w:i/>
          <w:sz w:val="28"/>
          <w:szCs w:val="28"/>
        </w:rPr>
        <w:t>целевые показатели качества окружающей среды</w:t>
      </w:r>
      <w:r>
        <w:rPr>
          <w:rFonts w:ascii="Times New Roman" w:eastAsia="Times New Roman" w:hAnsi="Times New Roman" w:cs="Times New Roman"/>
          <w:sz w:val="28"/>
          <w:szCs w:val="28"/>
        </w:rPr>
        <w:t xml:space="preserve"> – «показатели, характеризующие предельный уровень нормируемых параметров окружающей среды на определенный период времени с учетом необходимости постепенного улучшения качества окружающей среды»; </w:t>
      </w:r>
      <w:r>
        <w:rPr>
          <w:rFonts w:ascii="Times New Roman" w:eastAsia="Times New Roman" w:hAnsi="Times New Roman" w:cs="Times New Roman"/>
          <w:i/>
          <w:sz w:val="28"/>
          <w:szCs w:val="28"/>
        </w:rPr>
        <w:t xml:space="preserve">государственный экологический контроль </w:t>
      </w:r>
      <w:r>
        <w:rPr>
          <w:rFonts w:ascii="Times New Roman" w:eastAsia="Times New Roman" w:hAnsi="Times New Roman" w:cs="Times New Roman"/>
          <w:sz w:val="28"/>
          <w:szCs w:val="28"/>
        </w:rPr>
        <w:t xml:space="preserve">– «деятельность уполномоченного органа в пределах его компетенции, направленная на обеспечение соблюдения физическими и юридическими лицами требований законов»; </w:t>
      </w:r>
      <w:r>
        <w:rPr>
          <w:rFonts w:ascii="Times New Roman" w:eastAsia="Times New Roman" w:hAnsi="Times New Roman" w:cs="Times New Roman"/>
          <w:i/>
          <w:sz w:val="28"/>
          <w:szCs w:val="28"/>
        </w:rPr>
        <w:t>экологическая система (экосистема)</w:t>
      </w:r>
      <w:r>
        <w:rPr>
          <w:rFonts w:ascii="Times New Roman" w:eastAsia="Times New Roman" w:hAnsi="Times New Roman" w:cs="Times New Roman"/>
          <w:sz w:val="28"/>
          <w:szCs w:val="28"/>
        </w:rPr>
        <w:t xml:space="preserve"> – «взаимосвязанная совокупность организмов и неживой среды их обитания, взаимодействующих как единое функциональное целое»; </w:t>
      </w:r>
      <w:r>
        <w:rPr>
          <w:rFonts w:ascii="Times New Roman" w:eastAsia="Times New Roman" w:hAnsi="Times New Roman" w:cs="Times New Roman"/>
          <w:i/>
          <w:sz w:val="28"/>
          <w:szCs w:val="28"/>
        </w:rPr>
        <w:t xml:space="preserve">экологический менеджмент </w:t>
      </w:r>
      <w:r>
        <w:rPr>
          <w:rFonts w:ascii="Times New Roman" w:eastAsia="Times New Roman" w:hAnsi="Times New Roman" w:cs="Times New Roman"/>
          <w:sz w:val="28"/>
          <w:szCs w:val="28"/>
        </w:rPr>
        <w:t xml:space="preserve">– «административное управление охраной окружающей среды, которое включает в себя организационную структуру, планирование, ответственность, методы, процедуры, процессы и ресурсы для разработки, внедрения, выполнения, анализа и поддержания экологической политики предприятия»; </w:t>
      </w:r>
      <w:r>
        <w:rPr>
          <w:rFonts w:ascii="Times New Roman" w:eastAsia="Times New Roman" w:hAnsi="Times New Roman" w:cs="Times New Roman"/>
          <w:i/>
          <w:sz w:val="28"/>
          <w:szCs w:val="28"/>
        </w:rPr>
        <w:t>экологический мониторинг</w:t>
      </w:r>
      <w:r>
        <w:rPr>
          <w:rFonts w:ascii="Times New Roman" w:eastAsia="Times New Roman" w:hAnsi="Times New Roman" w:cs="Times New Roman"/>
          <w:sz w:val="28"/>
          <w:szCs w:val="28"/>
        </w:rPr>
        <w:t xml:space="preserve"> – «систематические наблюдения и оценка состояния окружающей среды и воздействия на нее»; </w:t>
      </w:r>
      <w:r>
        <w:rPr>
          <w:rFonts w:ascii="Times New Roman" w:eastAsia="Times New Roman" w:hAnsi="Times New Roman" w:cs="Times New Roman"/>
          <w:i/>
          <w:sz w:val="28"/>
          <w:szCs w:val="28"/>
        </w:rPr>
        <w:t>экологическая безопасность</w:t>
      </w:r>
      <w:r>
        <w:rPr>
          <w:rFonts w:ascii="Times New Roman" w:eastAsia="Times New Roman" w:hAnsi="Times New Roman" w:cs="Times New Roman"/>
          <w:sz w:val="28"/>
          <w:szCs w:val="28"/>
        </w:rPr>
        <w:t xml:space="preserve"> - состояние защищенности жизненно важных интересов и прав личности, общества и государства от угроз, возникающих в результате антропогенных и природных воздействий на окружающую среду»; </w:t>
      </w:r>
      <w:r>
        <w:rPr>
          <w:rFonts w:ascii="Times New Roman" w:eastAsia="Times New Roman" w:hAnsi="Times New Roman" w:cs="Times New Roman"/>
          <w:i/>
          <w:sz w:val="28"/>
          <w:szCs w:val="28"/>
        </w:rPr>
        <w:t>экологический риск</w:t>
      </w:r>
      <w:r>
        <w:rPr>
          <w:rFonts w:ascii="Times New Roman" w:eastAsia="Times New Roman" w:hAnsi="Times New Roman" w:cs="Times New Roman"/>
          <w:sz w:val="28"/>
          <w:szCs w:val="28"/>
        </w:rPr>
        <w:t xml:space="preserve"> - вероятность неблагоприятных изменений состояния окружающей среды и (или) природных объектов вследствие влияния определенных факторов», и другие.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Новые поправки в ЭК РК предусматривают усиление контроля над крупными природопользователями, а также стимулирование внедрения новейших экологически чистых технологий («наилучших доступных технологий», НДП) на крупнейших предприятиях. Обновленный ЭК РК содержит нормы, требующие обязательное получение с 2025 года комплексного экологического разрешения (КЭР) для строительства и эксплуатации объектов I категории, к которым относятся проекты, оказывающие значительное вредное воздействие на окружающую среду. На первом этапе планируется перевод на НДТ 50 крупнейших предприятий из нефтегазовой, горно-металлургической, химической и электроэнергетической отраслей, на которых приходится до 90% загрязнения.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 РК также вводит 5-ступенчатую иерархию отходов и обязательную «поэтапность» в обращении с ними: предотвращение/минимизация образования – повторное использование, переработка, утилизация – захоронение. Санкции за нарушение нормативов эмиссий в окружающую среду планируется увеличить в 10 раз. В случае повторного нарушения – в 20 раз.</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соответствии с частью 1 статьи 6 Конституции РК, земля и ее недра, воды, растительный и животный мир, другие природные ресурсы находятся в государственной собственности.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экономической точки зрения недропользование, в частности нефтегазовая отрасль, является в республике перспективной, она обеспечивает </w:t>
      </w:r>
      <w:r>
        <w:rPr>
          <w:rFonts w:ascii="Times New Roman" w:eastAsia="Times New Roman" w:hAnsi="Times New Roman" w:cs="Times New Roman"/>
          <w:sz w:val="28"/>
          <w:szCs w:val="28"/>
        </w:rPr>
        <w:lastRenderedPageBreak/>
        <w:t xml:space="preserve">значительную часть национального валового продукта, бюджетного дохода и валютного поступления в страну. Нефтегазовая отрасль оказывает значительное воздействие на социально-экономическое развитие РК и ее отдельных регионов, по сути, является локомотивом для всей экономики государства, способствуя развитию других отраслей экономики. Нефтегазовый сектор обеспечивает 1/5 ВВП (21,3%), около 2/3 совокупной экспортной выручки (70%) и почти половину доходов государственного бюджета (44%) </w:t>
      </w:r>
      <w:r w:rsidR="005738AE">
        <w:rPr>
          <w:rFonts w:ascii="Times New Roman" w:eastAsia="Times New Roman" w:hAnsi="Times New Roman" w:cs="Times New Roman"/>
          <w:sz w:val="28"/>
          <w:szCs w:val="28"/>
        </w:rPr>
        <w:t>[141</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Нефтегазонососные районы занимают 62% территории республики </w:t>
      </w:r>
      <w:r w:rsidR="005738AE">
        <w:rPr>
          <w:rFonts w:ascii="Times New Roman" w:eastAsia="Times New Roman" w:hAnsi="Times New Roman" w:cs="Times New Roman"/>
          <w:sz w:val="28"/>
          <w:szCs w:val="28"/>
        </w:rPr>
        <w:t>[142</w:t>
      </w:r>
      <w:r>
        <w:rPr>
          <w:rFonts w:ascii="Times New Roman" w:eastAsia="Times New Roman" w:hAnsi="Times New Roman" w:cs="Times New Roman"/>
          <w:sz w:val="28"/>
          <w:szCs w:val="28"/>
        </w:rPr>
        <w:t>]. Общие извлекаемые запасы углеводородов в РК составляют: нефти – порядка 11-12 млрд. т., природного горючего газа – около 4 трлн. куб. м., конденсата – 371 млн. т. Основными нефтегазоносными районами являются: Прикаспийская впадина, Мангышлак, Бузачи, Южно-Тургайский прогиб. В стране открыто свыше 400 месторождений нефти и газа, 200 из которых освоены. Доли основных нефтяных месторождений в 2013 году в республике представлены на рисунке 3.</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6FBE69C" wp14:editId="28CAC3DE">
            <wp:extent cx="5181600" cy="2371725"/>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A72C7" w:rsidRDefault="00EA72C7" w:rsidP="00EA72C7">
      <w:pPr>
        <w:spacing w:after="0" w:line="240" w:lineRule="auto"/>
        <w:jc w:val="center"/>
        <w:rPr>
          <w:rFonts w:ascii="Times New Roman" w:eastAsia="Times New Roman" w:hAnsi="Times New Roman" w:cs="Times New Roman"/>
          <w:sz w:val="16"/>
          <w:szCs w:val="16"/>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 – Доли основных месторождений нефти в РК, %</w:t>
      </w:r>
    </w:p>
    <w:p w:rsidR="00EA72C7" w:rsidRDefault="00EA72C7" w:rsidP="00EA72C7">
      <w:pPr>
        <w:spacing w:after="0" w:line="240" w:lineRule="auto"/>
        <w:ind w:firstLine="709"/>
        <w:jc w:val="both"/>
        <w:rPr>
          <w:rFonts w:ascii="Times New Roman" w:eastAsia="Times New Roman" w:hAnsi="Times New Roman" w:cs="Times New Roman"/>
          <w:sz w:val="16"/>
          <w:szCs w:val="16"/>
        </w:rPr>
      </w:pPr>
    </w:p>
    <w:p w:rsidR="00EA72C7" w:rsidRDefault="00EA72C7" w:rsidP="00EA72C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 Составлено по источнику </w:t>
      </w:r>
      <w:r w:rsidR="005738AE">
        <w:rPr>
          <w:rFonts w:ascii="Times New Roman" w:eastAsia="Times New Roman" w:hAnsi="Times New Roman" w:cs="Times New Roman"/>
          <w:sz w:val="24"/>
          <w:szCs w:val="24"/>
        </w:rPr>
        <w:t>[143</w:t>
      </w:r>
      <w:r>
        <w:rPr>
          <w:rFonts w:ascii="Times New Roman" w:eastAsia="Times New Roman" w:hAnsi="Times New Roman" w:cs="Times New Roman"/>
          <w:sz w:val="24"/>
          <w:szCs w:val="24"/>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Тенгиз - гигантское нефтегазовое месторождение, находящееся в 160 км к юго-востоку от Атырау. Верхний нефтеносный коллектор недр залегает на глубине около 4 км. Разведанный запас 3,1 млрд. тонн или 26 млрд. баррелей.</w:t>
      </w:r>
      <w:r>
        <w:t xml:space="preserve"> </w:t>
      </w:r>
      <w:r>
        <w:rPr>
          <w:rFonts w:ascii="Times New Roman" w:eastAsia="Times New Roman" w:hAnsi="Times New Roman" w:cs="Times New Roman"/>
          <w:sz w:val="28"/>
          <w:szCs w:val="28"/>
        </w:rPr>
        <w:t>Месторождение обеспечивает около 30% нефтедобычи от общереспубликанского уровня.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Всего в Прикаспийской нефтегазоносной провинции работают 176 компаний, занимающихся добычей и разведкой углеводородов </w:t>
      </w:r>
      <w:r w:rsidR="005738AE">
        <w:rPr>
          <w:rFonts w:ascii="Times New Roman" w:eastAsia="Times New Roman" w:hAnsi="Times New Roman" w:cs="Times New Roman"/>
          <w:sz w:val="28"/>
          <w:szCs w:val="28"/>
        </w:rPr>
        <w:t>[144</w:t>
      </w:r>
      <w:r>
        <w:rPr>
          <w:rFonts w:ascii="Times New Roman" w:eastAsia="Times New Roman" w:hAnsi="Times New Roman" w:cs="Times New Roman"/>
          <w:sz w:val="28"/>
          <w:szCs w:val="28"/>
        </w:rPr>
        <w:t>]. 90% запасов нефти (категории А+В+С1 и С2) распределено между 12 крупнейшими недропользователями, а именно: «Норт Каспиан Оперейтинг Компани» (45%) и «Тенгизшевройл» (24%). На НК «КазМунайГаз» приходится около 20%. Еще около 10% – на долю компаний, разрабатывающих средние и мелкие объекты, оставшийся 1% месторождений находится в общем фонде и свободен от недропользования.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настоящее время стратегическое развитие нефтедобычи и нефтепереработки в Казахстане осуществляется в соответствии с Концепцией развития топливно-энергетического комплекса РК до 2030 года [94, р. 118-119], согласно которой стратегическими приоритетами развития ТЭК являются: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энергетическая безопасность;</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развитие ресурсной базы;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улучшение экологии.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состоянию на 1 января 2022 года удельный вес добычи нефти и природного газа в общереспубликанском объеме промышленной продукции составил 44,3%. Первое место среди регионов РК по добыче нефти занимает Атырауская область, на которую за 2021 г. пришлось 47,8 млн. тонн (рисунок 4).</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5C8E349" wp14:editId="06C40D83">
            <wp:extent cx="5981700" cy="282892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A72C7" w:rsidRDefault="00EA72C7" w:rsidP="00EA72C7">
      <w:pPr>
        <w:spacing w:after="0" w:line="240" w:lineRule="auto"/>
        <w:jc w:val="center"/>
        <w:rPr>
          <w:rFonts w:ascii="Times New Roman" w:eastAsia="Times New Roman" w:hAnsi="Times New Roman" w:cs="Times New Roman"/>
          <w:sz w:val="16"/>
          <w:szCs w:val="16"/>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4 – Объем производства нефти по регионам РК, 2016-2021 гг. </w:t>
      </w: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(млн. тонн)</w:t>
      </w:r>
    </w:p>
    <w:p w:rsidR="00EA72C7" w:rsidRPr="007F4A3D" w:rsidRDefault="00EA72C7" w:rsidP="00EA72C7">
      <w:pPr>
        <w:spacing w:after="0" w:line="240" w:lineRule="auto"/>
        <w:jc w:val="both"/>
        <w:rPr>
          <w:rFonts w:ascii="Times New Roman" w:eastAsia="Times New Roman" w:hAnsi="Times New Roman" w:cs="Times New Roman"/>
          <w:color w:val="FF0000"/>
          <w:sz w:val="16"/>
          <w:szCs w:val="16"/>
        </w:rPr>
      </w:pPr>
    </w:p>
    <w:p w:rsidR="00EA72C7" w:rsidRPr="00F233DE" w:rsidRDefault="00EA72C7" w:rsidP="00EA72C7">
      <w:pPr>
        <w:spacing w:after="0" w:line="240" w:lineRule="auto"/>
        <w:ind w:firstLine="709"/>
        <w:jc w:val="both"/>
        <w:rPr>
          <w:rFonts w:ascii="Times New Roman" w:eastAsia="Times New Roman" w:hAnsi="Times New Roman" w:cs="Times New Roman"/>
          <w:sz w:val="28"/>
          <w:szCs w:val="28"/>
        </w:rPr>
      </w:pPr>
      <w:r w:rsidRPr="00F233DE">
        <w:rPr>
          <w:rFonts w:ascii="Times New Roman" w:eastAsia="Times New Roman" w:hAnsi="Times New Roman" w:cs="Times New Roman"/>
          <w:sz w:val="24"/>
          <w:szCs w:val="24"/>
        </w:rPr>
        <w:t xml:space="preserve">Примечание – Составлено по источнику </w:t>
      </w:r>
      <w:r w:rsidR="005738AE">
        <w:rPr>
          <w:rFonts w:ascii="Times New Roman" w:eastAsia="Times New Roman" w:hAnsi="Times New Roman" w:cs="Times New Roman"/>
          <w:sz w:val="24"/>
          <w:szCs w:val="24"/>
        </w:rPr>
        <w:t>[145</w:t>
      </w:r>
      <w:r w:rsidRPr="00F233DE">
        <w:rPr>
          <w:rFonts w:ascii="Times New Roman" w:eastAsia="Times New Roman" w:hAnsi="Times New Roman" w:cs="Times New Roman"/>
          <w:sz w:val="24"/>
          <w:szCs w:val="24"/>
        </w:rPr>
        <w:t xml:space="preserve">] </w:t>
      </w:r>
      <w:r w:rsidRPr="00F233DE">
        <w:rPr>
          <w:rFonts w:ascii="Times New Roman" w:eastAsia="Times New Roman" w:hAnsi="Times New Roman" w:cs="Times New Roman"/>
          <w:sz w:val="28"/>
          <w:szCs w:val="28"/>
        </w:rPr>
        <w:t xml:space="preserve"> </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ст. 3 Кодекса РК «О недрах и недропользовании», целью законодательства о недрах и недропользования является обеспечение устойчивого развития минерально-сырьевой базы РК для экономического роста государства и благосостояния общества. Как следует из ст. 4 Кодекса РК о недрах, правовое регулирование отношений в сфере недропользования основывается на принципах: рационального управления государственным фондом недр; обеспечения экологической безопасности при пользовании недрами; доступности информации в сфере недропользования; платности недропользования; добросовестности недропользователей; стабильности условий недропользования.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Проблема в том, что многие контракты на недропользование по крупнейшим месторождениям заключались в 90-х годах прошлого века. В те годы законодательство о недропользовании было несовершенным и практически не учитывало экологические аспекты добывающей промышленности и </w:t>
      </w:r>
      <w:r>
        <w:rPr>
          <w:rFonts w:ascii="Times New Roman" w:eastAsia="Times New Roman" w:hAnsi="Times New Roman" w:cs="Times New Roman"/>
          <w:sz w:val="28"/>
          <w:szCs w:val="28"/>
        </w:rPr>
        <w:lastRenderedPageBreak/>
        <w:t>горнорудного сектора. В итоге до сих пор возникают ситуации, когда некоторые вопросы должным образом не регламентированы, ни положениями закрепленного в контракте режима недропользования, ни положениями применимого законодательства.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Нефтедобыча относится к числу отраслей, которые наносят значительный экологический вред окружающей среде. Давно доказано, что для всех способов разработки месторождений УВС характерно воздействие на биосферу, затрагивающее практически все ее элементы: водный и воздушный бассейны, землю, недра, растительный и животный мир. Это воздействие может быть, как непосредственным (прямым), так и косвенным, являющимся следствием первого. Размеры зоны распространения косвенного воздействия значительно превышают размеры зоны локализации прямого воздействия и, как правило, в зону распространения косвенного воздействия попадает не только элемент биосферы, подвергающийся непосредственному воздействию, но и другие элементы </w:t>
      </w:r>
      <w:r w:rsidR="005738AE">
        <w:rPr>
          <w:rFonts w:ascii="Times New Roman" w:eastAsia="Times New Roman" w:hAnsi="Times New Roman" w:cs="Times New Roman"/>
          <w:sz w:val="28"/>
          <w:szCs w:val="28"/>
        </w:rPr>
        <w:t>[146</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мере освоения крупных месторождений, даже в условиях более развитой законодательной базы, одним из мощных загрязнителей окружающей среды в регионах разработки и эксплуатации нефтяных и газовых месторождений являются газовые выбросы и сжигание попутного газа, что приводит к значительным выбросам твердых загрязняющих веществ и ухудшению экологической обстановки в нефтепромысловых районах, которая особенно сильно п</w:t>
      </w:r>
      <w:r w:rsidR="00CB3555">
        <w:rPr>
          <w:rFonts w:ascii="Times New Roman" w:eastAsia="Times New Roman" w:hAnsi="Times New Roman" w:cs="Times New Roman"/>
          <w:sz w:val="28"/>
          <w:szCs w:val="28"/>
        </w:rPr>
        <w:t>роявляется в Атырауской области.</w:t>
      </w:r>
      <w:r>
        <w:rPr>
          <w:rFonts w:ascii="Times New Roman" w:eastAsia="Times New Roman" w:hAnsi="Times New Roman" w:cs="Times New Roman"/>
          <w:sz w:val="28"/>
          <w:szCs w:val="28"/>
        </w:rPr>
        <w:t xml:space="preserve"> Попутные нефтяные газы являются сме</w:t>
      </w:r>
      <w:r w:rsidR="00CB3555">
        <w:rPr>
          <w:rFonts w:ascii="Times New Roman" w:eastAsia="Times New Roman" w:hAnsi="Times New Roman" w:cs="Times New Roman"/>
          <w:sz w:val="28"/>
          <w:szCs w:val="28"/>
        </w:rPr>
        <w:t>сью газообразных углеводородов</w:t>
      </w:r>
      <w:r>
        <w:rPr>
          <w:rFonts w:ascii="Times New Roman" w:eastAsia="Times New Roman" w:hAnsi="Times New Roman" w:cs="Times New Roman"/>
          <w:sz w:val="28"/>
          <w:szCs w:val="28"/>
        </w:rPr>
        <w:t xml:space="preserve"> растворены в нефти и выделяются в процессе добычи и переработки нефтеценного сырья.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Недропользователи на территории Казахстана обязаны придерживаться отраслевых требований и технических стандартов, направленных на обеспечение промышленной и экологической безопасности в сфере нефте- и газодобычи, транспортировки и хранения УВС. Прежде всего, это Технический регламент «Требования к безопасности строительства наземных и морских производственных объектов, связанных с нефтяными операциями» от 31 декабря 2008 г.; Приказ Министра по инвестициям и развитию РК от 30 декабря 2014 года №354 «Об утверждении Правил обеспечения промышленной безопасности при эксплуатации магистральных трубопроводов»; Приказ Министра по инвестициям и развитию РК от 30 декабря 2014 года №355 «Об утверждении Правил обеспечения промышленной безопасности для опасных производственных объектов нефтяной и газовой отраслей промышленности»; Приказ Министра по инвестициям и развитию РК от 30 декабря 2014 г. №356 «Об утверждении Правил обеспечения промышленной безопасности для опасных производственных объектов, осуществляющих проведение нефтяных операций на море» и другие.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Важное значение для безопасности в отрасли имеет также СТ РК ISO 14001-2016 «Система экологического менеджмента. Требования и руководство к применению», который соответствует международному стандарту, разработанному для управления экологической деятельностью </w:t>
      </w:r>
      <w:r>
        <w:rPr>
          <w:rFonts w:ascii="Times New Roman" w:eastAsia="Times New Roman" w:hAnsi="Times New Roman" w:cs="Times New Roman"/>
          <w:sz w:val="28"/>
          <w:szCs w:val="28"/>
        </w:rPr>
        <w:lastRenderedPageBreak/>
        <w:t xml:space="preserve">предприятия. Однако, сертификация систем экологического менеджмента для казахстанских компаний дело добровольное.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Реальность хозяйственной практики во многих странах, включая Казахстан, состоит в том, что, если субъекту природопользования, в качестве которых выступают, в том числе нефтегазовые ТНК, приходится выбирать между экономической выгодой и соблюдением экологических требований, предпочтение, как правило, отдается первой. Порой даже авторитетные экологические организации и факты расследования ведущих СМИ не в состоянии привлечь внимание правительства к экологическим нарушениям со стороны нефтегазовых компаний.</w:t>
      </w:r>
    </w:p>
    <w:p w:rsidR="00EA72C7" w:rsidRDefault="00EA72C7" w:rsidP="00EA72C7">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Важнейшей отраслью экономики Казахстана является также сельское хозяйство. Исторически эта отрасль было и остается для республики стратегическим направлением. Значительная территория (площадь страны – 2 724 902 кв. км), расположенная в нескольких климатических поясах, позволяет культивировать различные культуры, выращивать в натуральных условиях многие виды скота и птицы. </w:t>
      </w:r>
    </w:p>
    <w:p w:rsidR="00EA72C7" w:rsidRDefault="00EA72C7" w:rsidP="00EA72C7">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сельской местности проживает половина населения Казахстана, а количество занятых в сельском хозяйстве составляет четверть от всех занятых в экономике. Это придает аграрному сектору особое социально-экономическое значение. Стремительное удорожание продуктов питания во всем мире, в основе которого глобальный фактор истощения природных ресурсов, актуализирует вопрос национальной продовольственной безопасности, возлагая на национальное сельское хозяйство задачу расширения производства продуктов питания.</w:t>
      </w:r>
    </w:p>
    <w:p w:rsidR="00EA72C7" w:rsidRDefault="00EA72C7" w:rsidP="00EA72C7">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Состояние сельского хозяйства в Казахстане имеет разнонаправленную динамику. Но по данным МНЭ РК, за период с 2010-2021 гг. по категории «сельское, лесное и рыбное хозяйство» показатели валового выпуска продукции постоянно росли (рисунок 5).</w:t>
      </w:r>
    </w:p>
    <w:p w:rsidR="00EA72C7" w:rsidRDefault="00EA72C7" w:rsidP="00EA72C7">
      <w:pPr>
        <w:tabs>
          <w:tab w:val="left" w:pos="709"/>
        </w:tabs>
        <w:spacing w:after="0" w:line="240" w:lineRule="auto"/>
        <w:ind w:firstLine="709"/>
        <w:jc w:val="both"/>
        <w:rPr>
          <w:rFonts w:ascii="Times New Roman" w:eastAsia="Times New Roman" w:hAnsi="Times New Roman" w:cs="Times New Roman"/>
          <w:sz w:val="28"/>
          <w:szCs w:val="28"/>
        </w:rPr>
      </w:pPr>
    </w:p>
    <w:p w:rsidR="00EA72C7" w:rsidRDefault="00EA72C7" w:rsidP="00EA72C7">
      <w:pPr>
        <w:keepNext/>
        <w:tabs>
          <w:tab w:val="left" w:pos="3300"/>
        </w:tabs>
        <w:spacing w:after="0" w:line="240" w:lineRule="auto"/>
        <w:jc w:val="center"/>
      </w:pPr>
      <w:r>
        <w:rPr>
          <w:noProof/>
        </w:rPr>
        <w:drawing>
          <wp:inline distT="0" distB="0" distL="0" distR="0" wp14:anchorId="2A471197" wp14:editId="037A8DC6">
            <wp:extent cx="5324475" cy="2352675"/>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A72C7" w:rsidRDefault="00EA72C7" w:rsidP="00EA72C7">
      <w:pPr>
        <w:tabs>
          <w:tab w:val="left" w:pos="3300"/>
        </w:tabs>
        <w:spacing w:after="0" w:line="240" w:lineRule="auto"/>
        <w:jc w:val="center"/>
        <w:rPr>
          <w:rFonts w:ascii="Times New Roman" w:eastAsia="Times New Roman" w:hAnsi="Times New Roman" w:cs="Times New Roman"/>
          <w:sz w:val="16"/>
          <w:szCs w:val="16"/>
        </w:rPr>
      </w:pPr>
      <w:bookmarkStart w:id="11" w:name="_heading=h.17dp8vu" w:colFirst="0" w:colLast="0"/>
      <w:bookmarkEnd w:id="11"/>
    </w:p>
    <w:p w:rsidR="00EA72C7" w:rsidRDefault="00EA72C7" w:rsidP="00EA72C7">
      <w:pPr>
        <w:tabs>
          <w:tab w:val="left" w:pos="330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5 – Валовый выпуск продукции сельского хозяйства в РК,</w:t>
      </w:r>
    </w:p>
    <w:p w:rsidR="00EA72C7" w:rsidRDefault="00EA72C7" w:rsidP="00EA72C7">
      <w:pPr>
        <w:tabs>
          <w:tab w:val="left" w:pos="330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2010-2021 гг., трлн. тенге</w:t>
      </w:r>
    </w:p>
    <w:p w:rsidR="00EA72C7" w:rsidRDefault="00EA72C7" w:rsidP="00EA72C7">
      <w:pPr>
        <w:tabs>
          <w:tab w:val="left" w:pos="3300"/>
        </w:tabs>
        <w:spacing w:after="0" w:line="240" w:lineRule="auto"/>
        <w:ind w:firstLine="709"/>
        <w:jc w:val="both"/>
        <w:rPr>
          <w:rFonts w:ascii="Times New Roman" w:eastAsia="Times New Roman" w:hAnsi="Times New Roman" w:cs="Times New Roman"/>
          <w:sz w:val="16"/>
          <w:szCs w:val="16"/>
        </w:rPr>
      </w:pPr>
    </w:p>
    <w:p w:rsidR="00EA72C7" w:rsidRPr="005C64BA" w:rsidRDefault="00EA72C7" w:rsidP="00EA72C7">
      <w:pPr>
        <w:tabs>
          <w:tab w:val="left" w:pos="3300"/>
        </w:tabs>
        <w:spacing w:after="0" w:line="240" w:lineRule="auto"/>
        <w:ind w:firstLine="709"/>
        <w:jc w:val="both"/>
        <w:rPr>
          <w:rFonts w:ascii="Times New Roman" w:eastAsia="Times New Roman" w:hAnsi="Times New Roman" w:cs="Times New Roman"/>
          <w:sz w:val="24"/>
          <w:szCs w:val="24"/>
        </w:rPr>
      </w:pPr>
      <w:r w:rsidRPr="005C64BA">
        <w:rPr>
          <w:rFonts w:ascii="Times New Roman" w:eastAsia="Times New Roman" w:hAnsi="Times New Roman" w:cs="Times New Roman"/>
          <w:sz w:val="24"/>
          <w:szCs w:val="24"/>
        </w:rPr>
        <w:t xml:space="preserve">Примечание – Составлено автором по источнику </w:t>
      </w:r>
      <w:r w:rsidR="005738AE">
        <w:rPr>
          <w:rFonts w:ascii="Times New Roman" w:eastAsia="Times New Roman" w:hAnsi="Times New Roman" w:cs="Times New Roman"/>
          <w:sz w:val="24"/>
          <w:szCs w:val="24"/>
        </w:rPr>
        <w:t>[147</w:t>
      </w:r>
      <w:r w:rsidRPr="005C64BA">
        <w:rPr>
          <w:rFonts w:ascii="Times New Roman" w:eastAsia="Times New Roman" w:hAnsi="Times New Roman" w:cs="Times New Roman"/>
          <w:sz w:val="24"/>
          <w:szCs w:val="24"/>
        </w:rPr>
        <w:t xml:space="preserve">]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2019 году в Global Food Security Index-2019 (GFSI) </w:t>
      </w:r>
      <w:r w:rsidR="005738AE">
        <w:rPr>
          <w:rFonts w:ascii="Times New Roman" w:eastAsia="Times New Roman" w:hAnsi="Times New Roman" w:cs="Times New Roman"/>
          <w:sz w:val="28"/>
          <w:szCs w:val="28"/>
        </w:rPr>
        <w:t>[148</w:t>
      </w:r>
      <w:r>
        <w:rPr>
          <w:rFonts w:ascii="Times New Roman" w:eastAsia="Times New Roman" w:hAnsi="Times New Roman" w:cs="Times New Roman"/>
          <w:sz w:val="28"/>
          <w:szCs w:val="28"/>
        </w:rPr>
        <w:t>] Казахстан получил общий показатель 67,3 балла из 100 возможных. Следуя за Китаем, Казахстан опередил Таиланд, Азербайджан, Вьетнам, Индонезию, Филиппины и другие страны. Это довольно высокий показатель по группе стран Азии. Однако, оценка доступности продовольствия, посредством оценки факторов, включая достаточность национального продовольственного снабжения, риск перебоев в снабжении, способность распространять продовольствие и другие ресурсы; научно-исследовательские усилия по расширению сельскохозяйственного производства GFSI оценена в Казахстане не очень высоко – 57,7 баллов. По категории разнообразия и питательного качества среднего рациона, а также безопасности пищевых продуктов Казахстан получил 68,3 балла. В дополнение к трем основным факторам GFSI также оценивает степень воздействия климатических рисков и три природных актива, имеющих решающее значение для продовольственной безопасности страны (вода, суша и океаны); по этому фактору Казахстан получил 61,1 балл.</w:t>
      </w:r>
    </w:p>
    <w:p w:rsidR="00EA72C7" w:rsidRDefault="00EA72C7" w:rsidP="00EA72C7">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настоящее время в стране реализуется государственная программа развития АПК на 2017-2021 годы, основной целью которой является обеспечение производства конкурентоспособной продукции АПК </w:t>
      </w:r>
      <w:r w:rsidR="005738AE">
        <w:rPr>
          <w:rFonts w:ascii="Times New Roman" w:eastAsia="Times New Roman" w:hAnsi="Times New Roman" w:cs="Times New Roman"/>
          <w:sz w:val="28"/>
          <w:szCs w:val="28"/>
        </w:rPr>
        <w:t>[149</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Государственной программе «Цифровой Казахстан» одной из ключевых задач является цифровизация сельского хозяйства, что актуализирует развитие и внедрение информационных технологий </w:t>
      </w:r>
      <w:r w:rsidR="005738AE">
        <w:rPr>
          <w:rFonts w:ascii="Times New Roman" w:eastAsia="Times New Roman" w:hAnsi="Times New Roman" w:cs="Times New Roman"/>
          <w:sz w:val="28"/>
          <w:szCs w:val="28"/>
        </w:rPr>
        <w:t>[150</w:t>
      </w:r>
      <w:r>
        <w:rPr>
          <w:rFonts w:ascii="Times New Roman" w:eastAsia="Times New Roman" w:hAnsi="Times New Roman" w:cs="Times New Roman"/>
          <w:sz w:val="28"/>
          <w:szCs w:val="28"/>
        </w:rPr>
        <w:t>]. В рамках реализации госпрограммы «Цифровой Казахстан» по развитию АПК внедряется проект «Программа «Е-АПК», целью которого является применение наилучших инструментов цифровизации бизнес-процессов, обеспечивающих повышение производительности труда и экспорта переработанной продукции АПК в 2,5 раза в 2022 году по сравнению с 2017 годом. Определены целевые индикаторы до 2022 года по 2 направлениям: 100% автоматизация процессов и госуслуг и по уровню внедрения элементов точного сельского хозяйства создание не менее 20 цифровых ферм и 4000 продвинутых ферм. МСХ РК сформирован предварительный пул проектов, затрагивающий цифровизацию отдельных направлений отрасли сельского хозяйства.</w:t>
      </w:r>
      <w:r>
        <w:t xml:space="preserve"> </w:t>
      </w:r>
      <w:r>
        <w:rPr>
          <w:rFonts w:ascii="Times New Roman" w:eastAsia="Times New Roman" w:hAnsi="Times New Roman" w:cs="Times New Roman"/>
          <w:sz w:val="28"/>
          <w:szCs w:val="28"/>
        </w:rPr>
        <w:t xml:space="preserve">Уже функционируют 23 цифровые фермы и 171 «продвинутая». В процессе цифровизации создаются электронные карты полей. На сегодняшний день оцифровано 24 млн. га пашни, почти 100% от общей посевной площади, началась работа по оцифровке пастбищ </w:t>
      </w:r>
      <w:r w:rsidR="005738AE">
        <w:rPr>
          <w:rFonts w:ascii="Times New Roman" w:eastAsia="Times New Roman" w:hAnsi="Times New Roman" w:cs="Times New Roman"/>
          <w:sz w:val="28"/>
          <w:szCs w:val="28"/>
        </w:rPr>
        <w:t>[151</w:t>
      </w:r>
      <w:r>
        <w:rPr>
          <w:rFonts w:ascii="Times New Roman" w:eastAsia="Times New Roman" w:hAnsi="Times New Roman" w:cs="Times New Roman"/>
          <w:sz w:val="28"/>
          <w:szCs w:val="28"/>
        </w:rPr>
        <w:t>].</w:t>
      </w:r>
    </w:p>
    <w:p w:rsidR="00EA72C7" w:rsidRDefault="00EA72C7" w:rsidP="00EA72C7">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Реализация Национальной экспортной стратегии на 2018-2022 годы предусматривает повышение объемов продукции сельскохозяйственной и продовольственной продукции и расширение экспортной корзины </w:t>
      </w:r>
      <w:r w:rsidR="005738AE">
        <w:rPr>
          <w:rFonts w:ascii="Times New Roman" w:eastAsia="Times New Roman" w:hAnsi="Times New Roman" w:cs="Times New Roman"/>
          <w:sz w:val="28"/>
          <w:szCs w:val="28"/>
        </w:rPr>
        <w:t>[152</w:t>
      </w:r>
      <w:r>
        <w:rPr>
          <w:rFonts w:ascii="Times New Roman" w:eastAsia="Times New Roman" w:hAnsi="Times New Roman" w:cs="Times New Roman"/>
          <w:sz w:val="28"/>
          <w:szCs w:val="28"/>
        </w:rPr>
        <w:t>].</w:t>
      </w:r>
    </w:p>
    <w:p w:rsidR="00EA72C7" w:rsidRDefault="00EA72C7" w:rsidP="00EA72C7">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Стратегическому плану развития РК до 2025 года, политика в АПК будет ориентирована на повышение производительности сельского хозяйства, углубление переработки сельхозпродукции, обеспечение продовольственной безопасности страны и рост экспортоориентированной экологически чистой продукции </w:t>
      </w:r>
      <w:r w:rsidR="005738AE">
        <w:rPr>
          <w:rFonts w:ascii="Times New Roman" w:eastAsia="Times New Roman" w:hAnsi="Times New Roman" w:cs="Times New Roman"/>
          <w:sz w:val="28"/>
          <w:szCs w:val="28"/>
        </w:rPr>
        <w:t>[153</w:t>
      </w:r>
      <w:r>
        <w:rPr>
          <w:rFonts w:ascii="Times New Roman" w:eastAsia="Times New Roman" w:hAnsi="Times New Roman" w:cs="Times New Roman"/>
          <w:sz w:val="28"/>
          <w:szCs w:val="28"/>
        </w:rPr>
        <w:t>].</w:t>
      </w:r>
    </w:p>
    <w:p w:rsidR="00EA72C7" w:rsidRDefault="00EA72C7" w:rsidP="00EA72C7">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Наращивание с/х производства неизбежно увеличивает и без того высокие экологические риски в отрасли, наряду с природно-климатическими, среди </w:t>
      </w:r>
      <w:r>
        <w:rPr>
          <w:rFonts w:ascii="Times New Roman" w:eastAsia="Times New Roman" w:hAnsi="Times New Roman" w:cs="Times New Roman"/>
          <w:sz w:val="28"/>
          <w:szCs w:val="28"/>
        </w:rPr>
        <w:lastRenderedPageBreak/>
        <w:t xml:space="preserve">которых: недостаточные осадки или засуха, способные стать причиной низкой урожайности сельскохозяйственных культур; град или проливные дожди, которые могут повредить или даже уничтожить урожай; вспышки вредителей или болезней.  </w:t>
      </w:r>
    </w:p>
    <w:p w:rsidR="00EA72C7" w:rsidRDefault="00EA72C7" w:rsidP="00EA72C7">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Индустриализация и автоматизация производства, внедрение достижений науки в АПК лишь компенсировали значительное сокращение трудовых ресурсов, но не способствовали рациональному природопользованию. Ориентация на сокращение сроков выращивания сельскохозяйственной продукции привела к тому, что в АПК при разработке и внедрении новых технологий повышения продуктивности слабо учитывается растущее негативное воздействие на природную среду и то, что процесс воспроизводства в сельском хозяйстве тесно связан с природными процессами. АПК продолжает оставаться основным загрязнителем земель и других элементов окружающей среды: отходы и сточные воды животноводческих комплексов, ферм и птицефабрик, использование ядохимикатов, пестицидов и гербецидов, проблемы осуществления экологического контроля на сельскохозяйственных объектах, разбросанных на обширных территориях.</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несмотря на определенный прогресс, в отрасли АПК Казахстана имеют место ряд проблем, в том числе дефицит финансирования, износ основных фондов, кадровая проблема, негативное воздействие отрасли на природную среду. Цифровизация отрасли находится лишь на начальной стадии, пока имеет место недостаточная развитость информационных систем в масштабе, как всей страны, так и на местном уровне. По нашему мнению, в Единую систему государственного информационного обеспечения в сфере сельского хозяйства в обязательном порядке должна включаться информация относительно республиканских, региональных и отраслевых программ и проектов; состояния развития растениеводства и животноводства; количества и состояния сельскохозяйственной техники, поступления топлива и энергопотребления; химизации и мелиорации и мониторинга земель с/х назначения; финансово-экономического состояния сельскохозяйственных организаций; фитосанитарного и эпизоотического состояния территории и проводимых мероприятиях по выявлению, ликвидации и предупреждению распространения болезней животных и растений, возбудителей заразных болезней животных, вредителей растений; численности и штате работников сельскохозяйственных предприятий; состояния пищевой и перерабатывающей промышленности; состояния охотничьих ресурсов, охотничьих угодий; результатов мониторинга цен на продовольственные товары и материально-технические ресурсы, приобретаемые сельхозпроизводителями; экологические риски в региональном разрезе; результаты экологического мониторинга земель и другие.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Наряду с Экологическим кодексом, в Казахстане действуют специальные законы: «Об особо охраняемых природных территориях», «Об экологической экспертизе», «Об охране атмосферного воздуха», «О радиационной безопасности населения» и соответствующие подзаконные НПА. Несмотря на </w:t>
      </w:r>
      <w:r>
        <w:rPr>
          <w:rFonts w:ascii="Times New Roman" w:eastAsia="Times New Roman" w:hAnsi="Times New Roman" w:cs="Times New Roman"/>
          <w:sz w:val="28"/>
          <w:szCs w:val="28"/>
        </w:rPr>
        <w:lastRenderedPageBreak/>
        <w:t>то, что экологическое законодательство РК за последние годы существенно обновилось с точки зрения качества и глубины проработки норм, в нем отсутствуют такие базовые понятия и положения, имеющие важное значение для развития экосистемного подхода при принятии управленческих решений в сфере рационального природопользования и ООС, как «оценка экосистемных услуг»; «метод оценки экосистемных услуг» (включая состав методов, критериев оценки, экоиндикаторов); «экологический проект»; «экологически чистые технологии»; «информационное обеспечение рационального природопользования и охраны окружающей среды», что сдерживает внедрение в практическую деятельность госорганов и иных субъектов экономической деятельности принципов экологического менеджмента и экономической оценки экосистемных услуг.</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Одной из эффективных мер преодоления экологических рисков является повышение организационного потенциала кооперативов которая позволит снизить основные производственные издержки мелких фермеров и хозяйств, связанных с необходимости закупа дорогостоящей сельскохозяйственной техники, перерабатывающего оборудования, ГСМ, а также расходы, связанные с логистикой и маркетингом. Данный формат взаимодействия способствует оперативному реагированию на необходимость принятия мер по адаптации, повышению осведомленности фермеров. Предлагаемые инициативы по диверсификации сельскохозяйственного производства, внедрению ресурсосберегающих технологий, новых подходов к земле-водопользованию и рассматриваются сообща, учитывая интересы всех субъектов сельского хозяйства региона.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сегодняшний день законодательством регламентирована деятельность сельскохозяйственных кооперативов, но ввиду отсутствия методологической и технической поддержки рациональность и эффективность данного механизма взаимодействия не оценена по достоинству. Основные проблемы кроются в недостаточной осведомленности фермеров и в отсутствии доверия к подобного рода объединениям. Отсутствие доверия населения к любой из форм кооперации оправдано случаями рейдерских захватов малого бизнеса. Зачастую это связано с непрозрачностью деятельности кооперативов и наличия субсидиарной ответственности его членов. Немногие собственники захотят ставить под угрозу свои активы, особенно при слабой защищённости прав собственности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Важным направлением также является переход к агроэкологической системе, которая предполагает следующие меры.</w:t>
      </w:r>
    </w:p>
    <w:p w:rsidR="00EA72C7" w:rsidRDefault="00EA72C7" w:rsidP="00EA72C7">
      <w:pPr>
        <w:numPr>
          <w:ilvl w:val="0"/>
          <w:numId w:val="10"/>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комплексность – когда выращивается большое количество разнообразных с/х культур и видов в различных пространственных и временных условиях;</w:t>
      </w:r>
    </w:p>
    <w:p w:rsidR="00EA72C7" w:rsidRDefault="00EA72C7" w:rsidP="00EA72C7">
      <w:pPr>
        <w:numPr>
          <w:ilvl w:val="0"/>
          <w:numId w:val="10"/>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местное генетическое разнообразие – повышает производительность мелких фермерских хозяйств снижая, распространение болезней в условиях изменяя климата;</w:t>
      </w:r>
    </w:p>
    <w:p w:rsidR="00EA72C7" w:rsidRDefault="00EA72C7" w:rsidP="00EA72C7">
      <w:pPr>
        <w:numPr>
          <w:ilvl w:val="0"/>
          <w:numId w:val="10"/>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органическое сельское хозяйство – повышение продуктивности посредством севооборота, компостирования, использования зелёных удобрений и агролесоводство;</w:t>
      </w:r>
    </w:p>
    <w:p w:rsidR="00EA72C7" w:rsidRDefault="00EA72C7" w:rsidP="00EA72C7">
      <w:pPr>
        <w:numPr>
          <w:ilvl w:val="0"/>
          <w:numId w:val="10"/>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выращивание двух и более урожаев в год или поликультурные системы - разнообразные растительные сообщества более устойчивы ввиду возможности междурядного размещения культур, нарушающего монокультурную структуру, что способствует защите растений от вредителей, снижению ветровой эрозии, а также лучшему просачиванию воды;</w:t>
      </w:r>
    </w:p>
    <w:p w:rsidR="00EA72C7" w:rsidRDefault="00EA72C7" w:rsidP="00EA72C7">
      <w:pPr>
        <w:numPr>
          <w:ilvl w:val="0"/>
          <w:numId w:val="10"/>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агролесоводство и мульчирование – высаживание деревьев для создания благоприятного микроклимата и защиты зерновых культур от неблагоприятного воздействия климата.</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Можно констатировать что рассмотрение ценности природных благ через призму экосистемного подхода с использованием структуры экосистемных услуг, позволит актуализировать понимание эстетической, духовной, оздоровительной и культурной ценности.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положительно оценить вклад в развитие экосистемного подхода децентрализации полномочий государственных органов по управлению природными ресурсами и продолжить эту тенденцию приобщая неправительственные организации и общественность к процессу принятия решений.</w:t>
      </w:r>
    </w:p>
    <w:p w:rsidR="00EA72C7" w:rsidRDefault="00EA72C7" w:rsidP="00EA72C7">
      <w:pPr>
        <w:spacing w:after="0" w:line="240" w:lineRule="auto"/>
        <w:rPr>
          <w:rFonts w:ascii="Times New Roman" w:eastAsia="Times New Roman" w:hAnsi="Times New Roman" w:cs="Times New Roman"/>
          <w:b/>
          <w:sz w:val="28"/>
          <w:szCs w:val="28"/>
        </w:rPr>
      </w:pPr>
    </w:p>
    <w:p w:rsidR="00EA72C7" w:rsidRDefault="00EA72C7" w:rsidP="00EA72C7">
      <w:pPr>
        <w:pStyle w:val="2"/>
        <w:spacing w:before="0" w:line="240" w:lineRule="auto"/>
        <w:ind w:firstLine="709"/>
        <w:jc w:val="both"/>
        <w:rPr>
          <w:rFonts w:ascii="Times New Roman" w:eastAsia="Times New Roman" w:hAnsi="Times New Roman" w:cs="Times New Roman"/>
          <w:color w:val="000000"/>
          <w:sz w:val="28"/>
          <w:szCs w:val="28"/>
        </w:rPr>
      </w:pPr>
      <w:bookmarkStart w:id="12" w:name="_heading=h.3rdcrjn" w:colFirst="0" w:colLast="0"/>
      <w:bookmarkEnd w:id="12"/>
      <w:r>
        <w:rPr>
          <w:rFonts w:ascii="Times New Roman" w:eastAsia="Times New Roman" w:hAnsi="Times New Roman" w:cs="Times New Roman"/>
          <w:color w:val="000000"/>
          <w:sz w:val="28"/>
          <w:szCs w:val="28"/>
        </w:rPr>
        <w:t>2.2 Экономическая оценка экосистемных услуг для обоснования принятия эффективных управленческих решений в городском планировании на примере системы озер Талдыколь</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сегодняшний день широко используется четыре категории экосистемных услуг, влияющих на уровень и качество жизни людей. Это обеспечивающие, регулирующие, поддерживающие и культурные услуги </w:t>
      </w:r>
      <w:r w:rsidR="005738AE">
        <w:rPr>
          <w:rFonts w:ascii="Times New Roman" w:eastAsia="Times New Roman" w:hAnsi="Times New Roman" w:cs="Times New Roman"/>
          <w:sz w:val="28"/>
          <w:szCs w:val="28"/>
        </w:rPr>
        <w:t>[154</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Ввиду отсутствия в Казахстане нормативной правовой базы по использованию учета и оценки экосистемных услуг в процессе принятия управленческих решений данный вопрос слабо освещен в научных источниках. В текущем году завершается 2-ая фаза Программы развития ООН в Казахстане «BIOFIN». В рамках проекта, наряду с прочим, планируется разработка методологических документов поэкономической оценке экосистемных услуг.</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Целью данного раздела является оценка экосистемных услуг для обоснования принятия эффективных управленческих решений в городском планировании (Астанинская агломерация) на примере озера Малый Талдыколь.</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качестве </w:t>
      </w:r>
      <w:r>
        <w:rPr>
          <w:rFonts w:ascii="Times New Roman" w:eastAsia="Times New Roman" w:hAnsi="Times New Roman" w:cs="Times New Roman"/>
          <w:i/>
          <w:sz w:val="28"/>
          <w:szCs w:val="28"/>
        </w:rPr>
        <w:t>исследовательской гипотезы</w:t>
      </w:r>
      <w:r>
        <w:rPr>
          <w:rFonts w:ascii="Times New Roman" w:eastAsia="Times New Roman" w:hAnsi="Times New Roman" w:cs="Times New Roman"/>
          <w:sz w:val="28"/>
          <w:szCs w:val="28"/>
        </w:rPr>
        <w:t xml:space="preserve"> предполагалось, что учет оценки экосистемных услуг в городском планировании позволит повысить экономическую эффективность принимаемых управленческих решений.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Исходным пунктом исследования являлось предположение, что оценка процессов принятия градостроительных решений в соответствии с принципами эффективного управления (principles of good governance) позволяет выявить слабые места управления и предоставляет возможность найти пути совершенствования управленческой системы.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Основные </w:t>
      </w:r>
      <w:r>
        <w:rPr>
          <w:rFonts w:ascii="Times New Roman" w:eastAsia="Times New Roman" w:hAnsi="Times New Roman" w:cs="Times New Roman"/>
          <w:i/>
          <w:sz w:val="28"/>
          <w:szCs w:val="28"/>
        </w:rPr>
        <w:t>вопросы исследования: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Какова ценность экосистемных услуг, предоставляемых озером Малый Талдыколь для жителей г. Нур-Султан?</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В чем заключаются пробелы комплексного стратегического планирования и развития города Нур-Султан, в условиях сохранения природных экосистем?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Как повысить эффективность процесса принятия управленческих решений в городском планировании?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Исследование проводилось в 2020 году на территории группы озер Малый Талдыколь площадью водной глади 6,02 км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расположенных в юго-западной планировочной части г. Нур-Султан, Республики Казахстан.</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Озеро Малый Талдыколь является естественным бессточным водоемом бассейна реки Ишим, расположенным в ближайшем месте сужения рек Ишим и Нура. Объем воды составляет 4,815 млн.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со средней глубиной 0,8 м, наибольшая глубина 3,41 м (Приложение Д).</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Выявление пробелов комплексного управления по развитию городской инфраструктуры в условиях сохранения природных экосистем производилось посредством сравнения результатов оценки экосистемных услуг водных экосистем с мерами, предпринимаемыми городскими властями для нивелирования рисков связанных с сокращением природных территорий.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Автором использована комбинированная стратегия </w:t>
      </w:r>
      <w:r>
        <w:rPr>
          <w:rFonts w:ascii="Times New Roman" w:eastAsia="Times New Roman" w:hAnsi="Times New Roman" w:cs="Times New Roman"/>
          <w:i/>
          <w:sz w:val="28"/>
          <w:szCs w:val="28"/>
        </w:rPr>
        <w:t>методов исследования</w:t>
      </w:r>
      <w:r>
        <w:rPr>
          <w:rFonts w:ascii="Times New Roman" w:eastAsia="Times New Roman" w:hAnsi="Times New Roman" w:cs="Times New Roman"/>
          <w:sz w:val="28"/>
          <w:szCs w:val="28"/>
        </w:rPr>
        <w:t xml:space="preserve">, включающая количественную и качественную компоненты.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Количественная стратегия методологии исследования</w:t>
      </w:r>
      <w:r>
        <w:rPr>
          <w:rFonts w:ascii="Times New Roman" w:eastAsia="Times New Roman" w:hAnsi="Times New Roman" w:cs="Times New Roman"/>
          <w:sz w:val="28"/>
          <w:szCs w:val="28"/>
        </w:rPr>
        <w:t xml:space="preserve"> (применялась методом – анализа вторичных статистических данных взятых из обзора Ecosystem Service Value Database (ESVD) проведенного в 2012 году и обновленного в 2020 году </w:t>
      </w:r>
      <w:r w:rsidR="005738AE">
        <w:rPr>
          <w:rFonts w:ascii="Times New Roman" w:eastAsia="Times New Roman" w:hAnsi="Times New Roman" w:cs="Times New Roman"/>
          <w:sz w:val="28"/>
          <w:szCs w:val="28"/>
        </w:rPr>
        <w:t>[155</w:t>
      </w:r>
      <w:r>
        <w:rPr>
          <w:rFonts w:ascii="Times New Roman" w:eastAsia="Times New Roman" w:hAnsi="Times New Roman" w:cs="Times New Roman"/>
          <w:sz w:val="28"/>
          <w:szCs w:val="28"/>
        </w:rPr>
        <w:t xml:space="preserve">].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Кроме того, информация о текущем состоянии биоразнообразия природной экосистемы была взята на основании интервьюирования экспертов и результатов их исследований.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Качественная стратегия методологии исследования</w:t>
      </w:r>
      <w:r>
        <w:rPr>
          <w:rFonts w:ascii="Times New Roman" w:eastAsia="Times New Roman" w:hAnsi="Times New Roman" w:cs="Times New Roman"/>
          <w:sz w:val="28"/>
          <w:szCs w:val="28"/>
        </w:rPr>
        <w:t xml:space="preserve"> (применялась методом контент анализа </w:t>
      </w:r>
      <w:r w:rsidR="005738AE">
        <w:rPr>
          <w:rFonts w:ascii="Times New Roman" w:eastAsia="Times New Roman" w:hAnsi="Times New Roman" w:cs="Times New Roman"/>
          <w:sz w:val="28"/>
          <w:szCs w:val="28"/>
        </w:rPr>
        <w:t>[156</w:t>
      </w:r>
      <w:r>
        <w:rPr>
          <w:rFonts w:ascii="Times New Roman" w:eastAsia="Times New Roman" w:hAnsi="Times New Roman" w:cs="Times New Roman"/>
          <w:sz w:val="28"/>
          <w:szCs w:val="28"/>
        </w:rPr>
        <w:t>] стратегических документов городской администрации г. Нур-Султан, взятых из Концепции вхождения столицы в рейтинг 10-ти лучших городов мира до 2050 года, утвержденной постановлением Правительства РК от 29 декабря 2014 г. №1394. Кроме того, проанализированы материалы Генерального Плана г. Нур-Султан, Схема благоустройства и проект детальной планировки территории озера Талдыколь, утвержденный в 2020 году.</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Применение комбинированной стратегии было обусловлено спецификой изучаемой проблемы и недостатком данных, в условиях которых стояла задача объяснить и обобщить полученные сведения, верифицировать данные, полученные одним методом, посредством применения другого метода.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Обзор применяемой количественной методологии по оценке экосистемных услуг свидетельствует о широко распространенном в настоящем времени комплексной оценке услуг экосистем основанной на концепции передачи ценности или выгод </w:t>
      </w:r>
      <w:r w:rsidR="005738AE">
        <w:rPr>
          <w:rFonts w:ascii="Times New Roman" w:eastAsia="Times New Roman" w:hAnsi="Times New Roman" w:cs="Times New Roman"/>
          <w:sz w:val="28"/>
          <w:szCs w:val="28"/>
        </w:rPr>
        <w:t>[157</w:t>
      </w:r>
      <w:r>
        <w:rPr>
          <w:rFonts w:ascii="Times New Roman" w:eastAsia="Times New Roman" w:hAnsi="Times New Roman" w:cs="Times New Roman"/>
          <w:sz w:val="28"/>
          <w:szCs w:val="28"/>
        </w:rPr>
        <w:t xml:space="preserve">]. Методы передачи выгод или стоимости </w:t>
      </w:r>
      <w:r>
        <w:rPr>
          <w:rFonts w:ascii="Times New Roman" w:eastAsia="Times New Roman" w:hAnsi="Times New Roman" w:cs="Times New Roman"/>
          <w:sz w:val="28"/>
          <w:szCs w:val="28"/>
        </w:rPr>
        <w:lastRenderedPageBreak/>
        <w:t xml:space="preserve">облегчают оценку выгод экосистемных услуг для благосостояния человека. Этот метод позволяет получить значения исследуемой экосистемы на основе данных, которые были ранее выполнены для оценки аналогичных товаров и услуг в аналогичном контексте </w:t>
      </w:r>
      <w:r w:rsidR="005738AE">
        <w:rPr>
          <w:rFonts w:ascii="Times New Roman" w:eastAsia="Times New Roman" w:hAnsi="Times New Roman" w:cs="Times New Roman"/>
          <w:sz w:val="28"/>
          <w:szCs w:val="28"/>
        </w:rPr>
        <w:t>[158</w:t>
      </w:r>
      <w:r>
        <w:rPr>
          <w:rFonts w:ascii="Times New Roman" w:eastAsia="Times New Roman" w:hAnsi="Times New Roman" w:cs="Times New Roman"/>
          <w:sz w:val="28"/>
          <w:szCs w:val="28"/>
        </w:rPr>
        <w:t>]. Преимуществом данной методологии является то, что есть возможность в условиях ограниченных временных и финансовых возможностей провести первичную оценку экосистемных услуг.</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Репрезентативность данных обеспечивается тем, что они составлены на основе обзора более 320 публикаций, охватывающих более 300 тематических исследований.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Значения были стандартизированы в тенге за гектар в год с использованием индексированного инфляцией курса доллара 2007-2020 года в качестве базового года определен 2012 год. Для расчета использовались официальные обменные курсы (https://www.statbureau.org/ru/united-states/inflation-calculators) и основные экономические показатели.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Экономические расчеты производились в Microsoft Excel, в которой рассчитаны экосистемные услуги системы озер Талдыколь. Исследуемая территория условно была поделена на 2 категории. 1 категория включает в себя ВБУ системы озер Малого Талдыколя (водная гладь и прибрежные участки). Эта территория имеет наивысший риск утраты экосистем. 2 категория включает в себя ВБУ озер Большой Талдыколь и Ульмес (водную гладь и прибрежные участки).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оценки автор и эксперты пришли к выводу, что обе категории взаимосвязаны друг с другом: утрата одного участка территории приведет к постепенной деградации и гибели второго. В связи с чем, в оценке приведены расчеты отдельно по каждой категории, а также их суммарное значение.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Данная оценка является по большей мере экспертной и усредненной, нежели основанной на четких количественных данных. С одной стороны, проводить оценку в условиях слабой изученности территории кажется нецелесообразным. С другой стороны, – в Казахстане не так много уникальных мест, где в пределах города имеются природные территории, являющиеся местом обитания для более чем 190 видов птиц, среди которых 8 видов относятся к «краснокнижным». Данные условия стали основополагающими для выбора территории в целях проведения оценки экосистемных услуг и демонстрации значимости системы озер Талдыколя в денежном выражении.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Обработка полученных от экспертов данных на основе мониторинга по состоянию орнитофауну на озере Малый Талдыколь легли в основу определения стоимости услуг среды обитания для птицы. Расчет производился посредством учета предположительного ущерба, вызванного утратой природной экосистемы для пернатых и водоплавающих птиц.</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Расчет снабжающих услуг по рыбным ресурсам озера проводился с помощью методов прямого рыночного ценообразования.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Полученные результаты оценки экосистемных услуг также были соотнесены с данными мета-регрессионного анализа по итогам оценки проведенного в развивающихся странах </w:t>
      </w:r>
      <w:r w:rsidR="005738AE">
        <w:rPr>
          <w:rFonts w:ascii="Times New Roman" w:eastAsia="Times New Roman" w:hAnsi="Times New Roman" w:cs="Times New Roman"/>
          <w:sz w:val="28"/>
          <w:szCs w:val="28"/>
        </w:rPr>
        <w:t>[159</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Планом детальной постройки, утвержденным постановлением Акимата г. Нур-Султан №510-1496 от 30 июля 2020 г. вся территория города, на которой расположена территория группы озер Малого Талдыколя, планируется застроить жилым массивом.</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исследования, как можно наблюдать на рисунке 6, рассматривалась часть природной экосистемы, прилегающая и входящая в группу озер Малый Талдыколь площадью 1 460 га (земли 1 категории) и участок включающий природный ландшафт вокруг озера Большой Талдыколь и озера Ольмес, обозначенный как земли 2 категории составляет 3 219 га.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Данный подход в исследовании обусловлен возможностью рассмотрения различных сценариев использования и развития обозначенной территории в городском планировании.</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noProof/>
          <w:sz w:val="24"/>
          <w:szCs w:val="24"/>
        </w:rPr>
        <w:drawing>
          <wp:inline distT="0" distB="0" distL="0" distR="0" wp14:anchorId="0F9D9616" wp14:editId="2B938377">
            <wp:extent cx="2428875" cy="1962150"/>
            <wp:effectExtent l="0" t="0" r="9525"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4893" t="1844" r="17424" b="13643"/>
                    <a:stretch>
                      <a:fillRect/>
                    </a:stretch>
                  </pic:blipFill>
                  <pic:spPr>
                    <a:xfrm>
                      <a:off x="0" y="0"/>
                      <a:ext cx="2434691" cy="1966848"/>
                    </a:xfrm>
                    <a:prstGeom prst="rect">
                      <a:avLst/>
                    </a:prstGeom>
                    <a:ln/>
                  </pic:spPr>
                </pic:pic>
              </a:graphicData>
            </a:graphic>
          </wp:inline>
        </w:drawing>
      </w:r>
    </w:p>
    <w:p w:rsidR="00EA72C7" w:rsidRPr="00736043" w:rsidRDefault="00EA72C7" w:rsidP="00EA72C7">
      <w:pPr>
        <w:spacing w:after="0" w:line="240" w:lineRule="auto"/>
        <w:jc w:val="both"/>
        <w:rPr>
          <w:rFonts w:ascii="Times New Roman" w:eastAsia="Times New Roman" w:hAnsi="Times New Roman" w:cs="Times New Roman"/>
          <w:sz w:val="16"/>
          <w:szCs w:val="16"/>
        </w:rPr>
      </w:pPr>
    </w:p>
    <w:p w:rsidR="00EA72C7" w:rsidRPr="00736043" w:rsidRDefault="00EA72C7" w:rsidP="00EA72C7">
      <w:pPr>
        <w:spacing w:after="0" w:line="240" w:lineRule="auto"/>
        <w:ind w:firstLine="709"/>
        <w:jc w:val="both"/>
        <w:rPr>
          <w:rFonts w:ascii="Times New Roman" w:eastAsia="Times New Roman" w:hAnsi="Times New Roman" w:cs="Times New Roman"/>
          <w:sz w:val="24"/>
          <w:szCs w:val="24"/>
        </w:rPr>
      </w:pPr>
      <w:r w:rsidRPr="00736043">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5272BEB" wp14:editId="5ACCBF58">
                <wp:simplePos x="0" y="0"/>
                <wp:positionH relativeFrom="column">
                  <wp:posOffset>4784090</wp:posOffset>
                </wp:positionH>
                <wp:positionV relativeFrom="paragraph">
                  <wp:posOffset>45720</wp:posOffset>
                </wp:positionV>
                <wp:extent cx="108000" cy="108000"/>
                <wp:effectExtent l="0" t="0" r="6350" b="6350"/>
                <wp:wrapNone/>
                <wp:docPr id="51" name="Прямоугольник 51"/>
                <wp:cNvGraphicFramePr/>
                <a:graphic xmlns:a="http://schemas.openxmlformats.org/drawingml/2006/main">
                  <a:graphicData uri="http://schemas.microsoft.com/office/word/2010/wordprocessingShape">
                    <wps:wsp>
                      <wps:cNvSpPr/>
                      <wps:spPr>
                        <a:xfrm>
                          <a:off x="0" y="0"/>
                          <a:ext cx="108000" cy="108000"/>
                        </a:xfrm>
                        <a:prstGeom prst="rect">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2959A37" id="Прямоугольник 51" o:spid="_x0000_s1026" style="position:absolute;margin-left:376.7pt;margin-top:3.6pt;width:8.5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" fillcolor="#fcc" stroked="f" strokeweight="1pt"/>
            </w:pict>
          </mc:Fallback>
        </mc:AlternateContent>
      </w:r>
      <w:r w:rsidRPr="00736043">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BD57F29" wp14:editId="487C5330">
                <wp:simplePos x="0" y="0"/>
                <wp:positionH relativeFrom="column">
                  <wp:posOffset>501015</wp:posOffset>
                </wp:positionH>
                <wp:positionV relativeFrom="paragraph">
                  <wp:posOffset>55245</wp:posOffset>
                </wp:positionV>
                <wp:extent cx="108000" cy="108000"/>
                <wp:effectExtent l="0" t="0" r="6350" b="6350"/>
                <wp:wrapNone/>
                <wp:docPr id="50" name="Прямоугольник 50"/>
                <wp:cNvGraphicFramePr/>
                <a:graphic xmlns:a="http://schemas.openxmlformats.org/drawingml/2006/main">
                  <a:graphicData uri="http://schemas.microsoft.com/office/word/2010/wordprocessingShape">
                    <wps:wsp>
                      <wps:cNvSpPr/>
                      <wps:spPr>
                        <a:xfrm>
                          <a:off x="0" y="0"/>
                          <a:ext cx="108000" cy="108000"/>
                        </a:xfrm>
                        <a:prstGeom prst="rect">
                          <a:avLst/>
                        </a:prstGeom>
                        <a:solidFill>
                          <a:srgbClr val="FF99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D3128BA" id="Прямоугольник 50" o:spid="_x0000_s1026" style="position:absolute;margin-left:39.45pt;margin-top:4.35pt;width:8.5pt;height: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" fillcolor="#f9c" stroked="f" strokeweight="1pt"/>
            </w:pict>
          </mc:Fallback>
        </mc:AlternateContent>
      </w:r>
      <w:r w:rsidRPr="00736043">
        <w:rPr>
          <w:rFonts w:ascii="Times New Roman" w:eastAsia="Times New Roman" w:hAnsi="Times New Roman" w:cs="Times New Roman"/>
          <w:sz w:val="24"/>
          <w:szCs w:val="24"/>
        </w:rPr>
        <w:t xml:space="preserve">     - </w:t>
      </w:r>
      <w:r w:rsidRPr="00736043">
        <w:rPr>
          <w:rFonts w:ascii="Times New Roman" w:eastAsia="Times New Roman" w:hAnsi="Times New Roman" w:cs="Times New Roman"/>
          <w:color w:val="000000"/>
          <w:sz w:val="24"/>
          <w:szCs w:val="24"/>
        </w:rPr>
        <w:t xml:space="preserve">1 категория (система озер Малого Талдыколя). 1 460 га;  </w:t>
      </w:r>
      <w:r>
        <w:rPr>
          <w:rFonts w:ascii="Times New Roman" w:eastAsia="Times New Roman" w:hAnsi="Times New Roman" w:cs="Times New Roman"/>
          <w:color w:val="000000"/>
          <w:sz w:val="24"/>
          <w:szCs w:val="24"/>
        </w:rPr>
        <w:t>-</w:t>
      </w:r>
      <w:r w:rsidRPr="00736043">
        <w:rPr>
          <w:rFonts w:ascii="Times New Roman" w:eastAsia="Times New Roman" w:hAnsi="Times New Roman" w:cs="Times New Roman"/>
          <w:color w:val="000000"/>
          <w:sz w:val="24"/>
          <w:szCs w:val="24"/>
        </w:rPr>
        <w:t xml:space="preserve"> 2 категория (оз. Большой Талдыколь с прибрежной территорией). 3 219 га</w:t>
      </w:r>
    </w:p>
    <w:p w:rsidR="00EA72C7" w:rsidRPr="00736043" w:rsidRDefault="00EA72C7" w:rsidP="00EA72C7">
      <w:pPr>
        <w:spacing w:after="0" w:line="240" w:lineRule="auto"/>
        <w:jc w:val="both"/>
        <w:rPr>
          <w:rFonts w:ascii="Times New Roman" w:eastAsia="Times New Roman" w:hAnsi="Times New Roman" w:cs="Times New Roman"/>
          <w:sz w:val="16"/>
          <w:szCs w:val="16"/>
        </w:rPr>
      </w:pPr>
    </w:p>
    <w:p w:rsidR="00EA72C7" w:rsidRPr="00E1602A" w:rsidRDefault="00EA72C7" w:rsidP="00EA72C7">
      <w:pPr>
        <w:spacing w:after="0" w:line="240" w:lineRule="auto"/>
        <w:jc w:val="center"/>
        <w:rPr>
          <w:rFonts w:ascii="Times New Roman" w:eastAsia="Times New Roman" w:hAnsi="Times New Roman" w:cs="Times New Roman"/>
          <w:sz w:val="28"/>
          <w:szCs w:val="28"/>
        </w:rPr>
      </w:pPr>
      <w:r w:rsidRPr="00E1602A">
        <w:rPr>
          <w:rFonts w:ascii="Times New Roman" w:eastAsia="Times New Roman" w:hAnsi="Times New Roman" w:cs="Times New Roman"/>
          <w:sz w:val="28"/>
          <w:szCs w:val="28"/>
        </w:rPr>
        <w:t>Рисунок 6 – Схема территории озера Талдыколь</w:t>
      </w:r>
    </w:p>
    <w:p w:rsidR="00EA72C7" w:rsidRPr="00E1602A" w:rsidRDefault="00EA72C7" w:rsidP="00EA72C7">
      <w:pPr>
        <w:spacing w:after="0" w:line="240" w:lineRule="auto"/>
        <w:ind w:firstLine="709"/>
        <w:jc w:val="both"/>
        <w:rPr>
          <w:rFonts w:ascii="Times New Roman" w:eastAsia="Times New Roman" w:hAnsi="Times New Roman" w:cs="Times New Roman"/>
          <w:sz w:val="16"/>
          <w:szCs w:val="16"/>
        </w:rPr>
      </w:pPr>
    </w:p>
    <w:p w:rsidR="00EA72C7" w:rsidRPr="00E1602A" w:rsidRDefault="00EA72C7" w:rsidP="00EA72C7">
      <w:pPr>
        <w:spacing w:after="0" w:line="240" w:lineRule="auto"/>
        <w:ind w:firstLine="709"/>
        <w:jc w:val="both"/>
        <w:rPr>
          <w:rFonts w:ascii="Times New Roman" w:eastAsia="Times New Roman" w:hAnsi="Times New Roman" w:cs="Times New Roman"/>
          <w:sz w:val="24"/>
          <w:szCs w:val="24"/>
        </w:rPr>
      </w:pPr>
      <w:r w:rsidRPr="00E1602A">
        <w:rPr>
          <w:rFonts w:ascii="Times New Roman" w:eastAsia="Times New Roman" w:hAnsi="Times New Roman" w:cs="Times New Roman"/>
          <w:sz w:val="24"/>
          <w:szCs w:val="24"/>
        </w:rPr>
        <w:t xml:space="preserve">Примечание – Составлено автором по источнику </w:t>
      </w:r>
      <w:r w:rsidR="005738AE">
        <w:rPr>
          <w:rFonts w:ascii="Times New Roman" w:eastAsia="Times New Roman" w:hAnsi="Times New Roman" w:cs="Times New Roman"/>
          <w:sz w:val="24"/>
          <w:szCs w:val="24"/>
        </w:rPr>
        <w:t>[160</w:t>
      </w:r>
      <w:r w:rsidRPr="00E1602A">
        <w:rPr>
          <w:rFonts w:ascii="Times New Roman" w:eastAsia="Times New Roman" w:hAnsi="Times New Roman" w:cs="Times New Roman"/>
          <w:sz w:val="24"/>
          <w:szCs w:val="24"/>
        </w:rPr>
        <w:t>]</w:t>
      </w:r>
    </w:p>
    <w:p w:rsidR="00EA72C7" w:rsidRDefault="00EA72C7" w:rsidP="00EA72C7">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Идентификация экосистемных услуг</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экосистемные услуги системы озер Малого и Большого Талдыколя, согласно принятой методологии, разделены на четыре категории – это обеспечивающие (снабжающие), регулирующие, поддерживающие и культурные услуги.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ходе интервьюирования экспертов в области рыбного хозяйства выяснены объемы проводимого ежегодно промысла рыбы на озере Малый Талдыколь (от 50-100 тонн) для корма сельскохозяйственным животным. Расчеты рыбопродуктивности схожего по гидрологическим характеристикам, находящегося рядом озера Майбалык подтверждают наличие рыбных запасов не менее 54 тонн. рыбы в год.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сих пор гидрологами не изучена перспектива использования подземных водных запасов для нужд города. Прилегающая к озеру территория с прошлого века была местом постоянных зимовок в процессе пастбищного скотоводства. Таким образом, услуги обеспечения (снабжения) данной экосистемы включают </w:t>
      </w:r>
      <w:r>
        <w:rPr>
          <w:rFonts w:ascii="Times New Roman" w:eastAsia="Times New Roman" w:hAnsi="Times New Roman" w:cs="Times New Roman"/>
          <w:sz w:val="28"/>
          <w:szCs w:val="28"/>
        </w:rPr>
        <w:lastRenderedPageBreak/>
        <w:t xml:space="preserve">важные биологические ресурсы, которыми напрямую пользуется население для жизнеобеспечения и экономического развития.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точки зрения духовного и физического состояния для человеческого существования важны культурные и образовательные услуги. К ним относятся туризм и отдых, а также духовные услуги, как, например, святые места (захоронения), почитаемые культурные и архитектурные памятники. Кроме того, данная категория включает ландшафтные ценности и красоту экосистемы, которая может воодушевить на искусство и служить ресурсом для научных исследований и образования.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Экономическая и экологическая ценность услуг регулирования является включают в себя регулирование и очистку воды и качества воздуха, защиту от эрозии, контроль за здоровьем населения и биологический контроль, а также роль в процессе опыления растений, поддержание видового и генетического разнообразия. Подтопление паводковыми, дождевыми и биологически очищенными сточными водами накопителя «Талдыколь» и территорий, расположенных к западу от г. Нур-Султан, является первой по значимости и остроте экологической проблемой согласно Межрегиональной схемы территориального развития Астанинской агломерации, утвержденной постановлением Правительства Республики Казахстан от 8 ноября 2017 г. №726.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предоставления всех остальных экосистемных услуг необходимы поддерживающие услуги, которые поддерживают работу экосистемы в целом. Данная озерная система является местом обитания и миграции для свыше 160 видов птиц. Неоднородный почвенный и растительный покров с преобладанием разнотравно-злаковой и солончаковой растительностью являясь местом обитания для эндемиков сохранившегося местного ландшафта.  </w:t>
      </w:r>
    </w:p>
    <w:p w:rsidR="00EA72C7" w:rsidRDefault="00EA72C7" w:rsidP="00EA72C7">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Результаты оценки экономической ценности Талдыкольской системы озер и окрестностей</w:t>
      </w:r>
    </w:p>
    <w:p w:rsidR="00EA72C7" w:rsidRDefault="00EA72C7" w:rsidP="00EA72C7">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По итогам оценки Талдыкольской системы озер и окрестностей были получены, в частности, следующие результаты оценки ценности рыбных ресурсов (таблица 6), ущерба орнитофауне (таблица 7) и ущерба экосистемы (растительного сообщества) (таблица 8).</w:t>
      </w:r>
    </w:p>
    <w:p w:rsidR="00EA72C7" w:rsidRPr="007F4A3D" w:rsidRDefault="00EA72C7" w:rsidP="00EA72C7">
      <w:pPr>
        <w:spacing w:after="0" w:line="240" w:lineRule="auto"/>
        <w:ind w:firstLine="709"/>
        <w:jc w:val="both"/>
        <w:rPr>
          <w:rFonts w:ascii="Times New Roman" w:eastAsia="Times New Roman" w:hAnsi="Times New Roman" w:cs="Times New Roman"/>
          <w:sz w:val="28"/>
          <w:szCs w:val="28"/>
          <w:lang w:val="kk-KZ"/>
        </w:rPr>
      </w:pPr>
    </w:p>
    <w:p w:rsidR="00EA72C7" w:rsidRDefault="00EA72C7" w:rsidP="00EA72C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6 – Оценка ценности рыбных ресурсов</w:t>
      </w:r>
    </w:p>
    <w:p w:rsidR="00EA72C7" w:rsidRDefault="00EA72C7" w:rsidP="00EA72C7">
      <w:pPr>
        <w:spacing w:after="0" w:line="240" w:lineRule="auto"/>
        <w:jc w:val="right"/>
        <w:rPr>
          <w:rFonts w:ascii="Times New Roman" w:eastAsia="Times New Roman" w:hAnsi="Times New Roman" w:cs="Times New Roman"/>
          <w:b/>
          <w:sz w:val="16"/>
          <w:szCs w:val="16"/>
        </w:rPr>
      </w:pPr>
    </w:p>
    <w:tbl>
      <w:tblPr>
        <w:tblW w:w="95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1"/>
        <w:gridCol w:w="1060"/>
        <w:gridCol w:w="2230"/>
      </w:tblGrid>
      <w:tr w:rsidR="00EA72C7" w:rsidTr="003E7002">
        <w:trPr>
          <w:trHeight w:val="478"/>
          <w:tblHeader/>
          <w:jc w:val="center"/>
        </w:trPr>
        <w:tc>
          <w:tcPr>
            <w:tcW w:w="6231"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Показатель</w:t>
            </w:r>
          </w:p>
        </w:tc>
        <w:tc>
          <w:tcPr>
            <w:tcW w:w="1060"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Ед. изм.</w:t>
            </w:r>
          </w:p>
        </w:tc>
        <w:tc>
          <w:tcPr>
            <w:tcW w:w="2230"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оценки</w:t>
            </w:r>
          </w:p>
        </w:tc>
      </w:tr>
      <w:tr w:rsidR="00EA72C7" w:rsidTr="003E7002">
        <w:trPr>
          <w:jc w:val="center"/>
        </w:trPr>
        <w:tc>
          <w:tcPr>
            <w:tcW w:w="6231" w:type="dxa"/>
            <w:vAlign w:val="bottom"/>
          </w:tcPr>
          <w:p w:rsidR="00EA72C7" w:rsidRDefault="00EA72C7" w:rsidP="003E700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Продуктивность рыбных ресурсов оз. Майбалык*</w:t>
            </w:r>
          </w:p>
        </w:tc>
        <w:tc>
          <w:tcPr>
            <w:tcW w:w="1060" w:type="dxa"/>
            <w:vAlign w:val="bottom"/>
          </w:tcPr>
          <w:p w:rsidR="00EA72C7" w:rsidRDefault="00EA72C7" w:rsidP="003E70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тн./год</w:t>
            </w:r>
          </w:p>
        </w:tc>
        <w:tc>
          <w:tcPr>
            <w:tcW w:w="2230" w:type="dxa"/>
            <w:vAlign w:val="bottom"/>
          </w:tcPr>
          <w:p w:rsidR="00EA72C7" w:rsidRDefault="00EA72C7" w:rsidP="003E70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r>
      <w:tr w:rsidR="00EA72C7" w:rsidTr="003E7002">
        <w:trPr>
          <w:jc w:val="center"/>
        </w:trPr>
        <w:tc>
          <w:tcPr>
            <w:tcW w:w="6231" w:type="dxa"/>
            <w:vAlign w:val="bottom"/>
          </w:tcPr>
          <w:p w:rsidR="00EA72C7" w:rsidRDefault="00EA72C7" w:rsidP="003E700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Территория оз. Майбалык**</w:t>
            </w:r>
          </w:p>
        </w:tc>
        <w:tc>
          <w:tcPr>
            <w:tcW w:w="1060" w:type="dxa"/>
            <w:vAlign w:val="bottom"/>
          </w:tcPr>
          <w:p w:rsidR="00EA72C7" w:rsidRDefault="00EA72C7" w:rsidP="003E70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2230" w:type="dxa"/>
            <w:vAlign w:val="bottom"/>
          </w:tcPr>
          <w:p w:rsidR="00EA72C7" w:rsidRDefault="00EA72C7" w:rsidP="003E70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2200</w:t>
            </w:r>
          </w:p>
        </w:tc>
      </w:tr>
      <w:tr w:rsidR="00EA72C7" w:rsidTr="003E7002">
        <w:trPr>
          <w:jc w:val="center"/>
        </w:trPr>
        <w:tc>
          <w:tcPr>
            <w:tcW w:w="6231" w:type="dxa"/>
            <w:vAlign w:val="bottom"/>
          </w:tcPr>
          <w:p w:rsidR="00EA72C7" w:rsidRDefault="00EA72C7" w:rsidP="003E700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Продуктивность р. оз. Майбалык на 1 га территории ***</w:t>
            </w:r>
          </w:p>
        </w:tc>
        <w:tc>
          <w:tcPr>
            <w:tcW w:w="1060" w:type="dxa"/>
            <w:vAlign w:val="bottom"/>
          </w:tcPr>
          <w:p w:rsidR="00EA72C7" w:rsidRDefault="00EA72C7" w:rsidP="003E70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тн./га</w:t>
            </w:r>
          </w:p>
        </w:tc>
        <w:tc>
          <w:tcPr>
            <w:tcW w:w="2230" w:type="dxa"/>
            <w:vAlign w:val="bottom"/>
          </w:tcPr>
          <w:p w:rsidR="00EA72C7" w:rsidRDefault="00EA72C7" w:rsidP="003E70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w:t>
            </w:r>
          </w:p>
        </w:tc>
      </w:tr>
      <w:tr w:rsidR="00EA72C7" w:rsidTr="003E7002">
        <w:trPr>
          <w:jc w:val="center"/>
        </w:trPr>
        <w:tc>
          <w:tcPr>
            <w:tcW w:w="6231" w:type="dxa"/>
            <w:vAlign w:val="bottom"/>
          </w:tcPr>
          <w:p w:rsidR="00EA72C7" w:rsidRDefault="00EA72C7" w:rsidP="003E700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Территория оз. М. Талдыколь****</w:t>
            </w:r>
          </w:p>
        </w:tc>
        <w:tc>
          <w:tcPr>
            <w:tcW w:w="1060" w:type="dxa"/>
            <w:vAlign w:val="bottom"/>
          </w:tcPr>
          <w:p w:rsidR="00EA72C7" w:rsidRDefault="00EA72C7" w:rsidP="003E70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2230" w:type="dxa"/>
            <w:vAlign w:val="bottom"/>
          </w:tcPr>
          <w:p w:rsidR="00EA72C7" w:rsidRDefault="00EA72C7" w:rsidP="003E70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601,9</w:t>
            </w:r>
          </w:p>
        </w:tc>
      </w:tr>
      <w:tr w:rsidR="00EA72C7" w:rsidTr="003E7002">
        <w:trPr>
          <w:jc w:val="center"/>
        </w:trPr>
        <w:tc>
          <w:tcPr>
            <w:tcW w:w="6231" w:type="dxa"/>
            <w:vAlign w:val="bottom"/>
          </w:tcPr>
          <w:p w:rsidR="00EA72C7" w:rsidRDefault="00EA72C7" w:rsidP="003E700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Продуктивность оз. М. Талдыколь</w:t>
            </w:r>
          </w:p>
        </w:tc>
        <w:tc>
          <w:tcPr>
            <w:tcW w:w="1060" w:type="dxa"/>
            <w:vAlign w:val="bottom"/>
          </w:tcPr>
          <w:p w:rsidR="00EA72C7" w:rsidRDefault="00EA72C7" w:rsidP="003E70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тн./год</w:t>
            </w:r>
          </w:p>
        </w:tc>
        <w:tc>
          <w:tcPr>
            <w:tcW w:w="2230" w:type="dxa"/>
            <w:vAlign w:val="bottom"/>
          </w:tcPr>
          <w:p w:rsidR="00EA72C7" w:rsidRDefault="00EA72C7" w:rsidP="003E70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54,72</w:t>
            </w:r>
          </w:p>
        </w:tc>
      </w:tr>
      <w:tr w:rsidR="00EA72C7" w:rsidTr="003E7002">
        <w:trPr>
          <w:jc w:val="center"/>
        </w:trPr>
        <w:tc>
          <w:tcPr>
            <w:tcW w:w="6231" w:type="dxa"/>
            <w:vAlign w:val="bottom"/>
          </w:tcPr>
          <w:p w:rsidR="00EA72C7" w:rsidRPr="00862EA7" w:rsidRDefault="00EA72C7" w:rsidP="003E700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Средняя оптовая рыночная цена ценных пород рыбы</w:t>
            </w:r>
            <w:r w:rsidRPr="00862EA7">
              <w:rPr>
                <w:rFonts w:ascii="Times New Roman" w:eastAsia="Times New Roman" w:hAnsi="Times New Roman" w:cs="Times New Roman"/>
                <w:color w:val="000000"/>
                <w:sz w:val="24"/>
                <w:szCs w:val="24"/>
              </w:rPr>
              <w:t>#</w:t>
            </w:r>
          </w:p>
        </w:tc>
        <w:tc>
          <w:tcPr>
            <w:tcW w:w="1060" w:type="dxa"/>
            <w:vAlign w:val="bottom"/>
          </w:tcPr>
          <w:p w:rsidR="00EA72C7" w:rsidRDefault="00EA72C7" w:rsidP="003E70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тг./кг.</w:t>
            </w:r>
          </w:p>
        </w:tc>
        <w:tc>
          <w:tcPr>
            <w:tcW w:w="2230" w:type="dxa"/>
            <w:vAlign w:val="bottom"/>
          </w:tcPr>
          <w:p w:rsidR="00EA72C7" w:rsidRDefault="00EA72C7" w:rsidP="003E70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r>
      <w:tr w:rsidR="00EA72C7" w:rsidTr="003E7002">
        <w:trPr>
          <w:jc w:val="center"/>
        </w:trPr>
        <w:tc>
          <w:tcPr>
            <w:tcW w:w="6231" w:type="dxa"/>
            <w:vAlign w:val="bottom"/>
          </w:tcPr>
          <w:p w:rsidR="00EA72C7" w:rsidRDefault="00EA72C7" w:rsidP="003E700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Средняя стоимость 1 кг. рыбы оз. М. Талдыколь (техническая рыба) = 1/3 от рыночной цены</w:t>
            </w:r>
          </w:p>
        </w:tc>
        <w:tc>
          <w:tcPr>
            <w:tcW w:w="1060" w:type="dxa"/>
            <w:vAlign w:val="bottom"/>
          </w:tcPr>
          <w:p w:rsidR="00EA72C7" w:rsidRDefault="00EA72C7" w:rsidP="003E70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тг./кг.</w:t>
            </w:r>
          </w:p>
        </w:tc>
        <w:tc>
          <w:tcPr>
            <w:tcW w:w="2230" w:type="dxa"/>
            <w:vAlign w:val="bottom"/>
          </w:tcPr>
          <w:p w:rsidR="00EA72C7" w:rsidRDefault="00EA72C7" w:rsidP="003E70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166,67</w:t>
            </w:r>
          </w:p>
        </w:tc>
      </w:tr>
      <w:tr w:rsidR="00EA72C7" w:rsidTr="003E7002">
        <w:trPr>
          <w:jc w:val="center"/>
        </w:trPr>
        <w:tc>
          <w:tcPr>
            <w:tcW w:w="6231" w:type="dxa"/>
            <w:vAlign w:val="bottom"/>
          </w:tcPr>
          <w:p w:rsidR="00EA72C7" w:rsidRDefault="00EA72C7" w:rsidP="003E700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 же, в тоннах</w:t>
            </w:r>
          </w:p>
        </w:tc>
        <w:tc>
          <w:tcPr>
            <w:tcW w:w="1060" w:type="dxa"/>
            <w:vAlign w:val="bottom"/>
          </w:tcPr>
          <w:p w:rsidR="00EA72C7" w:rsidRDefault="00EA72C7" w:rsidP="003E70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тг./тн.</w:t>
            </w:r>
          </w:p>
        </w:tc>
        <w:tc>
          <w:tcPr>
            <w:tcW w:w="2230" w:type="dxa"/>
            <w:vAlign w:val="bottom"/>
          </w:tcPr>
          <w:p w:rsidR="00EA72C7" w:rsidRDefault="00EA72C7" w:rsidP="003E70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166 667</w:t>
            </w:r>
          </w:p>
        </w:tc>
      </w:tr>
      <w:tr w:rsidR="00EA72C7" w:rsidTr="003E7002">
        <w:trPr>
          <w:jc w:val="center"/>
        </w:trPr>
        <w:tc>
          <w:tcPr>
            <w:tcW w:w="6231" w:type="dxa"/>
            <w:vAlign w:val="bottom"/>
          </w:tcPr>
          <w:p w:rsidR="00EA72C7" w:rsidRDefault="00EA72C7" w:rsidP="003E700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Суммарная стоимость рыбных ресурсов оз. М. Талдыколь</w:t>
            </w:r>
          </w:p>
        </w:tc>
        <w:tc>
          <w:tcPr>
            <w:tcW w:w="1060" w:type="dxa"/>
            <w:vAlign w:val="bottom"/>
          </w:tcPr>
          <w:p w:rsidR="00EA72C7" w:rsidRDefault="00EA72C7" w:rsidP="003E70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тг.</w:t>
            </w:r>
          </w:p>
        </w:tc>
        <w:tc>
          <w:tcPr>
            <w:tcW w:w="2230" w:type="dxa"/>
            <w:vAlign w:val="bottom"/>
          </w:tcPr>
          <w:p w:rsidR="00EA72C7" w:rsidRDefault="00EA72C7" w:rsidP="003E700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9 119 697</w:t>
            </w:r>
          </w:p>
        </w:tc>
      </w:tr>
      <w:tr w:rsidR="00EA72C7" w:rsidTr="003E7002">
        <w:trPr>
          <w:jc w:val="center"/>
        </w:trPr>
        <w:tc>
          <w:tcPr>
            <w:tcW w:w="9521" w:type="dxa"/>
            <w:gridSpan w:val="3"/>
            <w:vAlign w:val="bottom"/>
          </w:tcPr>
          <w:p w:rsidR="00EA72C7" w:rsidRDefault="00EA72C7" w:rsidP="003E7002">
            <w:pPr>
              <w:ind w:firstLine="6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по источнику </w:t>
            </w:r>
            <w:r w:rsidR="005738AE">
              <w:rPr>
                <w:rFonts w:ascii="Times New Roman" w:eastAsia="Times New Roman" w:hAnsi="Times New Roman" w:cs="Times New Roman"/>
                <w:sz w:val="24"/>
                <w:szCs w:val="24"/>
              </w:rPr>
              <w:t>[161</w:t>
            </w:r>
            <w:r>
              <w:rPr>
                <w:rFonts w:ascii="Times New Roman" w:eastAsia="Times New Roman" w:hAnsi="Times New Roman" w:cs="Times New Roman"/>
                <w:sz w:val="24"/>
                <w:szCs w:val="24"/>
              </w:rPr>
              <w:t>];</w:t>
            </w:r>
          </w:p>
          <w:p w:rsidR="00EA72C7" w:rsidRPr="00862EA7" w:rsidRDefault="00EA72C7" w:rsidP="003E7002">
            <w:pPr>
              <w:ind w:firstLine="6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по источнику </w:t>
            </w:r>
            <w:r w:rsidR="005738AE">
              <w:rPr>
                <w:rFonts w:ascii="Times New Roman" w:eastAsia="Times New Roman" w:hAnsi="Times New Roman" w:cs="Times New Roman"/>
                <w:sz w:val="24"/>
                <w:szCs w:val="24"/>
              </w:rPr>
              <w:t>[162</w:t>
            </w:r>
            <w:r>
              <w:rPr>
                <w:rFonts w:ascii="Times New Roman" w:eastAsia="Times New Roman" w:hAnsi="Times New Roman" w:cs="Times New Roman"/>
                <w:sz w:val="24"/>
                <w:szCs w:val="24"/>
              </w:rPr>
              <w:t>]</w:t>
            </w:r>
            <w:r w:rsidRPr="00862EA7">
              <w:rPr>
                <w:rFonts w:ascii="Times New Roman" w:eastAsia="Times New Roman" w:hAnsi="Times New Roman" w:cs="Times New Roman"/>
                <w:sz w:val="24"/>
                <w:szCs w:val="24"/>
              </w:rPr>
              <w:t>;</w:t>
            </w:r>
          </w:p>
          <w:p w:rsidR="00EA72C7" w:rsidRPr="00862EA7" w:rsidRDefault="00EA72C7" w:rsidP="003E7002">
            <w:pPr>
              <w:ind w:firstLine="6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по источнику </w:t>
            </w:r>
            <w:r w:rsidR="005738AE">
              <w:rPr>
                <w:rFonts w:ascii="Times New Roman" w:eastAsia="Times New Roman" w:hAnsi="Times New Roman" w:cs="Times New Roman"/>
                <w:sz w:val="24"/>
                <w:szCs w:val="24"/>
              </w:rPr>
              <w:t>[163</w:t>
            </w:r>
            <w:r>
              <w:rPr>
                <w:rFonts w:ascii="Times New Roman" w:eastAsia="Times New Roman" w:hAnsi="Times New Roman" w:cs="Times New Roman"/>
                <w:sz w:val="24"/>
                <w:szCs w:val="24"/>
              </w:rPr>
              <w:t>]</w:t>
            </w:r>
            <w:r w:rsidRPr="00862EA7">
              <w:rPr>
                <w:rFonts w:ascii="Times New Roman" w:eastAsia="Times New Roman" w:hAnsi="Times New Roman" w:cs="Times New Roman"/>
                <w:sz w:val="24"/>
                <w:szCs w:val="24"/>
              </w:rPr>
              <w:t>;</w:t>
            </w:r>
          </w:p>
          <w:p w:rsidR="00EA72C7" w:rsidRPr="00862EA7" w:rsidRDefault="00EA72C7" w:rsidP="003E7002">
            <w:pPr>
              <w:ind w:firstLine="6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по источнику </w:t>
            </w:r>
            <w:r w:rsidR="005738AE">
              <w:rPr>
                <w:rFonts w:ascii="Times New Roman" w:eastAsia="Times New Roman" w:hAnsi="Times New Roman" w:cs="Times New Roman"/>
                <w:sz w:val="24"/>
                <w:szCs w:val="24"/>
              </w:rPr>
              <w:t>[164</w:t>
            </w:r>
            <w:r>
              <w:rPr>
                <w:rFonts w:ascii="Times New Roman" w:eastAsia="Times New Roman" w:hAnsi="Times New Roman" w:cs="Times New Roman"/>
                <w:sz w:val="24"/>
                <w:szCs w:val="24"/>
              </w:rPr>
              <w:t>]</w:t>
            </w:r>
            <w:r w:rsidRPr="00862EA7">
              <w:rPr>
                <w:rFonts w:ascii="Times New Roman" w:eastAsia="Times New Roman" w:hAnsi="Times New Roman" w:cs="Times New Roman"/>
                <w:sz w:val="24"/>
                <w:szCs w:val="24"/>
              </w:rPr>
              <w:t>;</w:t>
            </w:r>
          </w:p>
          <w:p w:rsidR="00EA72C7" w:rsidRPr="00862EA7" w:rsidRDefault="00EA72C7" w:rsidP="003E7002">
            <w:pPr>
              <w:ind w:firstLine="601"/>
              <w:jc w:val="both"/>
              <w:rPr>
                <w:rFonts w:ascii="Times New Roman" w:eastAsia="Times New Roman" w:hAnsi="Times New Roman" w:cs="Times New Roman"/>
                <w:sz w:val="24"/>
                <w:szCs w:val="24"/>
              </w:rPr>
            </w:pPr>
            <w:r w:rsidRPr="00B6470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 по источнику </w:t>
            </w:r>
            <w:r w:rsidR="005738AE">
              <w:rPr>
                <w:rFonts w:ascii="Times New Roman" w:eastAsia="Times New Roman" w:hAnsi="Times New Roman" w:cs="Times New Roman"/>
                <w:sz w:val="24"/>
                <w:szCs w:val="24"/>
              </w:rPr>
              <w:t>[165</w:t>
            </w:r>
            <w:r>
              <w:rPr>
                <w:rFonts w:ascii="Times New Roman" w:eastAsia="Times New Roman" w:hAnsi="Times New Roman" w:cs="Times New Roman"/>
                <w:sz w:val="24"/>
                <w:szCs w:val="24"/>
              </w:rPr>
              <w:t>].</w:t>
            </w:r>
          </w:p>
          <w:p w:rsidR="00EA72C7" w:rsidRDefault="00EA72C7" w:rsidP="003E7002">
            <w:pPr>
              <w:ind w:firstLine="6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 Составлено автором по результатам оценки </w:t>
            </w:r>
          </w:p>
        </w:tc>
      </w:tr>
    </w:tbl>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7 – Совокупная оценка ущерба орнитофауне по категориям риска, тыс./тенге</w:t>
      </w:r>
    </w:p>
    <w:p w:rsidR="00EA72C7" w:rsidRDefault="00EA72C7" w:rsidP="00EA72C7">
      <w:pPr>
        <w:spacing w:after="0" w:line="240" w:lineRule="auto"/>
        <w:ind w:firstLine="709"/>
        <w:jc w:val="both"/>
        <w:rPr>
          <w:rFonts w:ascii="Times New Roman" w:eastAsia="Times New Roman" w:hAnsi="Times New Roman" w:cs="Times New Roman"/>
          <w:sz w:val="16"/>
          <w:szCs w:val="16"/>
        </w:rPr>
      </w:pPr>
    </w:p>
    <w:tbl>
      <w:tblPr>
        <w:tblW w:w="9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6"/>
        <w:gridCol w:w="2296"/>
        <w:gridCol w:w="2659"/>
        <w:gridCol w:w="1988"/>
      </w:tblGrid>
      <w:tr w:rsidR="00EA72C7" w:rsidTr="003E7002">
        <w:trPr>
          <w:trHeight w:val="585"/>
          <w:jc w:val="center"/>
        </w:trPr>
        <w:tc>
          <w:tcPr>
            <w:tcW w:w="2716"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Вид</w:t>
            </w:r>
          </w:p>
        </w:tc>
        <w:tc>
          <w:tcPr>
            <w:tcW w:w="2296"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 особей, ед.*</w:t>
            </w:r>
          </w:p>
        </w:tc>
        <w:tc>
          <w:tcPr>
            <w:tcW w:w="2659"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Ущерб за 1 особь, тг.**</w:t>
            </w:r>
          </w:p>
        </w:tc>
        <w:tc>
          <w:tcPr>
            <w:tcW w:w="1988"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 ущерб, тг.</w:t>
            </w:r>
          </w:p>
        </w:tc>
      </w:tr>
      <w:tr w:rsidR="00EA72C7" w:rsidTr="003E7002">
        <w:trPr>
          <w:jc w:val="center"/>
        </w:trPr>
        <w:tc>
          <w:tcPr>
            <w:tcW w:w="2716"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категория риска (наивысшая)</w:t>
            </w:r>
          </w:p>
        </w:tc>
        <w:tc>
          <w:tcPr>
            <w:tcW w:w="2296"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20 634</w:t>
            </w:r>
          </w:p>
        </w:tc>
        <w:tc>
          <w:tcPr>
            <w:tcW w:w="2659"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13 890</w:t>
            </w:r>
          </w:p>
        </w:tc>
        <w:tc>
          <w:tcPr>
            <w:tcW w:w="1988"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484 175 398</w:t>
            </w:r>
          </w:p>
        </w:tc>
      </w:tr>
      <w:tr w:rsidR="00EA72C7" w:rsidTr="003E7002">
        <w:trPr>
          <w:jc w:val="center"/>
        </w:trPr>
        <w:tc>
          <w:tcPr>
            <w:tcW w:w="2716"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категория риска</w:t>
            </w:r>
          </w:p>
        </w:tc>
        <w:tc>
          <w:tcPr>
            <w:tcW w:w="2296"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38 952</w:t>
            </w:r>
          </w:p>
        </w:tc>
        <w:tc>
          <w:tcPr>
            <w:tcW w:w="2659"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13 890</w:t>
            </w:r>
          </w:p>
        </w:tc>
        <w:tc>
          <w:tcPr>
            <w:tcW w:w="1988"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910 292 818</w:t>
            </w:r>
          </w:p>
        </w:tc>
      </w:tr>
      <w:tr w:rsidR="00EA72C7" w:rsidTr="003E7002">
        <w:trPr>
          <w:jc w:val="center"/>
        </w:trPr>
        <w:tc>
          <w:tcPr>
            <w:tcW w:w="2716"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Третья категория риска</w:t>
            </w:r>
          </w:p>
        </w:tc>
        <w:tc>
          <w:tcPr>
            <w:tcW w:w="2296"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6 501</w:t>
            </w:r>
          </w:p>
        </w:tc>
        <w:tc>
          <w:tcPr>
            <w:tcW w:w="2659"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988"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A72C7" w:rsidTr="003E7002">
        <w:trPr>
          <w:jc w:val="center"/>
        </w:trPr>
        <w:tc>
          <w:tcPr>
            <w:tcW w:w="9659" w:type="dxa"/>
            <w:gridSpan w:val="4"/>
          </w:tcPr>
          <w:p w:rsidR="00EA72C7" w:rsidRPr="00862EA7" w:rsidRDefault="00EA72C7" w:rsidP="003E7002">
            <w:pPr>
              <w:ind w:firstLine="6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Составлено по источнику </w:t>
            </w:r>
            <w:r w:rsidR="005738AE">
              <w:rPr>
                <w:rFonts w:ascii="Times New Roman" w:eastAsia="Times New Roman" w:hAnsi="Times New Roman" w:cs="Times New Roman"/>
                <w:sz w:val="24"/>
                <w:szCs w:val="24"/>
              </w:rPr>
              <w:t>[166</w:t>
            </w:r>
            <w:r>
              <w:rPr>
                <w:rFonts w:ascii="Times New Roman" w:eastAsia="Times New Roman" w:hAnsi="Times New Roman" w:cs="Times New Roman"/>
                <w:sz w:val="24"/>
                <w:szCs w:val="24"/>
              </w:rPr>
              <w:t>];</w:t>
            </w:r>
          </w:p>
          <w:p w:rsidR="00EA72C7" w:rsidRDefault="00EA72C7" w:rsidP="003E7002">
            <w:pPr>
              <w:ind w:firstLine="6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Составлено по источнику </w:t>
            </w:r>
            <w:r w:rsidR="005738AE">
              <w:rPr>
                <w:rFonts w:ascii="Times New Roman" w:eastAsia="Times New Roman" w:hAnsi="Times New Roman" w:cs="Times New Roman"/>
                <w:sz w:val="24"/>
                <w:szCs w:val="24"/>
              </w:rPr>
              <w:t>[167</w:t>
            </w:r>
            <w:r>
              <w:rPr>
                <w:rFonts w:ascii="Times New Roman" w:eastAsia="Times New Roman" w:hAnsi="Times New Roman" w:cs="Times New Roman"/>
                <w:sz w:val="24"/>
                <w:szCs w:val="24"/>
              </w:rPr>
              <w:t xml:space="preserve">]. </w:t>
            </w:r>
          </w:p>
          <w:p w:rsidR="00EA72C7" w:rsidRDefault="00EA72C7" w:rsidP="003E7002">
            <w:pPr>
              <w:ind w:firstLine="6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автором по результатам оценки</w:t>
            </w:r>
          </w:p>
        </w:tc>
      </w:tr>
    </w:tbl>
    <w:p w:rsidR="00EA72C7" w:rsidRPr="007F4A3D" w:rsidRDefault="00EA72C7" w:rsidP="00EA72C7">
      <w:pPr>
        <w:spacing w:after="0" w:line="240" w:lineRule="auto"/>
        <w:jc w:val="both"/>
        <w:rPr>
          <w:rFonts w:ascii="Times New Roman" w:eastAsia="Times New Roman" w:hAnsi="Times New Roman" w:cs="Times New Roman"/>
          <w:sz w:val="28"/>
          <w:szCs w:val="28"/>
          <w:lang w:val="kk-KZ"/>
        </w:rPr>
      </w:pPr>
    </w:p>
    <w:p w:rsidR="00EA72C7" w:rsidRDefault="00EA72C7" w:rsidP="00EA72C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8 – Результаты оценки ущерба по категориям риска для экосистемы (растительные сообщества)</w:t>
      </w:r>
    </w:p>
    <w:p w:rsidR="00EA72C7" w:rsidRDefault="00EA72C7" w:rsidP="00EA72C7">
      <w:pPr>
        <w:spacing w:after="0" w:line="240" w:lineRule="auto"/>
        <w:ind w:firstLine="709"/>
        <w:jc w:val="both"/>
        <w:rPr>
          <w:rFonts w:ascii="Times New Roman" w:eastAsia="Times New Roman" w:hAnsi="Times New Roman" w:cs="Times New Roman"/>
          <w:sz w:val="16"/>
          <w:szCs w:val="16"/>
        </w:rPr>
      </w:pP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9"/>
        <w:gridCol w:w="996"/>
      </w:tblGrid>
      <w:tr w:rsidR="00EA72C7" w:rsidTr="003E7002">
        <w:trPr>
          <w:trHeight w:val="70"/>
          <w:jc w:val="center"/>
        </w:trPr>
        <w:tc>
          <w:tcPr>
            <w:tcW w:w="8649"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Показатель*</w:t>
            </w:r>
          </w:p>
        </w:tc>
        <w:tc>
          <w:tcPr>
            <w:tcW w:w="996"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w:t>
            </w:r>
          </w:p>
        </w:tc>
      </w:tr>
      <w:tr w:rsidR="00EA72C7" w:rsidTr="003E7002">
        <w:trPr>
          <w:trHeight w:val="70"/>
          <w:jc w:val="center"/>
        </w:trPr>
        <w:tc>
          <w:tcPr>
            <w:tcW w:w="8649"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6"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A72C7" w:rsidTr="003E7002">
        <w:trPr>
          <w:jc w:val="center"/>
        </w:trPr>
        <w:tc>
          <w:tcPr>
            <w:tcW w:w="8649" w:type="dxa"/>
            <w:vAlign w:val="bottom"/>
          </w:tcPr>
          <w:p w:rsidR="00EA72C7" w:rsidRDefault="00EA72C7" w:rsidP="003E700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1-категория риска (наивысшая)</w:t>
            </w:r>
          </w:p>
        </w:tc>
        <w:tc>
          <w:tcPr>
            <w:tcW w:w="996" w:type="dxa"/>
            <w:vAlign w:val="bottom"/>
          </w:tcPr>
          <w:p w:rsidR="00EA72C7" w:rsidRDefault="00EA72C7" w:rsidP="003E7002">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1460,29</w:t>
            </w:r>
          </w:p>
        </w:tc>
      </w:tr>
      <w:tr w:rsidR="00EA72C7" w:rsidTr="003E7002">
        <w:trPr>
          <w:jc w:val="center"/>
        </w:trPr>
        <w:tc>
          <w:tcPr>
            <w:tcW w:w="8649" w:type="dxa"/>
            <w:tcBorders>
              <w:bottom w:val="nil"/>
            </w:tcBorders>
            <w:vAlign w:val="bottom"/>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Злаковые луга (преимущественно пырейные) с фрагментами тростниковых зарослей и высокой полынью</w:t>
            </w:r>
          </w:p>
        </w:tc>
        <w:tc>
          <w:tcPr>
            <w:tcW w:w="996" w:type="dxa"/>
            <w:tcBorders>
              <w:bottom w:val="nil"/>
            </w:tcBorders>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356,24</w:t>
            </w:r>
          </w:p>
        </w:tc>
      </w:tr>
      <w:tr w:rsidR="00EA72C7" w:rsidTr="003E7002">
        <w:trPr>
          <w:jc w:val="center"/>
        </w:trPr>
        <w:tc>
          <w:tcPr>
            <w:tcW w:w="8649" w:type="dxa"/>
            <w:vAlign w:val="bottom"/>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Экосистемы открытых акваторий пресных озёр (группа озер Малый Талдыколь)</w:t>
            </w:r>
          </w:p>
        </w:tc>
        <w:tc>
          <w:tcPr>
            <w:tcW w:w="996" w:type="dxa"/>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199,43</w:t>
            </w:r>
          </w:p>
        </w:tc>
      </w:tr>
      <w:tr w:rsidR="00EA72C7" w:rsidTr="003E7002">
        <w:trPr>
          <w:jc w:val="center"/>
        </w:trPr>
        <w:tc>
          <w:tcPr>
            <w:tcW w:w="8649" w:type="dxa"/>
            <w:tcBorders>
              <w:bottom w:val="nil"/>
            </w:tcBorders>
            <w:vAlign w:val="bottom"/>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Экосистемы заболоченного массива - Тростниковые болота с луговыми островками вострец и селитряная полынь</w:t>
            </w:r>
          </w:p>
        </w:tc>
        <w:tc>
          <w:tcPr>
            <w:tcW w:w="996" w:type="dxa"/>
            <w:tcBorders>
              <w:bottom w:val="nil"/>
            </w:tcBorders>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744,52</w:t>
            </w:r>
          </w:p>
        </w:tc>
      </w:tr>
      <w:tr w:rsidR="00EA72C7" w:rsidTr="003E7002">
        <w:trPr>
          <w:jc w:val="center"/>
        </w:trPr>
        <w:tc>
          <w:tcPr>
            <w:tcW w:w="9645" w:type="dxa"/>
            <w:gridSpan w:val="2"/>
            <w:tcBorders>
              <w:top w:val="nil"/>
              <w:left w:val="nil"/>
              <w:right w:val="nil"/>
            </w:tcBorders>
            <w:vAlign w:val="bottom"/>
          </w:tcPr>
          <w:p w:rsidR="00EA72C7" w:rsidRPr="00D06B63" w:rsidRDefault="00EA72C7" w:rsidP="00D06B63">
            <w:pPr>
              <w:ind w:hanging="105"/>
              <w:jc w:val="both"/>
              <w:rPr>
                <w:rFonts w:ascii="Times New Roman" w:eastAsia="Times New Roman" w:hAnsi="Times New Roman" w:cs="Times New Roman"/>
                <w:sz w:val="28"/>
                <w:szCs w:val="28"/>
              </w:rPr>
            </w:pPr>
            <w:r w:rsidRPr="00736043">
              <w:rPr>
                <w:rFonts w:ascii="Times New Roman" w:eastAsia="Times New Roman" w:hAnsi="Times New Roman" w:cs="Times New Roman"/>
                <w:sz w:val="28"/>
                <w:szCs w:val="28"/>
              </w:rPr>
              <w:lastRenderedPageBreak/>
              <w:t>Продолжение таблицы 8</w:t>
            </w:r>
          </w:p>
        </w:tc>
      </w:tr>
      <w:tr w:rsidR="00EA72C7" w:rsidTr="003E7002">
        <w:trPr>
          <w:jc w:val="center"/>
        </w:trPr>
        <w:tc>
          <w:tcPr>
            <w:tcW w:w="8649" w:type="dxa"/>
            <w:vAlign w:val="bottom"/>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6" w:type="dxa"/>
            <w:vAlign w:val="bottom"/>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A72C7" w:rsidTr="003E7002">
        <w:trPr>
          <w:jc w:val="center"/>
        </w:trPr>
        <w:tc>
          <w:tcPr>
            <w:tcW w:w="8649" w:type="dxa"/>
            <w:vAlign w:val="bottom"/>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Обсыхающие водоемы с тростниковыми и рогозовыми зарослями, солеросом и астрой триполиум на обнаженной глинистой поверхности</w:t>
            </w:r>
          </w:p>
        </w:tc>
        <w:tc>
          <w:tcPr>
            <w:tcW w:w="996" w:type="dxa"/>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53,86</w:t>
            </w:r>
          </w:p>
        </w:tc>
      </w:tr>
      <w:tr w:rsidR="00EA72C7" w:rsidTr="003E7002">
        <w:trPr>
          <w:jc w:val="center"/>
        </w:trPr>
        <w:tc>
          <w:tcPr>
            <w:tcW w:w="8649" w:type="dxa"/>
            <w:vAlign w:val="bottom"/>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Фрагменты тростниковых болот и лугов</w:t>
            </w:r>
          </w:p>
        </w:tc>
        <w:tc>
          <w:tcPr>
            <w:tcW w:w="996" w:type="dxa"/>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106,25</w:t>
            </w:r>
          </w:p>
        </w:tc>
      </w:tr>
      <w:tr w:rsidR="00EA72C7" w:rsidTr="003E7002">
        <w:trPr>
          <w:jc w:val="center"/>
        </w:trPr>
        <w:tc>
          <w:tcPr>
            <w:tcW w:w="8649" w:type="dxa"/>
            <w:vAlign w:val="bottom"/>
          </w:tcPr>
          <w:p w:rsidR="00EA72C7" w:rsidRDefault="00EA72C7" w:rsidP="003E700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2-категория риска</w:t>
            </w:r>
          </w:p>
        </w:tc>
        <w:tc>
          <w:tcPr>
            <w:tcW w:w="996" w:type="dxa"/>
            <w:vAlign w:val="bottom"/>
          </w:tcPr>
          <w:p w:rsidR="00EA72C7" w:rsidRDefault="00EA72C7" w:rsidP="003E7002">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3218,65</w:t>
            </w:r>
          </w:p>
        </w:tc>
      </w:tr>
      <w:tr w:rsidR="00EA72C7" w:rsidTr="003E7002">
        <w:trPr>
          <w:jc w:val="center"/>
        </w:trPr>
        <w:tc>
          <w:tcPr>
            <w:tcW w:w="8649" w:type="dxa"/>
            <w:vAlign w:val="bottom"/>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Злаковые и тростниковые луга с отдельно стоящими деревцами лоха</w:t>
            </w:r>
          </w:p>
        </w:tc>
        <w:tc>
          <w:tcPr>
            <w:tcW w:w="996" w:type="dxa"/>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120,69</w:t>
            </w:r>
          </w:p>
        </w:tc>
      </w:tr>
      <w:tr w:rsidR="00EA72C7" w:rsidTr="003E7002">
        <w:trPr>
          <w:jc w:val="center"/>
        </w:trPr>
        <w:tc>
          <w:tcPr>
            <w:tcW w:w="8649" w:type="dxa"/>
            <w:vAlign w:val="bottom"/>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Тростниковые луга (низкорослые) с высокой полынью</w:t>
            </w:r>
          </w:p>
        </w:tc>
        <w:tc>
          <w:tcPr>
            <w:tcW w:w="996" w:type="dxa"/>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62,48</w:t>
            </w:r>
          </w:p>
        </w:tc>
      </w:tr>
      <w:tr w:rsidR="00EA72C7" w:rsidTr="003E7002">
        <w:trPr>
          <w:jc w:val="center"/>
        </w:trPr>
        <w:tc>
          <w:tcPr>
            <w:tcW w:w="8649" w:type="dxa"/>
            <w:vAlign w:val="bottom"/>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Тростниковые, галофитные (вострец и обиона) и селитряннополынные</w:t>
            </w:r>
          </w:p>
        </w:tc>
        <w:tc>
          <w:tcPr>
            <w:tcW w:w="996" w:type="dxa"/>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60,55</w:t>
            </w:r>
          </w:p>
        </w:tc>
      </w:tr>
      <w:tr w:rsidR="00EA72C7" w:rsidTr="003E7002">
        <w:trPr>
          <w:jc w:val="center"/>
        </w:trPr>
        <w:tc>
          <w:tcPr>
            <w:tcW w:w="8649" w:type="dxa"/>
            <w:vAlign w:val="bottom"/>
          </w:tcPr>
          <w:p w:rsidR="00EA72C7" w:rsidRPr="00E84142" w:rsidRDefault="00EA72C7" w:rsidP="003E7002">
            <w:pPr>
              <w:ind w:right="-96"/>
              <w:rPr>
                <w:rFonts w:ascii="Times New Roman" w:eastAsia="Times New Roman" w:hAnsi="Times New Roman" w:cs="Times New Roman"/>
                <w:spacing w:val="-4"/>
                <w:sz w:val="24"/>
                <w:szCs w:val="24"/>
              </w:rPr>
            </w:pPr>
            <w:r w:rsidRPr="00E84142">
              <w:rPr>
                <w:rFonts w:ascii="Times New Roman" w:eastAsia="Times New Roman" w:hAnsi="Times New Roman" w:cs="Times New Roman"/>
                <w:spacing w:val="-4"/>
                <w:sz w:val="24"/>
                <w:szCs w:val="24"/>
              </w:rPr>
              <w:t>Экосистема акватории накопителя-испарителя (оз. Большой Талдыколь и оз. Ульмес)</w:t>
            </w:r>
          </w:p>
        </w:tc>
        <w:tc>
          <w:tcPr>
            <w:tcW w:w="996" w:type="dxa"/>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1207,53</w:t>
            </w:r>
          </w:p>
        </w:tc>
      </w:tr>
      <w:tr w:rsidR="00EA72C7" w:rsidTr="003E7002">
        <w:trPr>
          <w:jc w:val="center"/>
        </w:trPr>
        <w:tc>
          <w:tcPr>
            <w:tcW w:w="8649" w:type="dxa"/>
            <w:vAlign w:val="bottom"/>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Экосистема заболоченного массива – тростниковые заросли</w:t>
            </w:r>
          </w:p>
        </w:tc>
        <w:tc>
          <w:tcPr>
            <w:tcW w:w="996" w:type="dxa"/>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549,54</w:t>
            </w:r>
          </w:p>
        </w:tc>
      </w:tr>
      <w:tr w:rsidR="00EA72C7" w:rsidTr="003E7002">
        <w:trPr>
          <w:jc w:val="center"/>
        </w:trPr>
        <w:tc>
          <w:tcPr>
            <w:tcW w:w="8649" w:type="dxa"/>
            <w:vAlign w:val="bottom"/>
          </w:tcPr>
          <w:p w:rsidR="00EA72C7" w:rsidRPr="00E84142" w:rsidRDefault="00EA72C7" w:rsidP="003E7002">
            <w:pPr>
              <w:rPr>
                <w:rFonts w:ascii="Times New Roman" w:eastAsia="Times New Roman" w:hAnsi="Times New Roman" w:cs="Times New Roman"/>
                <w:spacing w:val="-4"/>
                <w:sz w:val="24"/>
                <w:szCs w:val="24"/>
              </w:rPr>
            </w:pPr>
            <w:r w:rsidRPr="00E84142">
              <w:rPr>
                <w:rFonts w:ascii="Times New Roman" w:eastAsia="Times New Roman" w:hAnsi="Times New Roman" w:cs="Times New Roman"/>
                <w:spacing w:val="-4"/>
                <w:sz w:val="24"/>
                <w:szCs w:val="24"/>
              </w:rPr>
              <w:t>Экосистемы озерин – открытые водные поверхности внутри заболоченного массива</w:t>
            </w:r>
          </w:p>
        </w:tc>
        <w:tc>
          <w:tcPr>
            <w:tcW w:w="996" w:type="dxa"/>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46,58</w:t>
            </w:r>
          </w:p>
        </w:tc>
      </w:tr>
      <w:tr w:rsidR="00EA72C7" w:rsidTr="003E7002">
        <w:trPr>
          <w:jc w:val="center"/>
        </w:trPr>
        <w:tc>
          <w:tcPr>
            <w:tcW w:w="8649" w:type="dxa"/>
            <w:vAlign w:val="bottom"/>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Экосистема заболоченного массива – тростниковые заросли</w:t>
            </w:r>
          </w:p>
        </w:tc>
        <w:tc>
          <w:tcPr>
            <w:tcW w:w="996" w:type="dxa"/>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1092,69</w:t>
            </w:r>
          </w:p>
        </w:tc>
      </w:tr>
      <w:tr w:rsidR="00EA72C7" w:rsidTr="003E7002">
        <w:trPr>
          <w:jc w:val="center"/>
        </w:trPr>
        <w:tc>
          <w:tcPr>
            <w:tcW w:w="8649" w:type="dxa"/>
            <w:vAlign w:val="bottom"/>
          </w:tcPr>
          <w:p w:rsidR="00EA72C7" w:rsidRPr="00E84142" w:rsidRDefault="00EA72C7" w:rsidP="003E7002">
            <w:pPr>
              <w:ind w:right="-194"/>
              <w:rPr>
                <w:rFonts w:ascii="Times New Roman" w:eastAsia="Times New Roman" w:hAnsi="Times New Roman" w:cs="Times New Roman"/>
                <w:spacing w:val="-2"/>
                <w:sz w:val="24"/>
                <w:szCs w:val="24"/>
              </w:rPr>
            </w:pPr>
            <w:r w:rsidRPr="00E84142">
              <w:rPr>
                <w:rFonts w:ascii="Times New Roman" w:eastAsia="Times New Roman" w:hAnsi="Times New Roman" w:cs="Times New Roman"/>
                <w:spacing w:val="-2"/>
                <w:sz w:val="24"/>
                <w:szCs w:val="24"/>
              </w:rPr>
              <w:t>Экосистемы озерин – открытые водные поверхности внутри заболоченного массива</w:t>
            </w:r>
          </w:p>
        </w:tc>
        <w:tc>
          <w:tcPr>
            <w:tcW w:w="996" w:type="dxa"/>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78,58</w:t>
            </w:r>
          </w:p>
        </w:tc>
      </w:tr>
      <w:tr w:rsidR="00EA72C7" w:rsidTr="003E7002">
        <w:trPr>
          <w:jc w:val="center"/>
        </w:trPr>
        <w:tc>
          <w:tcPr>
            <w:tcW w:w="8649" w:type="dxa"/>
            <w:vAlign w:val="bottom"/>
          </w:tcPr>
          <w:p w:rsidR="00EA72C7" w:rsidRDefault="00EA72C7" w:rsidP="003E700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3-категория риска</w:t>
            </w:r>
          </w:p>
        </w:tc>
        <w:tc>
          <w:tcPr>
            <w:tcW w:w="996" w:type="dxa"/>
            <w:vAlign w:val="bottom"/>
          </w:tcPr>
          <w:p w:rsidR="00EA72C7" w:rsidRDefault="00EA72C7" w:rsidP="003E7002">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7050,21</w:t>
            </w:r>
          </w:p>
        </w:tc>
      </w:tr>
      <w:tr w:rsidR="00EA72C7" w:rsidTr="003E7002">
        <w:trPr>
          <w:jc w:val="center"/>
        </w:trPr>
        <w:tc>
          <w:tcPr>
            <w:tcW w:w="8649" w:type="dxa"/>
            <w:vAlign w:val="bottom"/>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Заросли полыни высокой местами с ивовыми кустами</w:t>
            </w:r>
          </w:p>
        </w:tc>
        <w:tc>
          <w:tcPr>
            <w:tcW w:w="996" w:type="dxa"/>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23,78</w:t>
            </w:r>
          </w:p>
        </w:tc>
      </w:tr>
      <w:tr w:rsidR="00EA72C7" w:rsidTr="003E7002">
        <w:trPr>
          <w:jc w:val="center"/>
        </w:trPr>
        <w:tc>
          <w:tcPr>
            <w:tcW w:w="8649" w:type="dxa"/>
            <w:vAlign w:val="bottom"/>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Злаковые луга со степными элементами (ковыль, типчак, келерия)</w:t>
            </w:r>
          </w:p>
        </w:tc>
        <w:tc>
          <w:tcPr>
            <w:tcW w:w="996" w:type="dxa"/>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711,86</w:t>
            </w:r>
          </w:p>
        </w:tc>
      </w:tr>
      <w:tr w:rsidR="00EA72C7" w:rsidTr="003E7002">
        <w:trPr>
          <w:jc w:val="center"/>
        </w:trPr>
        <w:tc>
          <w:tcPr>
            <w:tcW w:w="8649" w:type="dxa"/>
            <w:vAlign w:val="bottom"/>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Злаковые (Пырейные) луга с селитряной полынью</w:t>
            </w:r>
          </w:p>
        </w:tc>
        <w:tc>
          <w:tcPr>
            <w:tcW w:w="996" w:type="dxa"/>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185,67</w:t>
            </w:r>
          </w:p>
        </w:tc>
      </w:tr>
      <w:tr w:rsidR="00EA72C7" w:rsidTr="003E7002">
        <w:trPr>
          <w:jc w:val="center"/>
        </w:trPr>
        <w:tc>
          <w:tcPr>
            <w:tcW w:w="8649" w:type="dxa"/>
            <w:vAlign w:val="bottom"/>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Тростниковые луга низкорослые</w:t>
            </w:r>
          </w:p>
        </w:tc>
        <w:tc>
          <w:tcPr>
            <w:tcW w:w="996" w:type="dxa"/>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92,77</w:t>
            </w:r>
          </w:p>
        </w:tc>
      </w:tr>
      <w:tr w:rsidR="00EA72C7" w:rsidTr="003E7002">
        <w:trPr>
          <w:jc w:val="center"/>
        </w:trPr>
        <w:tc>
          <w:tcPr>
            <w:tcW w:w="8649" w:type="dxa"/>
            <w:vAlign w:val="bottom"/>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Тростниковые луга с участием галофитных элементов (солерос, триполиум)</w:t>
            </w:r>
          </w:p>
        </w:tc>
        <w:tc>
          <w:tcPr>
            <w:tcW w:w="996" w:type="dxa"/>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282,87</w:t>
            </w:r>
          </w:p>
        </w:tc>
      </w:tr>
      <w:tr w:rsidR="00EA72C7" w:rsidTr="003E7002">
        <w:trPr>
          <w:jc w:val="center"/>
        </w:trPr>
        <w:tc>
          <w:tcPr>
            <w:tcW w:w="8649" w:type="dxa"/>
            <w:vAlign w:val="bottom"/>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Обионовые и солеросовые образования местами с зарослями тростника</w:t>
            </w:r>
          </w:p>
        </w:tc>
        <w:tc>
          <w:tcPr>
            <w:tcW w:w="996" w:type="dxa"/>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263,91</w:t>
            </w:r>
          </w:p>
        </w:tc>
      </w:tr>
      <w:tr w:rsidR="00EA72C7" w:rsidTr="003E7002">
        <w:trPr>
          <w:jc w:val="center"/>
        </w:trPr>
        <w:tc>
          <w:tcPr>
            <w:tcW w:w="8649" w:type="dxa"/>
            <w:vAlign w:val="bottom"/>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Экосистемы открытых акваторий солоноватых озёр</w:t>
            </w:r>
          </w:p>
        </w:tc>
        <w:tc>
          <w:tcPr>
            <w:tcW w:w="996" w:type="dxa"/>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49,36</w:t>
            </w:r>
          </w:p>
        </w:tc>
      </w:tr>
      <w:tr w:rsidR="00EA72C7" w:rsidTr="003E7002">
        <w:trPr>
          <w:jc w:val="center"/>
        </w:trPr>
        <w:tc>
          <w:tcPr>
            <w:tcW w:w="8649" w:type="dxa"/>
            <w:vAlign w:val="bottom"/>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Экосистемы периодически пересыхающих озер</w:t>
            </w:r>
          </w:p>
        </w:tc>
        <w:tc>
          <w:tcPr>
            <w:tcW w:w="996" w:type="dxa"/>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102,36</w:t>
            </w:r>
          </w:p>
        </w:tc>
      </w:tr>
      <w:tr w:rsidR="00EA72C7" w:rsidTr="003E7002">
        <w:trPr>
          <w:jc w:val="center"/>
        </w:trPr>
        <w:tc>
          <w:tcPr>
            <w:tcW w:w="8649" w:type="dxa"/>
            <w:vAlign w:val="bottom"/>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Смешанные лесные и кустарниковые посадки (зеленый пояс)</w:t>
            </w:r>
          </w:p>
        </w:tc>
        <w:tc>
          <w:tcPr>
            <w:tcW w:w="996" w:type="dxa"/>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5090,38</w:t>
            </w:r>
          </w:p>
        </w:tc>
      </w:tr>
      <w:tr w:rsidR="00EA72C7" w:rsidTr="003E7002">
        <w:trPr>
          <w:jc w:val="center"/>
        </w:trPr>
        <w:tc>
          <w:tcPr>
            <w:tcW w:w="8649" w:type="dxa"/>
            <w:vAlign w:val="bottom"/>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Тростниковые луга (низкорослые) с высокой полынью</w:t>
            </w:r>
          </w:p>
        </w:tc>
        <w:tc>
          <w:tcPr>
            <w:tcW w:w="996" w:type="dxa"/>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62,48</w:t>
            </w:r>
          </w:p>
        </w:tc>
      </w:tr>
      <w:tr w:rsidR="00EA72C7" w:rsidTr="003E7002">
        <w:trPr>
          <w:jc w:val="center"/>
        </w:trPr>
        <w:tc>
          <w:tcPr>
            <w:tcW w:w="8649" w:type="dxa"/>
            <w:vAlign w:val="bottom"/>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Экосистемы котлованов, заполненных водою и обросших тростником</w:t>
            </w:r>
          </w:p>
        </w:tc>
        <w:tc>
          <w:tcPr>
            <w:tcW w:w="996" w:type="dxa"/>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28,51</w:t>
            </w:r>
          </w:p>
        </w:tc>
      </w:tr>
      <w:tr w:rsidR="00EA72C7" w:rsidTr="003E7002">
        <w:trPr>
          <w:jc w:val="center"/>
        </w:trPr>
        <w:tc>
          <w:tcPr>
            <w:tcW w:w="8649" w:type="dxa"/>
            <w:vAlign w:val="bottom"/>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Злаковые и тростниковые с отдельно стоящими деревцами лоха</w:t>
            </w:r>
          </w:p>
        </w:tc>
        <w:tc>
          <w:tcPr>
            <w:tcW w:w="996" w:type="dxa"/>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151,09</w:t>
            </w:r>
          </w:p>
        </w:tc>
      </w:tr>
      <w:tr w:rsidR="00EA72C7" w:rsidTr="003E7002">
        <w:trPr>
          <w:jc w:val="center"/>
        </w:trPr>
        <w:tc>
          <w:tcPr>
            <w:tcW w:w="8649" w:type="dxa"/>
            <w:vAlign w:val="bottom"/>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Злаковая луговина, возможно с посадками лоха</w:t>
            </w:r>
          </w:p>
        </w:tc>
        <w:tc>
          <w:tcPr>
            <w:tcW w:w="996" w:type="dxa"/>
            <w:vAlign w:val="bottom"/>
          </w:tcPr>
          <w:p w:rsidR="00EA72C7" w:rsidRDefault="00EA72C7" w:rsidP="003E70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5,17</w:t>
            </w:r>
          </w:p>
        </w:tc>
      </w:tr>
      <w:tr w:rsidR="00EA72C7" w:rsidTr="003E7002">
        <w:trPr>
          <w:jc w:val="center"/>
        </w:trPr>
        <w:tc>
          <w:tcPr>
            <w:tcW w:w="8649" w:type="dxa"/>
            <w:vAlign w:val="bottom"/>
          </w:tcPr>
          <w:p w:rsidR="00EA72C7" w:rsidRDefault="00EA72C7" w:rsidP="003E700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Итого:</w:t>
            </w:r>
          </w:p>
        </w:tc>
        <w:tc>
          <w:tcPr>
            <w:tcW w:w="996" w:type="dxa"/>
            <w:vAlign w:val="bottom"/>
          </w:tcPr>
          <w:p w:rsidR="00EA72C7" w:rsidRDefault="00EA72C7" w:rsidP="003E7002">
            <w:pPr>
              <w:ind w:left="-106" w:right="-94"/>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23458,32</w:t>
            </w:r>
          </w:p>
        </w:tc>
      </w:tr>
      <w:tr w:rsidR="00EA72C7" w:rsidTr="003E7002">
        <w:trPr>
          <w:trHeight w:val="161"/>
          <w:jc w:val="center"/>
        </w:trPr>
        <w:tc>
          <w:tcPr>
            <w:tcW w:w="9645" w:type="dxa"/>
            <w:gridSpan w:val="2"/>
            <w:vAlign w:val="bottom"/>
          </w:tcPr>
          <w:p w:rsidR="00EA72C7" w:rsidRDefault="00EA72C7" w:rsidP="003E7002">
            <w:pPr>
              <w:ind w:left="743"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Составлено по источнику </w:t>
            </w:r>
            <w:r w:rsidR="005738AE">
              <w:rPr>
                <w:rFonts w:ascii="Times New Roman" w:eastAsia="Times New Roman" w:hAnsi="Times New Roman" w:cs="Times New Roman"/>
                <w:sz w:val="24"/>
                <w:szCs w:val="24"/>
              </w:rPr>
              <w:t>[167</w:t>
            </w:r>
            <w:r>
              <w:rPr>
                <w:rFonts w:ascii="Times New Roman" w:eastAsia="Times New Roman" w:hAnsi="Times New Roman" w:cs="Times New Roman"/>
                <w:sz w:val="24"/>
                <w:szCs w:val="24"/>
              </w:rPr>
              <w:t>]</w:t>
            </w:r>
          </w:p>
          <w:p w:rsidR="00EA72C7" w:rsidRDefault="00EA72C7" w:rsidP="003E7002">
            <w:pPr>
              <w:ind w:left="743" w:hanging="142"/>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Примечание – Составлено </w:t>
            </w:r>
            <w:r>
              <w:rPr>
                <w:rFonts w:ascii="Times New Roman" w:eastAsia="Times New Roman" w:hAnsi="Times New Roman" w:cs="Times New Roman"/>
                <w:color w:val="000000"/>
                <w:sz w:val="24"/>
                <w:szCs w:val="24"/>
              </w:rPr>
              <w:t>автором по результатам оценки</w:t>
            </w:r>
          </w:p>
        </w:tc>
      </w:tr>
    </w:tbl>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результатам общей экономической оценки водно-болотных угодий Талдыкольской системы озер (Категория 1: группа озер Малый Талдыколь + Категория 2: оз. Большой Талдыколь, оз. Ульмес) (Приложение А) было установлено, что экономическая ценность снабжающих услуг группы озер М. Талдыколь (1 категория) составляет 1 295 296 тыс. тенге; регулирующих услуг – 13 452 936 тыс. тенге; услуг среды обитания – 2 386 321 тыс. тенге; культурных услуг – 3 256 505 тыс. тенге; в совокупности общая экономическая ценность группы озер М. Талдыколь составляет 20 391 057 тыс. тенге (рисунок 7).</w:t>
      </w: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49025B0" wp14:editId="0902B532">
            <wp:extent cx="5495925" cy="26670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A72C7" w:rsidRDefault="00EA72C7" w:rsidP="00EA72C7">
      <w:pPr>
        <w:spacing w:after="0" w:line="240" w:lineRule="auto"/>
        <w:jc w:val="center"/>
        <w:rPr>
          <w:rFonts w:ascii="Times New Roman" w:eastAsia="Times New Roman" w:hAnsi="Times New Roman" w:cs="Times New Roman"/>
          <w:sz w:val="16"/>
          <w:szCs w:val="16"/>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7 – Результаты оценки экономической ценности ВБУ Талдыкольской системы озер</w:t>
      </w:r>
    </w:p>
    <w:p w:rsidR="00EA72C7" w:rsidRDefault="00EA72C7" w:rsidP="00EA72C7">
      <w:pPr>
        <w:spacing w:after="0" w:line="240" w:lineRule="auto"/>
        <w:ind w:firstLine="709"/>
        <w:rPr>
          <w:rFonts w:ascii="Times New Roman" w:eastAsia="Times New Roman" w:hAnsi="Times New Roman" w:cs="Times New Roman"/>
          <w:sz w:val="16"/>
          <w:szCs w:val="16"/>
        </w:rPr>
      </w:pPr>
    </w:p>
    <w:p w:rsidR="00EA72C7" w:rsidRPr="006E66D8" w:rsidRDefault="00EA72C7" w:rsidP="00EA72C7">
      <w:pPr>
        <w:spacing w:after="0" w:line="240" w:lineRule="auto"/>
        <w:ind w:firstLine="709"/>
        <w:rPr>
          <w:rFonts w:ascii="Times New Roman" w:eastAsia="Times New Roman" w:hAnsi="Times New Roman" w:cs="Times New Roman"/>
          <w:sz w:val="24"/>
          <w:szCs w:val="24"/>
        </w:rPr>
      </w:pPr>
      <w:r w:rsidRPr="006E66D8">
        <w:rPr>
          <w:rFonts w:ascii="Times New Roman" w:eastAsia="Times New Roman" w:hAnsi="Times New Roman" w:cs="Times New Roman"/>
          <w:sz w:val="24"/>
          <w:szCs w:val="24"/>
        </w:rPr>
        <w:t xml:space="preserve">Примечание – Составлено по источнику </w:t>
      </w:r>
      <w:r w:rsidR="005738AE">
        <w:rPr>
          <w:rFonts w:ascii="Times New Roman" w:eastAsia="Times New Roman" w:hAnsi="Times New Roman" w:cs="Times New Roman"/>
          <w:sz w:val="24"/>
          <w:szCs w:val="24"/>
        </w:rPr>
        <w:t>[168</w:t>
      </w:r>
      <w:r w:rsidRPr="006E66D8">
        <w:rPr>
          <w:rFonts w:ascii="Times New Roman" w:eastAsia="Times New Roman" w:hAnsi="Times New Roman" w:cs="Times New Roman"/>
          <w:sz w:val="24"/>
          <w:szCs w:val="24"/>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7 демонстрирует, что наибольшей экономической ценностью обладают регулирующие услуги (1 категория: 13 452 936 тыс. тенге; 2 категория: 29 651 742 тыс. тенге), к которым относятся:</w:t>
      </w:r>
    </w:p>
    <w:p w:rsidR="00EA72C7" w:rsidRDefault="00EA72C7" w:rsidP="00EA72C7">
      <w:pPr>
        <w:numPr>
          <w:ilvl w:val="0"/>
          <w:numId w:val="7"/>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регулирование качества воздуха;</w:t>
      </w:r>
    </w:p>
    <w:p w:rsidR="00EA72C7" w:rsidRDefault="00EA72C7" w:rsidP="00EA72C7">
      <w:pPr>
        <w:numPr>
          <w:ilvl w:val="0"/>
          <w:numId w:val="7"/>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регулирование климата;</w:t>
      </w:r>
    </w:p>
    <w:p w:rsidR="00EA72C7" w:rsidRDefault="00EA72C7" w:rsidP="00EA72C7">
      <w:pPr>
        <w:numPr>
          <w:ilvl w:val="0"/>
          <w:numId w:val="7"/>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управление нарушениями;</w:t>
      </w:r>
    </w:p>
    <w:p w:rsidR="00EA72C7" w:rsidRDefault="00EA72C7" w:rsidP="00EA72C7">
      <w:pPr>
        <w:numPr>
          <w:ilvl w:val="0"/>
          <w:numId w:val="7"/>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регулирование водных потоков;</w:t>
      </w:r>
    </w:p>
    <w:p w:rsidR="00EA72C7" w:rsidRDefault="00EA72C7" w:rsidP="00EA72C7">
      <w:pPr>
        <w:numPr>
          <w:ilvl w:val="0"/>
          <w:numId w:val="7"/>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обработка отходов;</w:t>
      </w:r>
    </w:p>
    <w:p w:rsidR="00EA72C7" w:rsidRDefault="00EA72C7" w:rsidP="00EA72C7">
      <w:pPr>
        <w:numPr>
          <w:ilvl w:val="0"/>
          <w:numId w:val="7"/>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предотвращение эрозии;</w:t>
      </w:r>
    </w:p>
    <w:p w:rsidR="00EA72C7" w:rsidRDefault="00EA72C7" w:rsidP="00EA72C7">
      <w:pPr>
        <w:numPr>
          <w:ilvl w:val="0"/>
          <w:numId w:val="7"/>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круговорот питательных веществ;</w:t>
      </w:r>
    </w:p>
    <w:p w:rsidR="00EA72C7" w:rsidRDefault="00EA72C7" w:rsidP="00EA72C7">
      <w:pPr>
        <w:numPr>
          <w:ilvl w:val="0"/>
          <w:numId w:val="7"/>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опыление;</w:t>
      </w:r>
    </w:p>
    <w:p w:rsidR="00EA72C7" w:rsidRDefault="00EA72C7" w:rsidP="00EA72C7">
      <w:pPr>
        <w:numPr>
          <w:ilvl w:val="0"/>
          <w:numId w:val="7"/>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биологический контроль;</w:t>
      </w:r>
    </w:p>
    <w:p w:rsidR="00EA72C7" w:rsidRDefault="00EA72C7" w:rsidP="00EA72C7">
      <w:pPr>
        <w:numPr>
          <w:ilvl w:val="0"/>
          <w:numId w:val="7"/>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услуги здравоохранения.</w:t>
      </w:r>
    </w:p>
    <w:p w:rsidR="00EA72C7" w:rsidRDefault="00EA72C7" w:rsidP="00EA72C7">
      <w:pPr>
        <w:tabs>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Контент-анализ</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Контент-анализ стратегических документов городской администрации г. Нур-Султан основан на следующих документах:</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Концепция вхождения столицы в рейтинг 10-ти лучших городов мира до 2050 года, утвержденной постановлением Правительства РК 29 декабря 2014 г., №1394.</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Стратегия развития г. Нур-Султан до 2050 года – разработана в соответствии с Методикой по разработке стратегий городов республиканского и областного значения Министерства национальной экономики РК, определяющая цель и задачи развития для города на долгосрочную перспективу.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Проанализированы материалы Генерального Плана г. Нур-Султан, Схема благоустройства и проект детальной планировки территории озера Талдыколь, утвержденная в 2020 году, Программа развития г. Нур-Султан на 2021-2025 годы, утвержденная 15 января 2021 г. – целевые показатели по расширению площади зеленых насаждений отсутствуют.</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 Концепцией и Стратегией развития Нур-Султана до 2050 года городские власти ставят перед собой амбициозную задачу войти в первую десятку городов с наиболее устойчивой, гармоничной и экологически безопасной городской средой, являющихся точкой притяжения на всем евразийском континенте.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Концепции по переходу Республики Казахстан к «зеленой экономике», предполагается реализация мер по устойчивому использованию водных ресурсов, энергосбережению и повышению энергоэффективности, улучшению системы управления отходами, снижению загрязнения воздуха, сохранению и эффективному управлению экосистемами. В рамках перехода столицы к «зеленой экономике» в настоящее время ведется работа по разработке Стратегии низкоуглеродного развития г. Нур-Султана до 2030 года.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стратегическими документами развития города до 2050 года обозначены следующие экологические аспекты развития городской среды (таблица 9).</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9 – Экологические аспекты развития городской среды г. Нур-Султан, определяемые стратегическими документами</w:t>
      </w:r>
    </w:p>
    <w:p w:rsidR="00EA72C7" w:rsidRDefault="00EA72C7" w:rsidP="00EA72C7">
      <w:pPr>
        <w:spacing w:after="0" w:line="240" w:lineRule="auto"/>
        <w:ind w:firstLine="709"/>
        <w:jc w:val="both"/>
        <w:rPr>
          <w:rFonts w:ascii="Times New Roman" w:eastAsia="Times New Roman" w:hAnsi="Times New Roman" w:cs="Times New Roman"/>
          <w:sz w:val="16"/>
          <w:szCs w:val="16"/>
        </w:rPr>
      </w:pPr>
    </w:p>
    <w:tbl>
      <w:tblPr>
        <w:tblW w:w="9589" w:type="dxa"/>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4"/>
        <w:gridCol w:w="3038"/>
        <w:gridCol w:w="4367"/>
      </w:tblGrid>
      <w:tr w:rsidR="00EA72C7" w:rsidTr="003E7002">
        <w:trPr>
          <w:cantSplit/>
          <w:trHeight w:val="30"/>
        </w:trPr>
        <w:tc>
          <w:tcPr>
            <w:tcW w:w="9589" w:type="dxa"/>
            <w:gridSpan w:val="3"/>
            <w:tcMar>
              <w:top w:w="15" w:type="dxa"/>
              <w:left w:w="15" w:type="dxa"/>
              <w:bottom w:w="15" w:type="dxa"/>
              <w:right w:w="15" w:type="dxa"/>
            </w:tcMar>
            <w:vAlign w:val="center"/>
          </w:tcPr>
          <w:p w:rsidR="00EA72C7" w:rsidRDefault="00EA72C7" w:rsidP="003E7002">
            <w:pPr>
              <w:spacing w:after="0" w:line="240" w:lineRule="auto"/>
              <w:ind w:left="-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Экологические аспекты развития городской среды определяемые стратегическими документами</w:t>
            </w:r>
          </w:p>
        </w:tc>
      </w:tr>
      <w:tr w:rsidR="00EA72C7" w:rsidTr="003E7002">
        <w:trPr>
          <w:trHeight w:val="30"/>
          <w:tblHeader/>
        </w:trPr>
        <w:tc>
          <w:tcPr>
            <w:tcW w:w="5222" w:type="dxa"/>
            <w:gridSpan w:val="2"/>
            <w:tcMar>
              <w:top w:w="15" w:type="dxa"/>
              <w:left w:w="15" w:type="dxa"/>
              <w:bottom w:w="15" w:type="dxa"/>
              <w:right w:w="15" w:type="dxa"/>
            </w:tcMar>
            <w:vAlign w:val="center"/>
          </w:tcPr>
          <w:p w:rsidR="00EA72C7" w:rsidRDefault="00EA72C7" w:rsidP="003E7002">
            <w:pPr>
              <w:spacing w:after="0" w:line="240" w:lineRule="auto"/>
              <w:jc w:val="center"/>
              <w:rPr>
                <w:rFonts w:ascii="Times New Roman" w:eastAsia="Times New Roman" w:hAnsi="Times New Roman" w:cs="Times New Roman"/>
                <w:sz w:val="24"/>
                <w:szCs w:val="24"/>
              </w:rPr>
            </w:pPr>
            <w:bookmarkStart w:id="13" w:name="bookmark=id.26in1rg" w:colFirst="0" w:colLast="0"/>
            <w:bookmarkEnd w:id="13"/>
            <w:r>
              <w:rPr>
                <w:rFonts w:ascii="Times New Roman" w:eastAsia="Times New Roman" w:hAnsi="Times New Roman" w:cs="Times New Roman"/>
                <w:sz w:val="24"/>
                <w:szCs w:val="24"/>
              </w:rPr>
              <w:t xml:space="preserve">концепция </w:t>
            </w:r>
          </w:p>
        </w:tc>
        <w:tc>
          <w:tcPr>
            <w:tcW w:w="4367" w:type="dxa"/>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стратегия</w:t>
            </w:r>
          </w:p>
        </w:tc>
      </w:tr>
      <w:tr w:rsidR="00EA72C7" w:rsidTr="003E7002">
        <w:trPr>
          <w:trHeight w:val="30"/>
          <w:tblHeader/>
        </w:trPr>
        <w:tc>
          <w:tcPr>
            <w:tcW w:w="2184" w:type="dxa"/>
            <w:tcMar>
              <w:top w:w="15" w:type="dxa"/>
              <w:left w:w="15" w:type="dxa"/>
              <w:bottom w:w="15" w:type="dxa"/>
              <w:right w:w="15" w:type="dxa"/>
            </w:tcMar>
            <w:vAlign w:val="center"/>
          </w:tcPr>
          <w:p w:rsidR="00EA72C7" w:rsidRDefault="00EA72C7" w:rsidP="003E7002">
            <w:pPr>
              <w:spacing w:after="0" w:line="240" w:lineRule="auto"/>
              <w:jc w:val="center"/>
              <w:rPr>
                <w:rFonts w:ascii="Times New Roman" w:eastAsia="Times New Roman" w:hAnsi="Times New Roman" w:cs="Times New Roman"/>
                <w:sz w:val="24"/>
                <w:szCs w:val="24"/>
              </w:rPr>
            </w:pPr>
            <w:bookmarkStart w:id="14" w:name="bookmark=id.lnxbz9" w:colFirst="0" w:colLast="0"/>
            <w:bookmarkEnd w:id="14"/>
            <w:r>
              <w:rPr>
                <w:rFonts w:ascii="Times New Roman" w:eastAsia="Times New Roman" w:hAnsi="Times New Roman" w:cs="Times New Roman"/>
                <w:sz w:val="24"/>
                <w:szCs w:val="24"/>
              </w:rPr>
              <w:t xml:space="preserve">Астана 2014 </w:t>
            </w:r>
          </w:p>
        </w:tc>
        <w:tc>
          <w:tcPr>
            <w:tcW w:w="3038" w:type="dxa"/>
            <w:tcMar>
              <w:top w:w="15" w:type="dxa"/>
              <w:left w:w="15" w:type="dxa"/>
              <w:bottom w:w="15" w:type="dxa"/>
              <w:right w:w="15" w:type="dxa"/>
            </w:tcMar>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Нур-Султан 2050</w:t>
            </w:r>
          </w:p>
        </w:tc>
        <w:tc>
          <w:tcPr>
            <w:tcW w:w="4367" w:type="dxa"/>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ключевые вопросы</w:t>
            </w:r>
          </w:p>
        </w:tc>
      </w:tr>
      <w:tr w:rsidR="00CB3555" w:rsidTr="003E7002">
        <w:trPr>
          <w:trHeight w:val="30"/>
          <w:tblHeader/>
        </w:trPr>
        <w:tc>
          <w:tcPr>
            <w:tcW w:w="2184" w:type="dxa"/>
            <w:tcMar>
              <w:top w:w="15" w:type="dxa"/>
              <w:left w:w="15" w:type="dxa"/>
              <w:bottom w:w="15" w:type="dxa"/>
              <w:right w:w="15" w:type="dxa"/>
            </w:tcMar>
            <w:vAlign w:val="center"/>
          </w:tcPr>
          <w:p w:rsidR="00CB3555" w:rsidRDefault="00CB3555"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38" w:type="dxa"/>
            <w:tcMar>
              <w:top w:w="15" w:type="dxa"/>
              <w:left w:w="15" w:type="dxa"/>
              <w:bottom w:w="15" w:type="dxa"/>
              <w:right w:w="15" w:type="dxa"/>
            </w:tcMar>
            <w:vAlign w:val="center"/>
          </w:tcPr>
          <w:p w:rsidR="00CB3555" w:rsidRDefault="00CB3555"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67" w:type="dxa"/>
          </w:tcPr>
          <w:p w:rsidR="00CB3555" w:rsidRDefault="00CB3555"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A72C7" w:rsidTr="00CB3555">
        <w:trPr>
          <w:trHeight w:val="30"/>
        </w:trPr>
        <w:tc>
          <w:tcPr>
            <w:tcW w:w="2184" w:type="dxa"/>
            <w:tcBorders>
              <w:bottom w:val="nil"/>
            </w:tcBorders>
            <w:tcMar>
              <w:top w:w="15" w:type="dxa"/>
              <w:left w:w="15" w:type="dxa"/>
              <w:bottom w:w="15" w:type="dxa"/>
              <w:right w:w="15" w:type="dxa"/>
            </w:tcMar>
          </w:tcPr>
          <w:p w:rsidR="00EA72C7" w:rsidRDefault="00EA72C7" w:rsidP="003E7002">
            <w:pPr>
              <w:spacing w:after="0" w:line="240" w:lineRule="auto"/>
              <w:rPr>
                <w:rFonts w:ascii="Times New Roman" w:eastAsia="Times New Roman" w:hAnsi="Times New Roman" w:cs="Times New Roman"/>
                <w:sz w:val="24"/>
                <w:szCs w:val="24"/>
              </w:rPr>
            </w:pPr>
            <w:bookmarkStart w:id="15" w:name="bookmark=id.35nkun2" w:colFirst="0" w:colLast="0"/>
            <w:bookmarkEnd w:id="15"/>
            <w:r>
              <w:rPr>
                <w:rFonts w:ascii="Times New Roman" w:eastAsia="Times New Roman" w:hAnsi="Times New Roman" w:cs="Times New Roman"/>
                <w:sz w:val="24"/>
                <w:szCs w:val="24"/>
              </w:rPr>
              <w:t>Растущий уровень загрязнения воздуха выбросами от стационарных источников и воды от сбросов загрязненных стоков</w:t>
            </w:r>
          </w:p>
          <w:p w:rsidR="00D06B63" w:rsidRDefault="00D06B63" w:rsidP="003E7002">
            <w:pPr>
              <w:spacing w:after="0" w:line="240" w:lineRule="auto"/>
              <w:rPr>
                <w:rFonts w:ascii="Times New Roman" w:eastAsia="Times New Roman" w:hAnsi="Times New Roman" w:cs="Times New Roman"/>
                <w:sz w:val="24"/>
                <w:szCs w:val="24"/>
              </w:rPr>
            </w:pPr>
          </w:p>
          <w:p w:rsidR="00D06B63" w:rsidRDefault="00D06B63" w:rsidP="003E7002">
            <w:pPr>
              <w:spacing w:after="0" w:line="240" w:lineRule="auto"/>
              <w:rPr>
                <w:rFonts w:ascii="Times New Roman" w:eastAsia="Times New Roman" w:hAnsi="Times New Roman" w:cs="Times New Roman"/>
                <w:sz w:val="24"/>
                <w:szCs w:val="24"/>
              </w:rPr>
            </w:pPr>
          </w:p>
        </w:tc>
        <w:tc>
          <w:tcPr>
            <w:tcW w:w="3038" w:type="dxa"/>
            <w:tcBorders>
              <w:bottom w:val="nil"/>
            </w:tcBorders>
            <w:tcMar>
              <w:top w:w="15" w:type="dxa"/>
              <w:left w:w="15" w:type="dxa"/>
              <w:bottom w:w="15" w:type="dxa"/>
              <w:right w:w="15" w:type="dxa"/>
            </w:tcMar>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альтернативной энергетики, внедрение новых технологий очистки и эко стандартов позволили минимизировать степень загрязнения </w:t>
            </w:r>
          </w:p>
        </w:tc>
        <w:tc>
          <w:tcPr>
            <w:tcW w:w="4367" w:type="dxa"/>
            <w:tcBorders>
              <w:bottom w:val="nil"/>
            </w:tcBorders>
          </w:tcPr>
          <w:p w:rsidR="00EA72C7" w:rsidRDefault="00EA72C7" w:rsidP="003E7002">
            <w:pPr>
              <w:tabs>
                <w:tab w:val="left" w:pos="113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Высокий уровень загрязнения воздушного бассейна стационарными источниками и автомобильным транспортом.</w:t>
            </w:r>
          </w:p>
          <w:p w:rsidR="00EA72C7" w:rsidRDefault="00EA72C7" w:rsidP="003E7002">
            <w:pPr>
              <w:tabs>
                <w:tab w:val="left" w:pos="113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Деградация почв и загрязнение почв.</w:t>
            </w:r>
          </w:p>
          <w:p w:rsidR="00EA72C7" w:rsidRDefault="00EA72C7" w:rsidP="003E7002">
            <w:pPr>
              <w:tabs>
                <w:tab w:val="left" w:pos="113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Загрязнение поверхностных и подземных вод.</w:t>
            </w:r>
          </w:p>
        </w:tc>
      </w:tr>
      <w:tr w:rsidR="00CB3555" w:rsidTr="005F2A00">
        <w:trPr>
          <w:trHeight w:val="30"/>
        </w:trPr>
        <w:tc>
          <w:tcPr>
            <w:tcW w:w="9589" w:type="dxa"/>
            <w:gridSpan w:val="3"/>
            <w:tcBorders>
              <w:top w:val="nil"/>
              <w:left w:val="nil"/>
              <w:bottom w:val="nil"/>
              <w:right w:val="nil"/>
            </w:tcBorders>
            <w:tcMar>
              <w:top w:w="15" w:type="dxa"/>
              <w:left w:w="15" w:type="dxa"/>
              <w:bottom w:w="15" w:type="dxa"/>
              <w:right w:w="15" w:type="dxa"/>
            </w:tcMar>
          </w:tcPr>
          <w:p w:rsidR="00CB3555" w:rsidRPr="00CB3555" w:rsidRDefault="00CB3555" w:rsidP="003E7002">
            <w:pPr>
              <w:spacing w:after="0" w:line="240" w:lineRule="auto"/>
              <w:rPr>
                <w:rFonts w:ascii="Times New Roman" w:eastAsia="Times New Roman" w:hAnsi="Times New Roman" w:cs="Times New Roman"/>
                <w:sz w:val="28"/>
                <w:szCs w:val="28"/>
              </w:rPr>
            </w:pPr>
          </w:p>
          <w:p w:rsidR="00CB3555" w:rsidRPr="00CB3555" w:rsidRDefault="004D137E" w:rsidP="00CB35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Продолжение таблицы 9</w:t>
            </w:r>
          </w:p>
        </w:tc>
      </w:tr>
      <w:tr w:rsidR="00CB3555" w:rsidRPr="00CB3555" w:rsidTr="00CB3555">
        <w:trPr>
          <w:trHeight w:val="30"/>
        </w:trPr>
        <w:tc>
          <w:tcPr>
            <w:tcW w:w="2184" w:type="dxa"/>
            <w:tcBorders>
              <w:top w:val="nil"/>
              <w:left w:val="nil"/>
              <w:bottom w:val="single" w:sz="4" w:space="0" w:color="auto"/>
              <w:right w:val="nil"/>
            </w:tcBorders>
            <w:tcMar>
              <w:top w:w="15" w:type="dxa"/>
              <w:left w:w="15" w:type="dxa"/>
              <w:bottom w:w="15" w:type="dxa"/>
              <w:right w:w="15" w:type="dxa"/>
            </w:tcMar>
          </w:tcPr>
          <w:p w:rsidR="00CB3555" w:rsidRPr="00CB3555" w:rsidRDefault="00CB3555" w:rsidP="003E7002">
            <w:pPr>
              <w:spacing w:after="0" w:line="240" w:lineRule="auto"/>
              <w:rPr>
                <w:rFonts w:ascii="Times New Roman" w:eastAsia="Times New Roman" w:hAnsi="Times New Roman" w:cs="Times New Roman"/>
                <w:sz w:val="16"/>
                <w:szCs w:val="16"/>
              </w:rPr>
            </w:pPr>
          </w:p>
        </w:tc>
        <w:tc>
          <w:tcPr>
            <w:tcW w:w="3038" w:type="dxa"/>
            <w:tcBorders>
              <w:top w:val="nil"/>
              <w:left w:val="nil"/>
              <w:bottom w:val="single" w:sz="4" w:space="0" w:color="auto"/>
              <w:right w:val="nil"/>
            </w:tcBorders>
            <w:tcMar>
              <w:top w:w="15" w:type="dxa"/>
              <w:left w:w="15" w:type="dxa"/>
              <w:bottom w:w="15" w:type="dxa"/>
              <w:right w:w="15" w:type="dxa"/>
            </w:tcMar>
          </w:tcPr>
          <w:p w:rsidR="00CB3555" w:rsidRPr="00CB3555" w:rsidRDefault="00CB3555" w:rsidP="003E7002">
            <w:pPr>
              <w:spacing w:after="0" w:line="240" w:lineRule="auto"/>
              <w:rPr>
                <w:rFonts w:ascii="Times New Roman" w:eastAsia="Times New Roman" w:hAnsi="Times New Roman" w:cs="Times New Roman"/>
                <w:sz w:val="16"/>
                <w:szCs w:val="16"/>
              </w:rPr>
            </w:pPr>
          </w:p>
        </w:tc>
        <w:tc>
          <w:tcPr>
            <w:tcW w:w="4367" w:type="dxa"/>
            <w:tcBorders>
              <w:top w:val="nil"/>
              <w:left w:val="nil"/>
              <w:bottom w:val="single" w:sz="4" w:space="0" w:color="auto"/>
              <w:right w:val="nil"/>
            </w:tcBorders>
          </w:tcPr>
          <w:p w:rsidR="00CB3555" w:rsidRPr="00CB3555" w:rsidRDefault="00CB3555" w:rsidP="003E7002">
            <w:pPr>
              <w:tabs>
                <w:tab w:val="left" w:pos="1134"/>
              </w:tabs>
              <w:spacing w:after="0" w:line="240" w:lineRule="auto"/>
              <w:rPr>
                <w:rFonts w:ascii="Times New Roman" w:eastAsia="Times New Roman" w:hAnsi="Times New Roman" w:cs="Times New Roman"/>
                <w:sz w:val="16"/>
                <w:szCs w:val="16"/>
              </w:rPr>
            </w:pPr>
          </w:p>
        </w:tc>
      </w:tr>
      <w:tr w:rsidR="00CB3555" w:rsidTr="00CB3555">
        <w:trPr>
          <w:trHeight w:val="30"/>
        </w:trPr>
        <w:tc>
          <w:tcPr>
            <w:tcW w:w="21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CB3555" w:rsidRDefault="00CB3555" w:rsidP="00CB35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CB3555" w:rsidRDefault="00CB3555" w:rsidP="00CB35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67" w:type="dxa"/>
            <w:tcBorders>
              <w:top w:val="single" w:sz="4" w:space="0" w:color="auto"/>
              <w:left w:val="single" w:sz="4" w:space="0" w:color="auto"/>
              <w:bottom w:val="single" w:sz="4" w:space="0" w:color="auto"/>
              <w:right w:val="single" w:sz="4" w:space="0" w:color="auto"/>
            </w:tcBorders>
          </w:tcPr>
          <w:p w:rsidR="00CB3555" w:rsidRDefault="00CB3555" w:rsidP="00CB3555">
            <w:pPr>
              <w:tabs>
                <w:tab w:val="left" w:pos="113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A72C7" w:rsidTr="00CB3555">
        <w:trPr>
          <w:trHeight w:val="30"/>
        </w:trPr>
        <w:tc>
          <w:tcPr>
            <w:tcW w:w="21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A72C7" w:rsidRDefault="00EA72C7" w:rsidP="003E7002">
            <w:pPr>
              <w:spacing w:after="0" w:line="240" w:lineRule="auto"/>
              <w:rPr>
                <w:rFonts w:ascii="Times New Roman" w:eastAsia="Times New Roman" w:hAnsi="Times New Roman" w:cs="Times New Roman"/>
                <w:sz w:val="24"/>
                <w:szCs w:val="24"/>
              </w:rPr>
            </w:pPr>
            <w:bookmarkStart w:id="16" w:name="bookmark=id.1ksv4uv" w:colFirst="0" w:colLast="0"/>
            <w:bookmarkEnd w:id="16"/>
            <w:r>
              <w:rPr>
                <w:rFonts w:ascii="Times New Roman" w:eastAsia="Times New Roman" w:hAnsi="Times New Roman" w:cs="Times New Roman"/>
                <w:sz w:val="24"/>
                <w:szCs w:val="24"/>
              </w:rPr>
              <w:t>Сокращение территорий естественных экосистем ввиду увеличения площади застройки</w:t>
            </w:r>
          </w:p>
        </w:tc>
        <w:tc>
          <w:tcPr>
            <w:tcW w:w="30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Повсеместное создание искусственных «островков природы», расширение пло</w:t>
            </w:r>
            <w:r w:rsidR="00D06B6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щадей зеленых насаждений станут неотъемлемой частью концепции градостроения</w:t>
            </w:r>
          </w:p>
        </w:tc>
        <w:tc>
          <w:tcPr>
            <w:tcW w:w="4367" w:type="dxa"/>
            <w:tcBorders>
              <w:top w:val="single" w:sz="4" w:space="0" w:color="auto"/>
              <w:left w:val="single" w:sz="4" w:space="0" w:color="auto"/>
              <w:bottom w:val="single" w:sz="4" w:space="0" w:color="auto"/>
              <w:right w:val="single" w:sz="4" w:space="0" w:color="auto"/>
            </w:tcBorders>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1997 года в г. Нур-Султане ведутся масштабные работы по созданию «Зеле ного пояса» вокруг города и озелене нию территории города. Озеленение города площадью свыше 78 тыс. га планируется продолжить до 2030 года.</w:t>
            </w:r>
          </w:p>
        </w:tc>
      </w:tr>
      <w:tr w:rsidR="00EA72C7" w:rsidTr="00CB3555">
        <w:trPr>
          <w:trHeight w:val="30"/>
        </w:trPr>
        <w:tc>
          <w:tcPr>
            <w:tcW w:w="2184" w:type="dxa"/>
            <w:tcBorders>
              <w:top w:val="single" w:sz="4" w:space="0" w:color="auto"/>
            </w:tcBorders>
            <w:tcMar>
              <w:top w:w="15" w:type="dxa"/>
              <w:left w:w="15" w:type="dxa"/>
              <w:bottom w:w="15" w:type="dxa"/>
              <w:right w:w="15" w:type="dxa"/>
            </w:tcMar>
          </w:tcPr>
          <w:p w:rsidR="00EA72C7" w:rsidRDefault="00EA72C7" w:rsidP="003E7002">
            <w:pPr>
              <w:spacing w:after="0" w:line="240" w:lineRule="auto"/>
              <w:rPr>
                <w:rFonts w:ascii="Times New Roman" w:eastAsia="Times New Roman" w:hAnsi="Times New Roman" w:cs="Times New Roman"/>
                <w:sz w:val="24"/>
                <w:szCs w:val="24"/>
              </w:rPr>
            </w:pPr>
            <w:bookmarkStart w:id="17" w:name="bookmark=id.44sinio" w:colFirst="0" w:colLast="0"/>
            <w:bookmarkEnd w:id="17"/>
            <w:r>
              <w:rPr>
                <w:rFonts w:ascii="Times New Roman" w:eastAsia="Times New Roman" w:hAnsi="Times New Roman" w:cs="Times New Roman"/>
                <w:sz w:val="24"/>
                <w:szCs w:val="24"/>
              </w:rPr>
              <w:t>Растущая площадь полигонов захоронения бытовых отходов</w:t>
            </w:r>
          </w:p>
        </w:tc>
        <w:tc>
          <w:tcPr>
            <w:tcW w:w="3038" w:type="dxa"/>
            <w:tcBorders>
              <w:top w:val="single" w:sz="4" w:space="0" w:color="auto"/>
            </w:tcBorders>
            <w:tcMar>
              <w:top w:w="15" w:type="dxa"/>
              <w:left w:w="15" w:type="dxa"/>
              <w:bottom w:w="15" w:type="dxa"/>
              <w:right w:w="15" w:type="dxa"/>
            </w:tcMar>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Внедрение системы переработки отходов полного цикла позволит увеличить долю перерабо</w:t>
            </w:r>
            <w:r w:rsidR="00D06B6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танных отходов до 50%</w:t>
            </w:r>
          </w:p>
        </w:tc>
        <w:tc>
          <w:tcPr>
            <w:tcW w:w="4367" w:type="dxa"/>
            <w:tcBorders>
              <w:top w:val="single" w:sz="4" w:space="0" w:color="auto"/>
            </w:tcBorders>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Низкий процент переработки и увеличение объемов ТБО, вывозимых на захоронение на полигоны.</w:t>
            </w:r>
          </w:p>
          <w:p w:rsidR="00EA72C7" w:rsidRDefault="00EA72C7" w:rsidP="003E7002">
            <w:pPr>
              <w:tabs>
                <w:tab w:val="left" w:pos="113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Проблемы с утилизацией опасных отходов.</w:t>
            </w:r>
          </w:p>
        </w:tc>
      </w:tr>
      <w:tr w:rsidR="00EA72C7" w:rsidTr="003E7002">
        <w:trPr>
          <w:trHeight w:val="30"/>
        </w:trPr>
        <w:tc>
          <w:tcPr>
            <w:tcW w:w="9589" w:type="dxa"/>
            <w:gridSpan w:val="3"/>
            <w:tcMar>
              <w:top w:w="15" w:type="dxa"/>
              <w:left w:w="15" w:type="dxa"/>
              <w:bottom w:w="15" w:type="dxa"/>
              <w:right w:w="15" w:type="dxa"/>
            </w:tcMar>
          </w:tcPr>
          <w:p w:rsidR="00EA72C7" w:rsidRPr="007F4A3D" w:rsidRDefault="00EA72C7" w:rsidP="003E7002">
            <w:pPr>
              <w:spacing w:after="0" w:line="240" w:lineRule="auto"/>
              <w:ind w:firstLine="638"/>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Примечание – Составлено автором </w:t>
            </w:r>
            <w:r>
              <w:rPr>
                <w:rFonts w:ascii="Times New Roman" w:eastAsia="Times New Roman" w:hAnsi="Times New Roman" w:cs="Times New Roman"/>
                <w:sz w:val="24"/>
                <w:szCs w:val="24"/>
                <w:lang w:val="kk-KZ"/>
              </w:rPr>
              <w:t xml:space="preserve">по источникам </w:t>
            </w:r>
            <w:r w:rsidR="005738AE">
              <w:rPr>
                <w:rFonts w:ascii="Times New Roman" w:eastAsia="Times New Roman" w:hAnsi="Times New Roman" w:cs="Times New Roman"/>
                <w:sz w:val="24"/>
                <w:szCs w:val="24"/>
              </w:rPr>
              <w:t>[169</w:t>
            </w:r>
            <w:r>
              <w:rPr>
                <w:rFonts w:ascii="Times New Roman" w:eastAsia="Times New Roman" w:hAnsi="Times New Roman" w:cs="Times New Roman"/>
                <w:sz w:val="24"/>
                <w:szCs w:val="24"/>
                <w:lang w:val="kk-KZ"/>
              </w:rPr>
              <w:t>, 177</w:t>
            </w:r>
            <w:r>
              <w:rPr>
                <w:rFonts w:ascii="Times New Roman" w:eastAsia="Times New Roman" w:hAnsi="Times New Roman" w:cs="Times New Roman"/>
                <w:sz w:val="24"/>
                <w:szCs w:val="24"/>
              </w:rPr>
              <w:t>]</w:t>
            </w:r>
          </w:p>
        </w:tc>
      </w:tr>
    </w:tbl>
    <w:p w:rsidR="00EA72C7" w:rsidRDefault="00EA72C7" w:rsidP="00EA72C7">
      <w:pPr>
        <w:spacing w:after="0" w:line="240" w:lineRule="auto"/>
        <w:ind w:firstLine="709"/>
        <w:jc w:val="both"/>
        <w:rPr>
          <w:rFonts w:ascii="Times New Roman" w:eastAsia="Times New Roman" w:hAnsi="Times New Roman" w:cs="Times New Roman"/>
          <w:sz w:val="28"/>
          <w:szCs w:val="28"/>
          <w:lang w:val="kk-KZ"/>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 не менее, на данный момент, о данным экспертов и органов управления, г. Нур-Султан относится к городам с высоким уровнем загрязнения атмосферного воздуха </w:t>
      </w:r>
      <w:r>
        <w:rPr>
          <w:rFonts w:ascii="Times New Roman" w:eastAsia="Times New Roman" w:hAnsi="Times New Roman" w:cs="Times New Roman"/>
          <w:i/>
          <w:sz w:val="28"/>
          <w:szCs w:val="28"/>
        </w:rPr>
        <w:t>(по ИЗА</w:t>
      </w:r>
      <w:r>
        <w:rPr>
          <w:rFonts w:ascii="Times New Roman" w:eastAsia="Times New Roman" w:hAnsi="Times New Roman" w:cs="Times New Roman"/>
          <w:i/>
          <w:sz w:val="28"/>
          <w:szCs w:val="28"/>
          <w:vertAlign w:val="subscript"/>
        </w:rPr>
        <w:t>5</w:t>
      </w:r>
      <w:r>
        <w:rPr>
          <w:rFonts w:ascii="Times New Roman" w:eastAsia="Times New Roman" w:hAnsi="Times New Roman" w:cs="Times New Roman"/>
          <w:i/>
          <w:sz w:val="28"/>
          <w:szCs w:val="28"/>
        </w:rPr>
        <w:t>)</w:t>
      </w:r>
      <w:r>
        <w:rPr>
          <w:rFonts w:ascii="Times New Roman" w:eastAsia="Times New Roman" w:hAnsi="Times New Roman" w:cs="Times New Roman"/>
          <w:sz w:val="28"/>
          <w:szCs w:val="28"/>
          <w:vertAlign w:val="superscript"/>
        </w:rPr>
        <w:footnoteReference w:id="1"/>
      </w:r>
      <w:r>
        <w:rPr>
          <w:rFonts w:ascii="Times New Roman" w:eastAsia="Times New Roman" w:hAnsi="Times New Roman" w:cs="Times New Roman"/>
          <w:sz w:val="28"/>
          <w:szCs w:val="28"/>
        </w:rPr>
        <w:t xml:space="preserve"> и к классу очень высокого уровня загрязнения </w:t>
      </w:r>
      <w:r>
        <w:rPr>
          <w:rFonts w:ascii="Times New Roman" w:eastAsia="Times New Roman" w:hAnsi="Times New Roman" w:cs="Times New Roman"/>
          <w:i/>
          <w:sz w:val="28"/>
          <w:szCs w:val="28"/>
        </w:rPr>
        <w:t>(по СИ и НП)</w:t>
      </w:r>
      <w:r>
        <w:rPr>
          <w:rFonts w:ascii="Times New Roman" w:eastAsia="Times New Roman" w:hAnsi="Times New Roman" w:cs="Times New Roman"/>
          <w:sz w:val="28"/>
          <w:szCs w:val="28"/>
          <w:vertAlign w:val="superscript"/>
        </w:rPr>
        <w:footnoteReference w:id="2"/>
      </w:r>
      <w:r>
        <w:rPr>
          <w:rFonts w:ascii="Times New Roman" w:eastAsia="Times New Roman" w:hAnsi="Times New Roman" w:cs="Times New Roman"/>
          <w:sz w:val="28"/>
          <w:szCs w:val="28"/>
        </w:rPr>
        <w:t xml:space="preserve">. Согласно экологическому мониторингу состояния атмосферного воздуха, проводимого РГП «Казгидромет», в городе за 2018 год зафиксировано максимально-разовая концентрация взвешенных частиц </w:t>
      </w:r>
      <w:r>
        <w:rPr>
          <w:rFonts w:ascii="Times New Roman" w:eastAsia="Times New Roman" w:hAnsi="Times New Roman" w:cs="Times New Roman"/>
          <w:i/>
          <w:sz w:val="28"/>
          <w:szCs w:val="28"/>
        </w:rPr>
        <w:t>(пыль)</w:t>
      </w:r>
      <w:r>
        <w:rPr>
          <w:rFonts w:ascii="Times New Roman" w:eastAsia="Times New Roman" w:hAnsi="Times New Roman" w:cs="Times New Roman"/>
          <w:sz w:val="28"/>
          <w:szCs w:val="28"/>
        </w:rPr>
        <w:t>-1,0 ПДК</w:t>
      </w:r>
      <w:r>
        <w:rPr>
          <w:rFonts w:ascii="Times New Roman" w:eastAsia="Times New Roman" w:hAnsi="Times New Roman" w:cs="Times New Roman"/>
          <w:sz w:val="28"/>
          <w:szCs w:val="28"/>
          <w:vertAlign w:val="subscript"/>
        </w:rPr>
        <w:t>м.р.</w:t>
      </w:r>
      <w:r>
        <w:rPr>
          <w:rFonts w:ascii="Times New Roman" w:eastAsia="Times New Roman" w:hAnsi="Times New Roman" w:cs="Times New Roman"/>
          <w:sz w:val="28"/>
          <w:szCs w:val="28"/>
          <w:vertAlign w:val="superscript"/>
        </w:rPr>
        <w:footnoteReference w:id="3"/>
      </w:r>
      <w:r>
        <w:rPr>
          <w:rFonts w:ascii="Times New Roman" w:eastAsia="Times New Roman" w:hAnsi="Times New Roman" w:cs="Times New Roman"/>
          <w:sz w:val="28"/>
          <w:szCs w:val="28"/>
        </w:rPr>
        <w:t>, диоксида серы - 2,8 ПДК</w:t>
      </w:r>
      <w:r>
        <w:rPr>
          <w:rFonts w:ascii="Times New Roman" w:eastAsia="Times New Roman" w:hAnsi="Times New Roman" w:cs="Times New Roman"/>
          <w:sz w:val="28"/>
          <w:szCs w:val="28"/>
          <w:vertAlign w:val="subscript"/>
        </w:rPr>
        <w:t>м.р.</w:t>
      </w:r>
      <w:r>
        <w:rPr>
          <w:rFonts w:ascii="Times New Roman" w:eastAsia="Times New Roman" w:hAnsi="Times New Roman" w:cs="Times New Roman"/>
          <w:sz w:val="28"/>
          <w:szCs w:val="28"/>
        </w:rPr>
        <w:t>, оксида углерода - 1,0 ПДК</w:t>
      </w:r>
      <w:r>
        <w:rPr>
          <w:rFonts w:ascii="Times New Roman" w:eastAsia="Times New Roman" w:hAnsi="Times New Roman" w:cs="Times New Roman"/>
          <w:sz w:val="28"/>
          <w:szCs w:val="28"/>
          <w:vertAlign w:val="subscript"/>
        </w:rPr>
        <w:t>м.р.</w:t>
      </w:r>
      <w:r>
        <w:rPr>
          <w:rFonts w:ascii="Times New Roman" w:eastAsia="Times New Roman" w:hAnsi="Times New Roman" w:cs="Times New Roman"/>
          <w:sz w:val="28"/>
          <w:szCs w:val="28"/>
        </w:rPr>
        <w:t>, фтористого водорода - 7,1 ПДК</w:t>
      </w:r>
      <w:r>
        <w:rPr>
          <w:rFonts w:ascii="Times New Roman" w:eastAsia="Times New Roman" w:hAnsi="Times New Roman" w:cs="Times New Roman"/>
          <w:sz w:val="28"/>
          <w:szCs w:val="28"/>
          <w:vertAlign w:val="subscript"/>
        </w:rPr>
        <w:t>м.р.</w:t>
      </w:r>
      <w:r>
        <w:rPr>
          <w:rFonts w:ascii="Times New Roman" w:eastAsia="Times New Roman" w:hAnsi="Times New Roman" w:cs="Times New Roman"/>
          <w:sz w:val="28"/>
          <w:szCs w:val="28"/>
        </w:rPr>
        <w:t xml:space="preserve">; концентрации остальных загрязняющих находились в допустимых пределах нормы.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Несмотря на проведение ряда экологических мероприятий и реализацию экологических программ и проектов, сегодня столица имеет следующие проблемы в сфере охраны окружающей среды: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Высокий уровень загрязнения воздушного бассейна стационарными источниками и автомобильным транспортом.</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Низкий процент переработки и увеличение объемов ТБО, вывозимых на захоронение на полигоны.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Проблемы с утилизацией производимых городом опасных отходов.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Деградация почв и загрязнение почв.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Загрязнение поверхностных и подземных вод.</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результатам социологических опросов, жители города низко оценивают ситуацию по направлению «экология» города, будучи не удовлетворены загрязненностью водоемов и воздуха.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Выявленную в ходе анализа угрозу по сокращению территорий естественных экосистем ввиду увеличения площади застройки в Концепции </w:t>
      </w:r>
      <w:r>
        <w:rPr>
          <w:rFonts w:ascii="Times New Roman" w:eastAsia="Times New Roman" w:hAnsi="Times New Roman" w:cs="Times New Roman"/>
          <w:sz w:val="28"/>
          <w:szCs w:val="28"/>
        </w:rPr>
        <w:lastRenderedPageBreak/>
        <w:t>предложено нивелировать посредством создания искусственных «островков природы», расширение площадей зеленых насаждений. Позже в Стратегии развития города до 2050 года предлагается продолжить начатые в 1997 году масштабные работы по созданию «Зеленого пояса» вокруг города и озеленению его территории. Необходимо отметить что на эти цели предусмотрен бюджет в виде ежегодного выделения финансовых средств от 2,3 до 5,34 млрд. тенге, это порядка 12,7 млн. $USA.</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схеме благоустройства и проекту детальной планировки (ПДП) территории вокруг озера Талдыколь, утвержденной в 2018-2019 года ТОО «НИПИ Астанагенплан» озеленением планируется охватить и юго-восточной части прибережной территории озера Большой Талдыколь. Территорию системы озер Малый Талдыколь предлагается высушить и застроить объектами недвижимости (рисунок 8).</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4"/>
          <w:szCs w:val="24"/>
        </w:rPr>
        <w:drawing>
          <wp:inline distT="0" distB="0" distL="0" distR="0" wp14:anchorId="47EDF3FD" wp14:editId="0EB60CED">
            <wp:extent cx="5159900" cy="2780475"/>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17409" t="25569" r="36082" b="29490"/>
                    <a:stretch>
                      <a:fillRect/>
                    </a:stretch>
                  </pic:blipFill>
                  <pic:spPr>
                    <a:xfrm>
                      <a:off x="0" y="0"/>
                      <a:ext cx="5159900" cy="2780475"/>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791A95AB" wp14:editId="0BECBC75">
                <wp:simplePos x="0" y="0"/>
                <wp:positionH relativeFrom="column">
                  <wp:posOffset>3149600</wp:posOffset>
                </wp:positionH>
                <wp:positionV relativeFrom="paragraph">
                  <wp:posOffset>2514600</wp:posOffset>
                </wp:positionV>
                <wp:extent cx="271918" cy="256016"/>
                <wp:effectExtent l="0" t="0" r="0" b="0"/>
                <wp:wrapNone/>
                <wp:docPr id="101" name="Прямоугольник 101"/>
                <wp:cNvGraphicFramePr/>
                <a:graphic xmlns:a="http://schemas.openxmlformats.org/drawingml/2006/main">
                  <a:graphicData uri="http://schemas.microsoft.com/office/word/2010/wordprocessingShape">
                    <wps:wsp>
                      <wps:cNvSpPr/>
                      <wps:spPr>
                        <a:xfrm>
                          <a:off x="5214804" y="3656755"/>
                          <a:ext cx="262393" cy="246491"/>
                        </a:xfrm>
                        <a:prstGeom prst="rect">
                          <a:avLst/>
                        </a:prstGeom>
                        <a:solidFill>
                          <a:schemeClr val="lt1"/>
                        </a:solidFill>
                        <a:ln>
                          <a:noFill/>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cx="http://schemas.microsoft.com/office/drawing/2014/chartex">
            <w:pict>
              <v:rect w14:anchorId="791A95AB" id="Прямоугольник 101" o:spid="_x0000_s1092" style="position:absolute;left:0;text-align:left;margin-left:248pt;margin-top:198pt;width:21.4pt;height:20.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" fillcolor="white [3201]" stroked="f">
                <v:textbox inset="2.53958mm,2.53958mm,2.53958mm,2.53958mm">
                  <w:txbxContent>
                    <w:p w:rsidR="00D06B63" w:rsidRDefault="00D06B63" w:rsidP="00EA72C7">
                      <w:pPr>
                        <w:spacing w:after="0" w:line="240" w:lineRule="auto"/>
                        <w:textDirection w:val="btLr"/>
                      </w:pPr>
                    </w:p>
                  </w:txbxContent>
                </v:textbox>
              </v:rect>
            </w:pict>
          </mc:Fallback>
        </mc:AlternateContent>
      </w:r>
    </w:p>
    <w:p w:rsidR="00EA72C7" w:rsidRDefault="00EA72C7" w:rsidP="00EA72C7">
      <w:pPr>
        <w:spacing w:after="0" w:line="240" w:lineRule="auto"/>
        <w:jc w:val="both"/>
        <w:rPr>
          <w:rFonts w:ascii="Times New Roman" w:eastAsia="Times New Roman" w:hAnsi="Times New Roman" w:cs="Times New Roman"/>
          <w:sz w:val="16"/>
          <w:szCs w:val="16"/>
        </w:rPr>
      </w:pPr>
    </w:p>
    <w:p w:rsidR="00EA72C7" w:rsidRDefault="00EA72C7" w:rsidP="00EA72C7">
      <w:pPr>
        <w:spacing w:after="0" w:line="240" w:lineRule="auto"/>
        <w:ind w:firstLine="26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w:t>
      </w:r>
    </w:p>
    <w:p w:rsidR="00EA72C7" w:rsidRPr="00736043" w:rsidRDefault="00EA72C7" w:rsidP="00EA72C7">
      <w:pPr>
        <w:spacing w:after="0" w:line="240" w:lineRule="auto"/>
        <w:ind w:firstLine="709"/>
        <w:jc w:val="both"/>
        <w:rPr>
          <w:rFonts w:ascii="Times New Roman" w:eastAsia="Times New Roman" w:hAnsi="Times New Roman" w:cs="Times New Roman"/>
          <w:sz w:val="16"/>
          <w:szCs w:val="16"/>
        </w:rPr>
      </w:pPr>
    </w:p>
    <w:p w:rsidR="00EA72C7" w:rsidRDefault="00EA72C7" w:rsidP="00EA72C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 схема благоустройства и озеленения прибрежной части озера Большой Талдыколь; б – проект детальной постройки озера Малый Талдыколь</w:t>
      </w:r>
    </w:p>
    <w:p w:rsidR="00EA72C7" w:rsidRDefault="00EA72C7" w:rsidP="00EA72C7">
      <w:pPr>
        <w:spacing w:after="0" w:line="240" w:lineRule="auto"/>
        <w:ind w:firstLine="709"/>
        <w:jc w:val="both"/>
        <w:rPr>
          <w:rFonts w:ascii="Times New Roman" w:eastAsia="Times New Roman" w:hAnsi="Times New Roman" w:cs="Times New Roman"/>
          <w:b/>
          <w:sz w:val="16"/>
          <w:szCs w:val="16"/>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8 – Стратегические видение экологических аспектов развития территории оз. Малый Талдыколь властями города Нур-Султан</w:t>
      </w:r>
    </w:p>
    <w:p w:rsidR="00EA72C7" w:rsidRPr="006E66D8" w:rsidRDefault="00EA72C7" w:rsidP="00EA72C7">
      <w:pPr>
        <w:spacing w:after="0" w:line="240" w:lineRule="auto"/>
        <w:ind w:firstLine="709"/>
        <w:jc w:val="both"/>
        <w:rPr>
          <w:rFonts w:ascii="Times New Roman" w:eastAsia="Times New Roman" w:hAnsi="Times New Roman" w:cs="Times New Roman"/>
          <w:sz w:val="16"/>
          <w:szCs w:val="16"/>
        </w:rPr>
      </w:pPr>
      <w:bookmarkStart w:id="18" w:name="_heading=h.2jxsxqh" w:colFirst="0" w:colLast="0"/>
      <w:bookmarkEnd w:id="18"/>
    </w:p>
    <w:p w:rsidR="00EA72C7" w:rsidRPr="006E66D8" w:rsidRDefault="00EA72C7" w:rsidP="00EA72C7">
      <w:pPr>
        <w:spacing w:after="0" w:line="240" w:lineRule="auto"/>
        <w:ind w:firstLine="709"/>
        <w:jc w:val="both"/>
        <w:rPr>
          <w:rFonts w:ascii="Times New Roman" w:eastAsia="Times New Roman" w:hAnsi="Times New Roman" w:cs="Times New Roman"/>
          <w:sz w:val="24"/>
          <w:szCs w:val="24"/>
        </w:rPr>
      </w:pPr>
      <w:r w:rsidRPr="006E66D8">
        <w:rPr>
          <w:rFonts w:ascii="Times New Roman" w:eastAsia="Times New Roman" w:hAnsi="Times New Roman" w:cs="Times New Roman"/>
          <w:sz w:val="24"/>
          <w:szCs w:val="24"/>
        </w:rPr>
        <w:t xml:space="preserve">Примечание – Составлено по источнику </w:t>
      </w:r>
      <w:r w:rsidR="005738AE">
        <w:rPr>
          <w:rFonts w:ascii="Times New Roman" w:eastAsia="Times New Roman" w:hAnsi="Times New Roman" w:cs="Times New Roman"/>
          <w:sz w:val="24"/>
          <w:szCs w:val="24"/>
        </w:rPr>
        <w:t>[171</w:t>
      </w:r>
      <w:r>
        <w:rPr>
          <w:rFonts w:ascii="Times New Roman" w:eastAsia="Times New Roman" w:hAnsi="Times New Roman" w:cs="Times New Roman"/>
          <w:sz w:val="24"/>
          <w:szCs w:val="24"/>
        </w:rPr>
        <w:t>, 179</w:t>
      </w:r>
      <w:r w:rsidRPr="006E66D8">
        <w:rPr>
          <w:rFonts w:ascii="Times New Roman" w:eastAsia="Times New Roman" w:hAnsi="Times New Roman" w:cs="Times New Roman"/>
          <w:sz w:val="24"/>
          <w:szCs w:val="24"/>
        </w:rPr>
        <w:t xml:space="preserve">] </w:t>
      </w:r>
    </w:p>
    <w:p w:rsidR="00EA72C7" w:rsidRPr="006E66D8" w:rsidRDefault="00EA72C7" w:rsidP="00EA72C7">
      <w:pPr>
        <w:spacing w:after="0" w:line="240" w:lineRule="auto"/>
        <w:ind w:firstLine="340"/>
        <w:jc w:val="both"/>
        <w:rPr>
          <w:rFonts w:cs="Times New Roman"/>
          <w:sz w:val="24"/>
          <w:szCs w:val="24"/>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отметить два важных аспекта: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неотъемлемость рассмотрения экосистемы озер Большой и Малый Талдыколь в совокупности, ввиду нежизнеспособности их существования по отдельности;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стоимость экосистемных услуг, предоставляемых экосистемой Малого Талдыколя, превышает аналогичные показатели Большого Талдыколя и тем самым ставится под сомнение разумность принятого решения.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Анализ имеющихся в открытом доступе стратегических документов и отчетов о городском развитии говорит о том, что ежегодные затраты на решение экологических проблем, связанных с созданием искусственных «островков природы» посредством расширения площадей зеленых насаждений в 20 раз меньше потерь, связанных с застройкой территории Малого Талдыколя и как следствие утратой естественного природного ландшафта (рисунок 9).</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Полученные результаты исследования доказывают, что сохранение данных экосистемных услуг в естественной среде позволит снизить затраты на предоставление этих услуг альтернативным способом и избежать ущерба от непродуманного решения </w:t>
      </w:r>
      <w:r w:rsidR="005738AE">
        <w:rPr>
          <w:rFonts w:ascii="Times New Roman" w:eastAsia="Times New Roman" w:hAnsi="Times New Roman" w:cs="Times New Roman"/>
          <w:sz w:val="28"/>
          <w:szCs w:val="28"/>
        </w:rPr>
        <w:t>[173</w:t>
      </w:r>
      <w:r>
        <w:rPr>
          <w:rFonts w:ascii="Times New Roman" w:eastAsia="Times New Roman" w:hAnsi="Times New Roman" w:cs="Times New Roman"/>
          <w:sz w:val="28"/>
          <w:szCs w:val="28"/>
        </w:rPr>
        <w:t>].</w:t>
      </w:r>
      <w:r>
        <w:rPr>
          <w:rFonts w:ascii="Times New Roman" w:eastAsia="Times New Roman" w:hAnsi="Times New Roman" w:cs="Times New Roman"/>
          <w:color w:val="FF0000"/>
          <w:sz w:val="28"/>
          <w:szCs w:val="28"/>
        </w:rPr>
        <w:t xml:space="preserve"> </w:t>
      </w:r>
    </w:p>
    <w:p w:rsidR="00EA72C7" w:rsidRDefault="00EA72C7" w:rsidP="00EA72C7">
      <w:pPr>
        <w:spacing w:after="0" w:line="240" w:lineRule="auto"/>
        <w:ind w:firstLine="709"/>
        <w:jc w:val="both"/>
        <w:rPr>
          <w:rFonts w:ascii="Times New Roman" w:eastAsia="Times New Roman" w:hAnsi="Times New Roman" w:cs="Times New Roman"/>
          <w:i/>
          <w:sz w:val="24"/>
          <w:szCs w:val="24"/>
        </w:rPr>
      </w:pP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4"/>
          <w:szCs w:val="24"/>
        </w:rPr>
        <w:drawing>
          <wp:inline distT="0" distB="0" distL="0" distR="0" wp14:anchorId="14068762" wp14:editId="59847AE4">
            <wp:extent cx="5915025" cy="225742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A72C7" w:rsidRDefault="00EA72C7" w:rsidP="00EA72C7">
      <w:pPr>
        <w:spacing w:after="0" w:line="240" w:lineRule="auto"/>
        <w:ind w:firstLine="709"/>
        <w:jc w:val="center"/>
        <w:rPr>
          <w:rFonts w:ascii="Times New Roman" w:eastAsia="Times New Roman" w:hAnsi="Times New Roman" w:cs="Times New Roman"/>
          <w:b/>
          <w:sz w:val="16"/>
          <w:szCs w:val="16"/>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9 – Сравнение стратегий по решению проблем, связанных с сокращением территорий естественных экосистем ввиду увеличения площади застройки</w:t>
      </w:r>
    </w:p>
    <w:p w:rsidR="00EA72C7" w:rsidRDefault="00EA72C7" w:rsidP="00EA72C7">
      <w:pPr>
        <w:spacing w:after="0" w:line="240" w:lineRule="auto"/>
        <w:ind w:firstLine="709"/>
        <w:jc w:val="both"/>
        <w:rPr>
          <w:rFonts w:ascii="Times New Roman" w:eastAsia="Times New Roman" w:hAnsi="Times New Roman" w:cs="Times New Roman"/>
          <w:sz w:val="16"/>
          <w:szCs w:val="16"/>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Примечание – Составлено автором</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из главных принципов Стратегии «Нур-Султан 2050» будет преемственность: каждое последующее решение должно учитывать ранее принятые решения. Реализуемые в настоящее время инициативы по всем направлениям должны быть должным образом верифицированы на соответствие принципам и подходам. Вместе с тем, по мнению автора, экологическим инициативам в Стратегии «Нур-Султан 2050» уделяется недостаточно внимания.</w:t>
      </w:r>
    </w:p>
    <w:p w:rsidR="00EA72C7" w:rsidRDefault="00EA72C7" w:rsidP="00EA72C7">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Выводы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Проведенное исследование подтвердило первую исходную гипотезу и доказывает, что усилия городских властей стремительно развивающегося г. Нур-Султан на пути улучшения качества жизни населения все больше сталкивается с проблемами обеспечения комфортных и безопасных условий проживания.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Опираясь на принципы эффективного управления диагностированы следующие признаки слабой институциональной пригодности местных органов власти.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Первое – отсутствие целей в области сохранения биоразнообразия, что ведет к игнорированию ключевых социальных и экологических проблем городской агломерации.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Во-вторых, ограниченная отсутствием законодательных норм по практической реализации концепции экосистемного подхода государственная власть не в состоянии комплексно рассматривать вопросы развития города.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В-третьих, выявленные в ходе исследования проблемы и вызовы способствуют внедрению системы экологического менеджмента в систему городского управления и росту значимости «зеленой экономики». В связи с этим, требуется разработка соответствующих мер для улучшения экологических условий развития столицы.</w:t>
      </w:r>
    </w:p>
    <w:p w:rsidR="00EA72C7" w:rsidRDefault="00EA72C7" w:rsidP="00EA72C7">
      <w:pPr>
        <w:pStyle w:val="2"/>
        <w:spacing w:before="0" w:line="240" w:lineRule="auto"/>
        <w:ind w:firstLine="709"/>
        <w:jc w:val="both"/>
        <w:rPr>
          <w:rFonts w:ascii="Times New Roman" w:eastAsia="Times New Roman" w:hAnsi="Times New Roman" w:cs="Times New Roman"/>
          <w:color w:val="000000"/>
          <w:sz w:val="28"/>
          <w:szCs w:val="28"/>
        </w:rPr>
      </w:pPr>
      <w:bookmarkStart w:id="19" w:name="_heading=h.z337ya" w:colFirst="0" w:colLast="0"/>
      <w:bookmarkEnd w:id="19"/>
      <w:r>
        <w:rPr>
          <w:rFonts w:ascii="Times New Roman" w:eastAsia="Times New Roman" w:hAnsi="Times New Roman" w:cs="Times New Roman"/>
          <w:color w:val="000000"/>
          <w:sz w:val="28"/>
          <w:szCs w:val="28"/>
        </w:rPr>
        <w:t xml:space="preserve">2.3 Выявление и анализ проблем при принятии и реализации управленческих решений в системе государственного управления природными ресурсами Республики Казахстан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Экологическая ситуация в Казахстане требует улучшения с вовлечением, как населения, так и специалистов различных организаций, включая государственных управленцев. Для этой цели в 2019 году было проведено экспертный опрос работников государственных учреждений Казахстана. Вопросы экспертного опроса относились к текущей системе государственного управления природными ресурсами и сложившейся экологической обстановки.</w:t>
      </w:r>
    </w:p>
    <w:p w:rsidR="00EA72C7" w:rsidRDefault="00EA72C7" w:rsidP="00EA72C7">
      <w:pPr>
        <w:spacing w:after="0" w:line="24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Предметом исследования являлась система государственного управления природными ресурсами в Республике Казахстан. В связи с этим предполагалось детально рассмотреть имеющиеся в стране институты государственного управления природными ресурсами и инструменты, посредством которых реализуется государственная политика в данной сфере </w:t>
      </w:r>
      <w:r w:rsidR="005738AE">
        <w:rPr>
          <w:rFonts w:ascii="Times New Roman" w:eastAsia="Times New Roman" w:hAnsi="Times New Roman" w:cs="Times New Roman"/>
          <w:sz w:val="28"/>
          <w:szCs w:val="28"/>
        </w:rPr>
        <w:t>[174</w:t>
      </w:r>
      <w:r>
        <w:rPr>
          <w:rFonts w:ascii="Times New Roman" w:eastAsia="Times New Roman" w:hAnsi="Times New Roman" w:cs="Times New Roman"/>
          <w:sz w:val="28"/>
          <w:szCs w:val="28"/>
        </w:rPr>
        <w:t xml:space="preserve">].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Существующие институты государственного управления природными ресурсами на протяжении независимости Казахстана претерпевали множеств</w:t>
      </w:r>
      <w:r w:rsidR="006E5560">
        <w:rPr>
          <w:rFonts w:ascii="Times New Roman" w:eastAsia="Times New Roman" w:hAnsi="Times New Roman" w:cs="Times New Roman"/>
          <w:sz w:val="28"/>
          <w:szCs w:val="28"/>
        </w:rPr>
        <w:t>енные изменения. Следует отметить что</w:t>
      </w:r>
      <w:r>
        <w:rPr>
          <w:rFonts w:ascii="Times New Roman" w:eastAsia="Times New Roman" w:hAnsi="Times New Roman" w:cs="Times New Roman"/>
          <w:sz w:val="28"/>
          <w:szCs w:val="28"/>
        </w:rPr>
        <w:t xml:space="preserve"> шаги, предпринятые в рамках повышения эффективности деятельности системы государственного управления по разграничению полномочий между уровнями государственного управления в 2014 году, когда были переданы функции от Правительства РК центральным государственным органам и ведомствам (далее – ЦГО), а от ЦГО местным исполнительным органам (МИО), от МИО областного значения МИО районов.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государственной власти по формированию и реализации экологический политики, координации процессов управления в сферах охраны окружающей среды, охраны, контроля и надзора за рациональным использованием природных ресурсов, использования и охраны водного, земельного фонда, водоснабжения, водоотведения, лесного хозяйства, охраны, воспроизводства и использования животного мира и особо охраняемых природных территорий показаны на рисунке 10.</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местном уровне государственная политика в области охраны окружающей среды и рационального природопользования осуществляется местными представительными и исполнительными гос</w:t>
      </w:r>
      <w:r w:rsidR="006E5560">
        <w:rPr>
          <w:rFonts w:ascii="Times New Roman" w:eastAsia="Times New Roman" w:hAnsi="Times New Roman" w:cs="Times New Roman"/>
          <w:sz w:val="28"/>
          <w:szCs w:val="28"/>
        </w:rPr>
        <w:t>ударственными органами</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Социологическим исследованием были охвачены лица, занимающие руководящие позиции в государственных органах, подведомственных предприятиях и учреждениях ответственных за сохранение и рациональное использование природных ресурсов.</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center"/>
        <w:rPr>
          <w:rFonts w:ascii="Times New Roman" w:eastAsia="Times New Roman" w:hAnsi="Times New Roman" w:cs="Times New Roman"/>
          <w:sz w:val="28"/>
          <w:szCs w:val="28"/>
        </w:rPr>
      </w:pPr>
      <w:r>
        <w:rPr>
          <w:noProof/>
          <w:sz w:val="24"/>
          <w:szCs w:val="24"/>
        </w:rPr>
        <w:drawing>
          <wp:inline distT="0" distB="0" distL="0" distR="0" wp14:anchorId="4A6B50D3" wp14:editId="120879E2">
            <wp:extent cx="6198388" cy="2889273"/>
            <wp:effectExtent l="0" t="0" r="0" b="0"/>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l="31908" t="25665" r="6520" b="23288"/>
                    <a:stretch>
                      <a:fillRect/>
                    </a:stretch>
                  </pic:blipFill>
                  <pic:spPr>
                    <a:xfrm>
                      <a:off x="0" y="0"/>
                      <a:ext cx="6198388" cy="2889273"/>
                    </a:xfrm>
                    <a:prstGeom prst="rect">
                      <a:avLst/>
                    </a:prstGeom>
                    <a:ln/>
                  </pic:spPr>
                </pic:pic>
              </a:graphicData>
            </a:graphic>
          </wp:inline>
        </w:drawing>
      </w:r>
    </w:p>
    <w:p w:rsidR="00EA72C7" w:rsidRDefault="00EA72C7" w:rsidP="00EA72C7">
      <w:pPr>
        <w:spacing w:after="0" w:line="240" w:lineRule="auto"/>
        <w:ind w:firstLine="709"/>
        <w:jc w:val="center"/>
        <w:rPr>
          <w:rFonts w:ascii="Times New Roman" w:eastAsia="Times New Roman" w:hAnsi="Times New Roman" w:cs="Times New Roman"/>
          <w:b/>
          <w:sz w:val="16"/>
          <w:szCs w:val="16"/>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10 – Институты государственного экологического управления в Казахстане</w:t>
      </w:r>
    </w:p>
    <w:p w:rsidR="00EA72C7" w:rsidRDefault="00EA72C7" w:rsidP="00EA72C7">
      <w:pPr>
        <w:spacing w:after="0" w:line="240" w:lineRule="auto"/>
        <w:ind w:firstLine="709"/>
        <w:jc w:val="both"/>
        <w:rPr>
          <w:rFonts w:ascii="Times New Roman" w:eastAsia="Times New Roman" w:hAnsi="Times New Roman" w:cs="Times New Roman"/>
          <w:sz w:val="16"/>
          <w:szCs w:val="16"/>
        </w:rPr>
      </w:pPr>
    </w:p>
    <w:p w:rsidR="00EA72C7" w:rsidRDefault="00EA72C7" w:rsidP="00EA72C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автором</w:t>
      </w: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частности, ИС «Государственные кадастры природных ресурсов» (ИС «ГКПР РК») представляют собой систематизированный свод информации о количественных и качественных показателях природных ресурсов. Основная цель ИС «ГКПР РК» – общегосударственный комплексный учет природных ресурсов РК и стандартизация способов накопления, хранения и обработки природоресурсной информации на основе использования современных программно-технических средств. Состоит из 4 подсистем: лесной кадастр, кадастр особо охраняемых природных территорий, кадастр животного мира и кадастру рыбных ресурсов. Источником данных по указанным кадастрам являются областные территориальные инспекции Комитета лесного хозяйства и животного мира. Периодичность внесения данных в систему – один раз в год. В 2020 году проводилась интеграция ИС «ГКПР РК» с системой земельного кадастра МСХ РК. В 2021 году планируется проведение интеграции с системами государственного кадастра месторождений и кадастра водных ресурсов в целях обеспечения единого общегосударственного комплексного учета и оценки природного и экономического потенциала Республики Казахстан. В дальнейшем планируется внедрение в Единую государственную систему мониторинга окружающей среды и природных ресурсов как часть раздела мониторинга природных ресурсов.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Замер уровня вовлеченности лиц, принимающих решения, в вопросах применения и использования экосистемного подхода проводился на основе проведения качественного анализа данных. Данные собирались посредством структурированного интервью, по заранее подготовленному вопроснику, содержащему 14 вопросов (Приложение 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Эмпирический анализ, основывался на текстовых данных, полученных в ходе интервью экспертов, проведенных в период с мая 2019 года по март 2020 года. Учитывая экспериментальную составляющую, План исследования предусматривал выявление причино-следственных составляющих успешности внедрения экосистемного управления как по горизонтальному, так и по вертикальному уровню системы управления природными ресурсами.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Эксперты по управлению природными ресурсами были представлены представителями государственных органов центрального и регионального уровня, занимающими управленческие позиции (руководитель или заместитель руководителя, начальник отдела, управления) были отобраны с помощью комбинированного целенаправленного подхода и метода выборки, и опрошены с помощью полуструктурированных интервью. Цель заключалась в том, чтобы определить уровень понимания и мотивации в вопросах использования принципов экосистемного управления и концепции экосистемных услуг.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Объекты исследования – лица, занимающие руководящие позиции являются основными драйверами развития экосистемного подхода, являясь ключевым звеном практического применения научных знаний в области экосистемных услуг. Основным критерием отбора респондентов являлось занятие ими руководящей должности в государственной организации центрального или регионального уровня управления ответственного за сохранение и рациональное использование природных ресурсов (животный и растительный мир, особо охраняемые природные территории (ООПТ), водные и земельные ресурсы, экология).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Всего в опросе приняли участие 256 лиц, занимающих руководящие позиции в различных государственных органах управления. Характеристика деятельности опрашиваемых классифицирована по 6 основным направлениям: геологии и недропользования; охраны и использования земельных, водных ресурсов; сохранения и использования биоресурсов и ООПТ; в области реализации экологической политики. Информация о респондентах также классифицировалась по уровням государственного управления, как по вертикали, так и по горизонтали. Так, эксперт в ходе опроса идентифицировал себя как представитель центрального или местного исполнительного органа, а также представителем верхнего или нижнего уровня управления.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Респонденты были представлены сотрудниками территориальных подразделений и подведомственных организаций центральных государственных органов (ТП ЦГО) – 188 респондентов (73,4%), 36 респондентов (14%) - сотрудниками центральных государственных органов и их ведомств (ЦГО), 17 респондентов (6,6%) являлись сотрудниками территориальных подразделений и подведомственных организаций местных исполнительных органов в области </w:t>
      </w:r>
      <w:r>
        <w:rPr>
          <w:rFonts w:ascii="Times New Roman" w:eastAsia="Times New Roman" w:hAnsi="Times New Roman" w:cs="Times New Roman"/>
          <w:sz w:val="28"/>
          <w:szCs w:val="28"/>
        </w:rPr>
        <w:lastRenderedPageBreak/>
        <w:t>природных ресурсов и земельных отношений (ТП МИО) и 15 респондентов (5,9%) – сотрудниками аппаратов акима области, города, района или села (МИО) (рисунок 11).</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A3894A9" wp14:editId="17AC1521">
            <wp:extent cx="5648325" cy="2600325"/>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A72C7" w:rsidRDefault="00EA72C7" w:rsidP="00EA72C7">
      <w:pPr>
        <w:spacing w:after="0" w:line="240" w:lineRule="auto"/>
        <w:jc w:val="center"/>
        <w:rPr>
          <w:rFonts w:ascii="Times New Roman" w:eastAsia="Times New Roman" w:hAnsi="Times New Roman" w:cs="Times New Roman"/>
          <w:b/>
          <w:sz w:val="16"/>
          <w:szCs w:val="16"/>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11 – Распределение участников экспертного опроса по занимаемым позициям в государственных органах управления</w:t>
      </w:r>
    </w:p>
    <w:p w:rsidR="00EA72C7" w:rsidRDefault="00EA72C7" w:rsidP="00EA72C7">
      <w:pPr>
        <w:spacing w:after="0" w:line="240" w:lineRule="auto"/>
        <w:ind w:firstLine="709"/>
        <w:jc w:val="both"/>
        <w:rPr>
          <w:rFonts w:ascii="Times New Roman" w:eastAsia="Times New Roman" w:hAnsi="Times New Roman" w:cs="Times New Roman"/>
          <w:sz w:val="16"/>
          <w:szCs w:val="16"/>
        </w:rPr>
      </w:pPr>
    </w:p>
    <w:p w:rsidR="00EA72C7" w:rsidRPr="0081414B" w:rsidRDefault="00EA72C7" w:rsidP="00EA72C7">
      <w:pPr>
        <w:spacing w:after="0" w:line="240" w:lineRule="auto"/>
        <w:ind w:firstLine="709"/>
        <w:jc w:val="both"/>
        <w:rPr>
          <w:rFonts w:ascii="Times New Roman" w:eastAsia="Times New Roman" w:hAnsi="Times New Roman" w:cs="Times New Roman"/>
          <w:sz w:val="24"/>
          <w:szCs w:val="24"/>
        </w:rPr>
      </w:pPr>
      <w:r w:rsidRPr="0081414B">
        <w:rPr>
          <w:rFonts w:ascii="Times New Roman" w:eastAsia="Times New Roman" w:hAnsi="Times New Roman" w:cs="Times New Roman"/>
          <w:sz w:val="24"/>
          <w:szCs w:val="24"/>
        </w:rPr>
        <w:t xml:space="preserve">Примечание – Составлено по источнику </w:t>
      </w:r>
      <w:r w:rsidR="005738AE">
        <w:rPr>
          <w:rFonts w:ascii="Times New Roman" w:eastAsia="Times New Roman" w:hAnsi="Times New Roman" w:cs="Times New Roman"/>
          <w:sz w:val="24"/>
          <w:szCs w:val="24"/>
        </w:rPr>
        <w:t>[174</w:t>
      </w:r>
      <w:r>
        <w:rPr>
          <w:rFonts w:ascii="Times New Roman" w:eastAsia="Times New Roman" w:hAnsi="Times New Roman" w:cs="Times New Roman"/>
          <w:sz w:val="24"/>
          <w:szCs w:val="24"/>
        </w:rPr>
        <w:t>, р. 37-48</w:t>
      </w:r>
      <w:r w:rsidRPr="0081414B">
        <w:rPr>
          <w:rFonts w:ascii="Times New Roman" w:eastAsia="Times New Roman" w:hAnsi="Times New Roman" w:cs="Times New Roman"/>
          <w:sz w:val="24"/>
          <w:szCs w:val="24"/>
        </w:rPr>
        <w:t>]</w:t>
      </w:r>
    </w:p>
    <w:p w:rsidR="00EA72C7" w:rsidRPr="0081414B" w:rsidRDefault="00EA72C7" w:rsidP="00EA72C7">
      <w:pPr>
        <w:spacing w:after="0" w:line="240" w:lineRule="auto"/>
        <w:jc w:val="center"/>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Качественное исследование проводилось для изучения индивидуального аспекта социальной практики – реального опыта жизни руководителей разного уровня, через призму которого был рассмотрен более широкий пласт проблем, касающихся государственного управления в целом </w:t>
      </w:r>
      <w:r w:rsidR="005738AE">
        <w:rPr>
          <w:rFonts w:ascii="Times New Roman" w:eastAsia="Times New Roman" w:hAnsi="Times New Roman" w:cs="Times New Roman"/>
          <w:sz w:val="28"/>
          <w:szCs w:val="28"/>
        </w:rPr>
        <w:t>[175</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Этот анализ позволил соотнести управленческие роли руководителей ответственных за разработку политики развития отрасли с руководителями ответственными за организацию ее реализации на местах.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Основным инструментом проведения качественного исследования являлось программное обеспечение Microsoft POWER BI позволившее провести сложный многоуровневых кросс-анализ содержания ответов респондентов. Также это позволило провести сравнение уровня осведомленности и мотивации между разными уровнями государственного управления как по вертикали, так и по горизонтали.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Преимущество проведения фокус-групповых интервью, которое использовалось в ходе опроса, подтверждается исследованием Аса и соавторов </w:t>
      </w:r>
      <w:r w:rsidR="005738AE">
        <w:rPr>
          <w:rFonts w:ascii="Times New Roman" w:eastAsia="Times New Roman" w:hAnsi="Times New Roman" w:cs="Times New Roman"/>
          <w:sz w:val="28"/>
          <w:szCs w:val="28"/>
        </w:rPr>
        <w:t>[176</w:t>
      </w:r>
      <w:r>
        <w:rPr>
          <w:rFonts w:ascii="Times New Roman" w:eastAsia="Times New Roman" w:hAnsi="Times New Roman" w:cs="Times New Roman"/>
          <w:sz w:val="28"/>
          <w:szCs w:val="28"/>
        </w:rPr>
        <w:t xml:space="preserve">] так как, как респонденты воспринимают и конструируют выгоды, которые они получают от экосистем. Во-первых, собеседования в фокус-группах могут создать удобные и благоприятные условия, которые способствуют самораскрытию среди респондентов, что способствует более глубокому изучению экосистемных услуг </w:t>
      </w:r>
      <w:r w:rsidR="005738AE">
        <w:rPr>
          <w:rFonts w:ascii="Times New Roman" w:eastAsia="Times New Roman" w:hAnsi="Times New Roman" w:cs="Times New Roman"/>
          <w:sz w:val="28"/>
          <w:szCs w:val="28"/>
        </w:rPr>
        <w:t>[177</w:t>
      </w:r>
      <w:r>
        <w:rPr>
          <w:rFonts w:ascii="Times New Roman" w:eastAsia="Times New Roman" w:hAnsi="Times New Roman" w:cs="Times New Roman"/>
          <w:sz w:val="28"/>
          <w:szCs w:val="28"/>
        </w:rPr>
        <w:t xml:space="preserve">]. Во-вторых, количественные подходы к социальному опросу подвержены первоочередным эффектам – информация, предоставляемая респондентам, влияет на их ответы </w:t>
      </w:r>
      <w:r w:rsidR="005738AE">
        <w:rPr>
          <w:rFonts w:ascii="Times New Roman" w:eastAsia="Times New Roman" w:hAnsi="Times New Roman" w:cs="Times New Roman"/>
          <w:sz w:val="28"/>
          <w:szCs w:val="28"/>
        </w:rPr>
        <w:t>[178</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Уровень осведомленности практического применения экосистемного подхода лицами, принимающими решения в соответствующей отрасли, был соотнесен с фактическим состоянием и способностью природы предоставлять экосистемные услуги.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Немаловажным являлось также изучение отношения к внедрению экосистемного подхода с учетом гендерной принадлежности респондентов, вовлеченных в управление экосистемными услугами.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эффективного управления экосистемными услугами менеджеры должны сами понимать прямые и косвенные выгоды от экосистем </w:t>
      </w:r>
      <w:r w:rsidR="005738AE">
        <w:rPr>
          <w:rFonts w:ascii="Times New Roman" w:eastAsia="Times New Roman" w:hAnsi="Times New Roman" w:cs="Times New Roman"/>
          <w:sz w:val="28"/>
          <w:szCs w:val="28"/>
        </w:rPr>
        <w:t>[176</w:t>
      </w:r>
      <w:r>
        <w:rPr>
          <w:rFonts w:ascii="Times New Roman" w:eastAsia="Times New Roman" w:hAnsi="Times New Roman" w:cs="Times New Roman"/>
          <w:sz w:val="28"/>
          <w:szCs w:val="28"/>
        </w:rPr>
        <w:t>, р. 180-185]. Таким образом, хорошее понимание того, как респонденты воспринимают выгоды, получаемые от экосистем, имеет важное значение для эффективного управления экосистемами и для разработки эффективной политики, способствующей устойчивым источникам средств к существованию и повышению благосостояния.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Дополнительными источниками информации послужили количественные статистические данные динамики состояния отдельных экосистем, рассмотренные на основе аналитического подхода.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Ограничения в проводимом исследовании связаны с использованием персональных данных лиц, охваченных социологическим исследованием, т.е. был приведен только обобщенный анализ социологического опроса.</w:t>
      </w:r>
    </w:p>
    <w:p w:rsidR="00EA72C7" w:rsidRDefault="00EA72C7" w:rsidP="00EA72C7">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Результаты исследования</w:t>
      </w:r>
    </w:p>
    <w:p w:rsidR="00EA72C7" w:rsidRDefault="00EA72C7" w:rsidP="00EA72C7">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Институциональная оценка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данному блоку вопросов проведена оценка респондентов по качеству отраслевой нормативной правовой базы, программных и стратегических документов на предмет присутствия основных принципов экосистемного подхода.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общей картине 73% респондентов считают, что вопросы сохранения окружающей среды в отраслевых планах и программах присутствуют, но требуют качественного дополнения (рисунок 12).</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FB33E86" wp14:editId="5A72629C">
            <wp:extent cx="5419725" cy="28956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A72C7" w:rsidRDefault="00EA72C7" w:rsidP="00EA72C7">
      <w:pPr>
        <w:spacing w:after="0" w:line="240" w:lineRule="auto"/>
        <w:jc w:val="center"/>
        <w:rPr>
          <w:rFonts w:ascii="Times New Roman" w:eastAsia="Times New Roman" w:hAnsi="Times New Roman" w:cs="Times New Roman"/>
          <w:sz w:val="16"/>
          <w:szCs w:val="16"/>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Рисунок 12 – Оценка отраслевых программных и стратегических документов на предмет наличия аспектов сохранения окружающей среды, %</w:t>
      </w:r>
    </w:p>
    <w:p w:rsidR="00EA72C7" w:rsidRDefault="00EA72C7" w:rsidP="00EA72C7">
      <w:pPr>
        <w:spacing w:after="0" w:line="240" w:lineRule="auto"/>
        <w:ind w:firstLine="709"/>
        <w:jc w:val="both"/>
        <w:rPr>
          <w:rFonts w:ascii="Times New Roman" w:eastAsia="Times New Roman" w:hAnsi="Times New Roman" w:cs="Times New Roman"/>
          <w:sz w:val="16"/>
          <w:szCs w:val="16"/>
        </w:rPr>
      </w:pPr>
    </w:p>
    <w:p w:rsidR="00EA72C7" w:rsidRDefault="00EA72C7" w:rsidP="00EA72C7">
      <w:pPr>
        <w:spacing w:after="0" w:line="240" w:lineRule="auto"/>
        <w:ind w:firstLine="709"/>
        <w:rPr>
          <w:rFonts w:ascii="Times New Roman" w:eastAsia="Times New Roman" w:hAnsi="Times New Roman" w:cs="Times New Roman"/>
          <w:sz w:val="24"/>
          <w:szCs w:val="24"/>
        </w:rPr>
      </w:pPr>
      <w:r w:rsidRPr="0081414B">
        <w:rPr>
          <w:rFonts w:ascii="Times New Roman" w:eastAsia="Times New Roman" w:hAnsi="Times New Roman" w:cs="Times New Roman"/>
          <w:sz w:val="24"/>
          <w:szCs w:val="24"/>
        </w:rPr>
        <w:t xml:space="preserve">Примечание – Составлено по источнику </w:t>
      </w:r>
      <w:r w:rsidR="005738AE">
        <w:rPr>
          <w:rFonts w:ascii="Times New Roman" w:eastAsia="Times New Roman" w:hAnsi="Times New Roman" w:cs="Times New Roman"/>
          <w:sz w:val="24"/>
          <w:szCs w:val="24"/>
        </w:rPr>
        <w:t>[174</w:t>
      </w:r>
      <w:r>
        <w:rPr>
          <w:rFonts w:ascii="Times New Roman" w:eastAsia="Times New Roman" w:hAnsi="Times New Roman" w:cs="Times New Roman"/>
          <w:sz w:val="24"/>
          <w:szCs w:val="24"/>
        </w:rPr>
        <w:t>, б. 37-48</w:t>
      </w:r>
      <w:r w:rsidRPr="0081414B">
        <w:rPr>
          <w:rFonts w:ascii="Times New Roman" w:eastAsia="Times New Roman" w:hAnsi="Times New Roman" w:cs="Times New Roman"/>
          <w:sz w:val="24"/>
          <w:szCs w:val="24"/>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этом, 22,3% считают, что они отражены в полном объеме, а почти 4%, каждый пятый из которых представитель в области земельных ресурсов, заявили о том, что специфика деятельности не предусматривает наличие экологических аспектов в отраслевых документах.</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вопрос касался существующей процедуры и порядка проведения Оценки воздействия на окружающую среду (ОВОС) в вопросах сохранения экосистем (рисунок 13).</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13DE2E5" wp14:editId="6E365E6E">
            <wp:extent cx="5362575" cy="2828925"/>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A72C7" w:rsidRDefault="00EA72C7" w:rsidP="00EA72C7">
      <w:pPr>
        <w:spacing w:after="0" w:line="240" w:lineRule="auto"/>
        <w:jc w:val="center"/>
        <w:rPr>
          <w:rFonts w:ascii="Times New Roman" w:eastAsia="Times New Roman" w:hAnsi="Times New Roman" w:cs="Times New Roman"/>
          <w:sz w:val="16"/>
          <w:szCs w:val="16"/>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13 – Оценка существующего механизма ОВОС, %</w:t>
      </w:r>
    </w:p>
    <w:p w:rsidR="00EA72C7" w:rsidRDefault="00EA72C7" w:rsidP="00EA72C7">
      <w:pPr>
        <w:spacing w:after="0" w:line="240" w:lineRule="auto"/>
        <w:ind w:firstLine="709"/>
        <w:jc w:val="both"/>
        <w:rPr>
          <w:rFonts w:ascii="Times New Roman" w:eastAsia="Times New Roman" w:hAnsi="Times New Roman" w:cs="Times New Roman"/>
          <w:sz w:val="16"/>
          <w:szCs w:val="16"/>
        </w:rPr>
      </w:pPr>
    </w:p>
    <w:p w:rsidR="00EA72C7" w:rsidRPr="00F90607" w:rsidRDefault="00EA72C7" w:rsidP="00EA72C7">
      <w:pPr>
        <w:spacing w:after="0" w:line="240" w:lineRule="auto"/>
        <w:ind w:firstLine="709"/>
        <w:rPr>
          <w:rFonts w:ascii="Times New Roman" w:eastAsia="Times New Roman" w:hAnsi="Times New Roman" w:cs="Times New Roman"/>
          <w:color w:val="FF0000"/>
          <w:sz w:val="24"/>
          <w:szCs w:val="24"/>
        </w:rPr>
      </w:pPr>
      <w:r w:rsidRPr="0081414B">
        <w:rPr>
          <w:rFonts w:ascii="Times New Roman" w:eastAsia="Times New Roman" w:hAnsi="Times New Roman" w:cs="Times New Roman"/>
          <w:sz w:val="24"/>
          <w:szCs w:val="24"/>
        </w:rPr>
        <w:t xml:space="preserve">Примечание – Составлено по источнику </w:t>
      </w:r>
      <w:r w:rsidR="005738AE">
        <w:rPr>
          <w:rFonts w:ascii="Times New Roman" w:eastAsia="Times New Roman" w:hAnsi="Times New Roman" w:cs="Times New Roman"/>
          <w:sz w:val="24"/>
          <w:szCs w:val="24"/>
        </w:rPr>
        <w:t>[174</w:t>
      </w:r>
      <w:r>
        <w:rPr>
          <w:rFonts w:ascii="Times New Roman" w:eastAsia="Times New Roman" w:hAnsi="Times New Roman" w:cs="Times New Roman"/>
          <w:sz w:val="24"/>
          <w:szCs w:val="24"/>
        </w:rPr>
        <w:t>, б. 37-48</w:t>
      </w:r>
      <w:r w:rsidRPr="0081414B">
        <w:rPr>
          <w:rFonts w:ascii="Times New Roman" w:eastAsia="Times New Roman" w:hAnsi="Times New Roman" w:cs="Times New Roman"/>
          <w:sz w:val="24"/>
          <w:szCs w:val="24"/>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общей картине количество утвердительно ответивших на этот вопрос составило 38,7%, в то время как 29,7% ответили, что существующих механизмов для сохранения экосистем недостаточно. Остальные 31,6% затруднились ответить на этот вопрос.</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отметить, что каждого второго (50%) представителя государственного органа, ответственного за проведение ОВОС на центральном и местном уровнях, механизм проведения ОВОС полностью устраивает, при этом 14,7% из их числа затруднились ответить на этот вопрос.</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Наибольшую обеспокоенность недоработкой механизма ОВОС, на предмет сохранения экосистем, проявили представители госорганов в области сохранения и использования водных ресурсов, геологии и недропользования 40 и 50% соответственно.</w:t>
      </w:r>
    </w:p>
    <w:p w:rsidR="00EA72C7" w:rsidRDefault="00EA72C7" w:rsidP="00EA72C7">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Оценка уровня восприятия и мотивации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Критериями этой оценки послужил анализ результатов опроса по уровню восприятия респондентами принципов экосистемного подхода через призму ценностных ориентиров, внутренних убеждений и жизненного опыта.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Первый вопрос касался определения уровня восприятия респондента касательно ответственности за состояние окружающей среды в стране.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общей картине 40,2% опрошенных считают, что экологическое состояние окружающей среды зависит от жителей страны, каждый третий (30,9%) полагает, что состояние окружающей среды зависит от властей, один из четырех утверждает, что владельцы и руководство предприятий играют основную роль в улучшении/ухудшении окружающей среды и 3,5% опрошенных затруднились ответить (рисунок 14).</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6D189E3" wp14:editId="1FA3A0E9">
            <wp:extent cx="5327374" cy="2584174"/>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14 – Срез ответов по факторам экологического состояния окружающей среды, %</w:t>
      </w:r>
    </w:p>
    <w:p w:rsidR="00EA72C7" w:rsidRDefault="00EA72C7" w:rsidP="00EA72C7">
      <w:pPr>
        <w:spacing w:after="0" w:line="240" w:lineRule="auto"/>
        <w:ind w:firstLine="709"/>
        <w:jc w:val="both"/>
        <w:rPr>
          <w:rFonts w:ascii="Times New Roman" w:eastAsia="Times New Roman" w:hAnsi="Times New Roman" w:cs="Times New Roman"/>
          <w:sz w:val="16"/>
          <w:szCs w:val="16"/>
        </w:rPr>
      </w:pPr>
    </w:p>
    <w:p w:rsidR="00EA72C7" w:rsidRDefault="00EA72C7" w:rsidP="00EA72C7">
      <w:pPr>
        <w:spacing w:after="0" w:line="240" w:lineRule="auto"/>
        <w:ind w:firstLine="709"/>
        <w:jc w:val="both"/>
        <w:rPr>
          <w:rFonts w:ascii="Times New Roman" w:eastAsia="Times New Roman" w:hAnsi="Times New Roman" w:cs="Times New Roman"/>
          <w:sz w:val="24"/>
          <w:szCs w:val="24"/>
        </w:rPr>
      </w:pPr>
      <w:r w:rsidRPr="0081414B">
        <w:rPr>
          <w:rFonts w:ascii="Times New Roman" w:eastAsia="Times New Roman" w:hAnsi="Times New Roman" w:cs="Times New Roman"/>
          <w:sz w:val="24"/>
          <w:szCs w:val="24"/>
        </w:rPr>
        <w:t xml:space="preserve">Примечание – Составлено по источнику </w:t>
      </w:r>
      <w:r w:rsidR="005738AE">
        <w:rPr>
          <w:rFonts w:ascii="Times New Roman" w:eastAsia="Times New Roman" w:hAnsi="Times New Roman" w:cs="Times New Roman"/>
          <w:sz w:val="24"/>
          <w:szCs w:val="24"/>
        </w:rPr>
        <w:t>[174</w:t>
      </w:r>
      <w:r>
        <w:rPr>
          <w:rFonts w:ascii="Times New Roman" w:eastAsia="Times New Roman" w:hAnsi="Times New Roman" w:cs="Times New Roman"/>
          <w:sz w:val="24"/>
          <w:szCs w:val="24"/>
        </w:rPr>
        <w:t>, б. 37-48</w:t>
      </w:r>
      <w:r w:rsidRPr="0081414B">
        <w:rPr>
          <w:rFonts w:ascii="Times New Roman" w:eastAsia="Times New Roman" w:hAnsi="Times New Roman" w:cs="Times New Roman"/>
          <w:sz w:val="24"/>
          <w:szCs w:val="24"/>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Между тем, кросс-анализ полученных данных показал, что, представители МИО ответственность за состояние окружающей среды возлагают в равной степени на владельцев предприятий и властей (по 40%) и только каждый пятый из них считает, что важно отношение населения (рисунок 15).</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360BD25" wp14:editId="11451E9E">
            <wp:extent cx="5327374" cy="2178658"/>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A72C7" w:rsidRDefault="00EA72C7" w:rsidP="00EA72C7">
      <w:pPr>
        <w:spacing w:after="0" w:line="240" w:lineRule="auto"/>
        <w:jc w:val="center"/>
        <w:rPr>
          <w:rFonts w:ascii="Times New Roman" w:eastAsia="Times New Roman" w:hAnsi="Times New Roman" w:cs="Times New Roman"/>
          <w:sz w:val="16"/>
          <w:szCs w:val="16"/>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15 – Срез ответов по факторам экологического состояния окружающей среды центральных и местных исполнительных органов, %</w:t>
      </w:r>
    </w:p>
    <w:p w:rsidR="00EA72C7" w:rsidRDefault="00EA72C7" w:rsidP="00EA72C7">
      <w:pPr>
        <w:spacing w:after="0" w:line="240" w:lineRule="auto"/>
        <w:ind w:firstLine="709"/>
        <w:jc w:val="both"/>
        <w:rPr>
          <w:rFonts w:ascii="Times New Roman" w:eastAsia="Times New Roman" w:hAnsi="Times New Roman" w:cs="Times New Roman"/>
          <w:sz w:val="16"/>
          <w:szCs w:val="16"/>
        </w:rPr>
      </w:pPr>
    </w:p>
    <w:p w:rsidR="00EA72C7" w:rsidRDefault="00EA72C7" w:rsidP="00EA72C7">
      <w:pPr>
        <w:spacing w:after="0" w:line="240" w:lineRule="auto"/>
        <w:ind w:firstLine="709"/>
        <w:jc w:val="both"/>
        <w:rPr>
          <w:rFonts w:ascii="Times New Roman" w:eastAsia="Times New Roman" w:hAnsi="Times New Roman" w:cs="Times New Roman"/>
          <w:sz w:val="24"/>
          <w:szCs w:val="24"/>
        </w:rPr>
      </w:pPr>
      <w:r w:rsidRPr="0081414B">
        <w:rPr>
          <w:rFonts w:ascii="Times New Roman" w:eastAsia="Times New Roman" w:hAnsi="Times New Roman" w:cs="Times New Roman"/>
          <w:sz w:val="24"/>
          <w:szCs w:val="24"/>
        </w:rPr>
        <w:t xml:space="preserve">Примечание – Составлено по источнику </w:t>
      </w:r>
      <w:r w:rsidR="005738AE">
        <w:rPr>
          <w:rFonts w:ascii="Times New Roman" w:eastAsia="Times New Roman" w:hAnsi="Times New Roman" w:cs="Times New Roman"/>
          <w:sz w:val="24"/>
          <w:szCs w:val="24"/>
        </w:rPr>
        <w:t>[174</w:t>
      </w:r>
      <w:r>
        <w:rPr>
          <w:rFonts w:ascii="Times New Roman" w:eastAsia="Times New Roman" w:hAnsi="Times New Roman" w:cs="Times New Roman"/>
          <w:sz w:val="24"/>
          <w:szCs w:val="24"/>
        </w:rPr>
        <w:t>, б. 37-48</w:t>
      </w:r>
      <w:r w:rsidRPr="0081414B">
        <w:rPr>
          <w:rFonts w:ascii="Times New Roman" w:eastAsia="Times New Roman" w:hAnsi="Times New Roman" w:cs="Times New Roman"/>
          <w:sz w:val="24"/>
          <w:szCs w:val="24"/>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Представители ЦГО полагают, что экологическая ситуации в большей степени (47,2%) зависит от властей и 38,9% считают, что от населения. При этом экологи отмечают 61,5% случаев, каждый третий возлагает вину на жителей страны (30,8%) и 7,7% считают, что главная роль в состоянии окружающей среды принадлежит владельцам предприятий.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отличии от экологов представители водных и земельных ресурсов напротив полагают, что ответственность за состояние окружающей среды лежит в большей степени на владельцах и руководстве предприятий (60%, 66,7%).</w:t>
      </w:r>
    </w:p>
    <w:p w:rsidR="00EA72C7" w:rsidRDefault="00EA72C7" w:rsidP="00EA72C7">
      <w:pPr>
        <w:tabs>
          <w:tab w:val="righ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определения уровня осознания и мотивации лиц, принимающих решения, было предложено выставить по приоритету ценность здоровой экосистемы для государства и человека по 4 показателям (социальная, экономическая, научная и экологическая). Оказалось, что МИО в значительной степени заинтересованы в приоритете социальной и научной ценности экосистемных услуг, в то время как ключевым фактором низкой оценки является принадлежность респондентов к ЦГО.</w:t>
      </w:r>
    </w:p>
    <w:p w:rsidR="00EA72C7" w:rsidRDefault="00EA72C7" w:rsidP="00EA72C7">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Оценка уровня коммуникации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Данный срез вопросов, представленный на рисунке 16, позволяет определить уровень доступности лиц, принимающих решения к информации. Данный критерий является одним из основных в процессе внедрения экосистемного подхода. Здесь можно наблюдать разнородное мнение как для отраслевиков, так и между уровнями государственного управления.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3B455A3" wp14:editId="58461792">
            <wp:extent cx="5295569" cy="2790907"/>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A72C7" w:rsidRDefault="00EA72C7" w:rsidP="00EA72C7">
      <w:pPr>
        <w:spacing w:after="0" w:line="240" w:lineRule="auto"/>
        <w:jc w:val="center"/>
        <w:rPr>
          <w:rFonts w:ascii="Times New Roman" w:eastAsia="Times New Roman" w:hAnsi="Times New Roman" w:cs="Times New Roman"/>
          <w:sz w:val="16"/>
          <w:szCs w:val="16"/>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16 – Уровень доступности качественной информации для принятия решений, %</w:t>
      </w:r>
    </w:p>
    <w:p w:rsidR="00EA72C7" w:rsidRDefault="00EA72C7" w:rsidP="00EA72C7">
      <w:pPr>
        <w:spacing w:after="0" w:line="240" w:lineRule="auto"/>
        <w:ind w:firstLine="709"/>
        <w:jc w:val="both"/>
        <w:rPr>
          <w:rFonts w:ascii="Times New Roman" w:eastAsia="Times New Roman" w:hAnsi="Times New Roman" w:cs="Times New Roman"/>
          <w:sz w:val="16"/>
          <w:szCs w:val="16"/>
        </w:rPr>
      </w:pPr>
    </w:p>
    <w:p w:rsidR="00EA72C7" w:rsidRPr="00F90607" w:rsidRDefault="00EA72C7" w:rsidP="00EA72C7">
      <w:pPr>
        <w:spacing w:after="0" w:line="240" w:lineRule="auto"/>
        <w:ind w:firstLine="709"/>
        <w:rPr>
          <w:rFonts w:ascii="Times New Roman" w:eastAsia="Times New Roman" w:hAnsi="Times New Roman" w:cs="Times New Roman"/>
          <w:color w:val="FF0000"/>
          <w:sz w:val="24"/>
          <w:szCs w:val="24"/>
        </w:rPr>
      </w:pPr>
      <w:r w:rsidRPr="0081414B">
        <w:rPr>
          <w:rFonts w:ascii="Times New Roman" w:eastAsia="Times New Roman" w:hAnsi="Times New Roman" w:cs="Times New Roman"/>
          <w:sz w:val="24"/>
          <w:szCs w:val="24"/>
        </w:rPr>
        <w:t xml:space="preserve">Примечание – Составлено по источнику </w:t>
      </w:r>
      <w:r w:rsidR="005738AE">
        <w:rPr>
          <w:rFonts w:ascii="Times New Roman" w:eastAsia="Times New Roman" w:hAnsi="Times New Roman" w:cs="Times New Roman"/>
          <w:sz w:val="24"/>
          <w:szCs w:val="24"/>
        </w:rPr>
        <w:t>[174</w:t>
      </w:r>
      <w:r>
        <w:rPr>
          <w:rFonts w:ascii="Times New Roman" w:eastAsia="Times New Roman" w:hAnsi="Times New Roman" w:cs="Times New Roman"/>
          <w:sz w:val="24"/>
          <w:szCs w:val="24"/>
        </w:rPr>
        <w:t>, б. 37-48</w:t>
      </w:r>
      <w:r w:rsidRPr="0081414B">
        <w:rPr>
          <w:rFonts w:ascii="Times New Roman" w:eastAsia="Times New Roman" w:hAnsi="Times New Roman" w:cs="Times New Roman"/>
          <w:sz w:val="24"/>
          <w:szCs w:val="24"/>
        </w:rPr>
        <w:t>]</w:t>
      </w:r>
    </w:p>
    <w:p w:rsidR="00EA72C7" w:rsidRDefault="00EA72C7" w:rsidP="00EA72C7">
      <w:pPr>
        <w:spacing w:after="0" w:line="240" w:lineRule="auto"/>
        <w:ind w:firstLine="709"/>
        <w:jc w:val="both"/>
        <w:rPr>
          <w:rFonts w:ascii="Times New Roman" w:eastAsia="Times New Roman" w:hAnsi="Times New Roman" w:cs="Times New Roman"/>
          <w:i/>
          <w:sz w:val="28"/>
          <w:szCs w:val="28"/>
        </w:rPr>
      </w:pPr>
    </w:p>
    <w:p w:rsidR="00EA72C7" w:rsidRDefault="00EA72C7" w:rsidP="00EA72C7">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Оценка уровня базовых знаний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уровня базовых знаний руководителей по экосистемному подходу показала, что в определении термина «экосистемные услуги», в общей картине только каждый четвертый (24,6%) имеет представление об экосистемных услугах и больше половины из общего числа опрошенных путают это понятие с термином «государственная услуга» (58%). Кроме того, 16,8% опрошенных считают, что термин «экосистемная услуга» связан сугубо с деятельностью государственных органов ответственных за реализацию экологической политики. Также необходимо отметить слабое понимание у респондентов взаимосвязи между экосистемными услугами и экосистемным подходом. Только 34% из правильно раскрывших понятие «экосистемные услуги» правильно дали определение «экосистемному подходу».</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отметить, что на очень важный социально-экономический аспект, рассматривающий экосистемный подход как важный инструмент для усиления устойчивого развития и борьбы с нищетой, указало всего около 1% опрошенных.</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Следующий блок вопросов был посвящен роли учета и инвестиций природного капитала в интересах экономического развития страны. Опрос о категориях активов природного капитала показал значительную осведомленность со стороны респондентов. Большинство опрошенных в основном соглашается с утверждением, что переход к «зеленой» экономике опирается на природный капитал с вложением в него средств в интересах экономического развития (рисунок 17).</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4030F36" wp14:editId="546B55EB">
            <wp:extent cx="5295900" cy="3000375"/>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A72C7" w:rsidRDefault="00EA72C7" w:rsidP="00EA72C7">
      <w:pPr>
        <w:spacing w:after="0" w:line="240" w:lineRule="auto"/>
        <w:jc w:val="center"/>
        <w:rPr>
          <w:rFonts w:ascii="Times New Roman" w:eastAsia="Times New Roman" w:hAnsi="Times New Roman" w:cs="Times New Roman"/>
          <w:sz w:val="16"/>
          <w:szCs w:val="16"/>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17 – Уровень понимания роли природного капитала в развитии «зеленой» экономики, %</w:t>
      </w:r>
    </w:p>
    <w:p w:rsidR="00EA72C7" w:rsidRDefault="00EA72C7" w:rsidP="00EA72C7">
      <w:pPr>
        <w:spacing w:after="0" w:line="240" w:lineRule="auto"/>
        <w:ind w:firstLine="709"/>
        <w:jc w:val="both"/>
        <w:rPr>
          <w:rFonts w:ascii="Times New Roman" w:eastAsia="Times New Roman" w:hAnsi="Times New Roman" w:cs="Times New Roman"/>
          <w:sz w:val="16"/>
          <w:szCs w:val="16"/>
        </w:rPr>
      </w:pPr>
    </w:p>
    <w:p w:rsidR="00EA72C7" w:rsidRPr="00F90607" w:rsidRDefault="00EA72C7" w:rsidP="00EA72C7">
      <w:pPr>
        <w:spacing w:after="0" w:line="240" w:lineRule="auto"/>
        <w:ind w:firstLine="709"/>
        <w:rPr>
          <w:rFonts w:ascii="Times New Roman" w:eastAsia="Times New Roman" w:hAnsi="Times New Roman" w:cs="Times New Roman"/>
          <w:color w:val="FF0000"/>
          <w:sz w:val="24"/>
          <w:szCs w:val="24"/>
        </w:rPr>
      </w:pPr>
      <w:r w:rsidRPr="0081414B">
        <w:rPr>
          <w:rFonts w:ascii="Times New Roman" w:eastAsia="Times New Roman" w:hAnsi="Times New Roman" w:cs="Times New Roman"/>
          <w:sz w:val="24"/>
          <w:szCs w:val="24"/>
        </w:rPr>
        <w:t xml:space="preserve">Примечание – Составлено по источнику </w:t>
      </w:r>
      <w:r w:rsidR="005738AE">
        <w:rPr>
          <w:rFonts w:ascii="Times New Roman" w:eastAsia="Times New Roman" w:hAnsi="Times New Roman" w:cs="Times New Roman"/>
          <w:sz w:val="24"/>
          <w:szCs w:val="24"/>
        </w:rPr>
        <w:t>[174</w:t>
      </w:r>
      <w:r>
        <w:rPr>
          <w:rFonts w:ascii="Times New Roman" w:eastAsia="Times New Roman" w:hAnsi="Times New Roman" w:cs="Times New Roman"/>
          <w:sz w:val="24"/>
          <w:szCs w:val="24"/>
        </w:rPr>
        <w:t>, б. 37-48</w:t>
      </w:r>
      <w:r w:rsidRPr="0081414B">
        <w:rPr>
          <w:rFonts w:ascii="Times New Roman" w:eastAsia="Times New Roman" w:hAnsi="Times New Roman" w:cs="Times New Roman"/>
          <w:sz w:val="24"/>
          <w:szCs w:val="24"/>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Неоднозначно выглядели результаты ответов респондентов ЦГО в области экологической политики, 14% которых не согласны с эффективностью мер по инвестированию в природный капитал.</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Рассматривая результаты опроса через призму потребления или предоставления экосистемных услуг, наблюдается следующая тенденция: предполагается, что центральные исполнительные органы (ЦГО, ведомства), определяющие государственную политику сохранения природных ресурсов стоят на страже недопущения ухудшения их качества и количества, а представители местного исполнительного органа являются их потребителями. В данном контексте, наибольшую обеспокоенность вызывает отсутствие вовлеченности государственных органов по управлению земельными ресурсами в вопросы сохранения окружающей среды.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наш взгляд основная причина того, что каждый второй представитель земельной сферы уверен в отсутствии необходимости включения экологических аспектов в отраслевые программы и планы развития, является аграрная направленность государственной политики.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Министерства сельского хозяйства РК возникает конфликт интересов, с одной стороны они должны использовать природные ресурсы для хозяйственной деятельности, это направление является доминирующим, с другой стороны, их защищать. Ключевым фактором утраты биоразнообразия и экосистемных услуг Центральной Азии является характер землепользования.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Индикаторы Государственной программы развития АПК 2017-2021 по увеличению площади орошаемых земель, вредному субсидированию сельского хозяйства по использованию пестицидов и минеральных удобрений привели к сокращению биоразнообразия (таблица 10).</w:t>
      </w: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tabs>
          <w:tab w:val="righ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10 – Объемы субсидирования производства минеральных удобрений 2015-2021 гг.</w:t>
      </w:r>
    </w:p>
    <w:p w:rsidR="00EA72C7" w:rsidRDefault="00EA72C7" w:rsidP="00EA72C7">
      <w:pPr>
        <w:tabs>
          <w:tab w:val="right" w:pos="0"/>
        </w:tabs>
        <w:spacing w:after="0" w:line="240" w:lineRule="auto"/>
        <w:jc w:val="both"/>
        <w:rPr>
          <w:rFonts w:ascii="Times New Roman" w:eastAsia="Times New Roman" w:hAnsi="Times New Roman" w:cs="Times New Roman"/>
          <w:b/>
          <w:sz w:val="16"/>
          <w:szCs w:val="16"/>
        </w:rPr>
      </w:pPr>
    </w:p>
    <w:tbl>
      <w:tblPr>
        <w:tblW w:w="9519" w:type="dxa"/>
        <w:jc w:val="center"/>
        <w:tblLayout w:type="fixed"/>
        <w:tblLook w:val="0400" w:firstRow="0" w:lastRow="0" w:firstColumn="0" w:lastColumn="0" w:noHBand="0" w:noVBand="1"/>
      </w:tblPr>
      <w:tblGrid>
        <w:gridCol w:w="2699"/>
        <w:gridCol w:w="1161"/>
        <w:gridCol w:w="850"/>
        <w:gridCol w:w="851"/>
        <w:gridCol w:w="850"/>
        <w:gridCol w:w="906"/>
        <w:gridCol w:w="1068"/>
        <w:gridCol w:w="1134"/>
      </w:tblGrid>
      <w:tr w:rsidR="00EA72C7" w:rsidTr="003E7002">
        <w:trPr>
          <w:trHeight w:val="315"/>
          <w:jc w:val="center"/>
        </w:trPr>
        <w:tc>
          <w:tcPr>
            <w:tcW w:w="2699" w:type="dxa"/>
            <w:tcBorders>
              <w:top w:val="single" w:sz="4" w:space="0" w:color="000000"/>
              <w:left w:val="single" w:sz="4" w:space="0" w:color="000000"/>
              <w:bottom w:val="single" w:sz="4" w:space="0" w:color="000000"/>
              <w:right w:val="single" w:sz="4" w:space="0" w:color="000000"/>
            </w:tcBorders>
            <w:shd w:val="clear" w:color="auto" w:fill="auto"/>
            <w:vAlign w:val="bottom"/>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Объем производства, тыс. тонн</w:t>
            </w:r>
          </w:p>
        </w:tc>
        <w:tc>
          <w:tcPr>
            <w:tcW w:w="1161" w:type="dxa"/>
            <w:tcBorders>
              <w:top w:val="single" w:sz="4" w:space="0" w:color="000000"/>
              <w:left w:val="nil"/>
              <w:bottom w:val="single" w:sz="4" w:space="0" w:color="000000"/>
              <w:right w:val="single" w:sz="4" w:space="0" w:color="000000"/>
            </w:tcBorders>
            <w:shd w:val="clear" w:color="auto" w:fill="auto"/>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2015 год</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 год</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 год</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 год</w:t>
            </w:r>
          </w:p>
        </w:tc>
        <w:tc>
          <w:tcPr>
            <w:tcW w:w="906" w:type="dxa"/>
            <w:tcBorders>
              <w:top w:val="single" w:sz="4" w:space="0" w:color="000000"/>
              <w:left w:val="nil"/>
              <w:bottom w:val="single" w:sz="4" w:space="0" w:color="000000"/>
              <w:right w:val="single" w:sz="4" w:space="0" w:color="000000"/>
            </w:tcBorders>
            <w:shd w:val="clear" w:color="auto" w:fill="auto"/>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 год</w:t>
            </w:r>
          </w:p>
        </w:tc>
        <w:tc>
          <w:tcPr>
            <w:tcW w:w="1068" w:type="dxa"/>
            <w:tcBorders>
              <w:top w:val="single" w:sz="4" w:space="0" w:color="000000"/>
              <w:left w:val="nil"/>
              <w:bottom w:val="single" w:sz="4" w:space="0" w:color="000000"/>
              <w:right w:val="single" w:sz="4" w:space="0" w:color="000000"/>
            </w:tcBorders>
            <w:shd w:val="clear" w:color="auto" w:fill="auto"/>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 год</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 год</w:t>
            </w:r>
          </w:p>
        </w:tc>
      </w:tr>
      <w:tr w:rsidR="00EA72C7" w:rsidTr="003E7002">
        <w:trPr>
          <w:trHeight w:val="361"/>
          <w:jc w:val="center"/>
        </w:trPr>
        <w:tc>
          <w:tcPr>
            <w:tcW w:w="2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Азотных удобрений</w:t>
            </w:r>
          </w:p>
        </w:tc>
        <w:tc>
          <w:tcPr>
            <w:tcW w:w="1161" w:type="dxa"/>
            <w:tcBorders>
              <w:top w:val="nil"/>
              <w:left w:val="nil"/>
              <w:bottom w:val="single" w:sz="4" w:space="0" w:color="000000"/>
              <w:right w:val="single" w:sz="4" w:space="0" w:color="000000"/>
            </w:tcBorders>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311,4</w:t>
            </w:r>
          </w:p>
        </w:tc>
        <w:tc>
          <w:tcPr>
            <w:tcW w:w="850" w:type="dxa"/>
            <w:tcBorders>
              <w:top w:val="nil"/>
              <w:left w:val="nil"/>
              <w:bottom w:val="single" w:sz="4" w:space="0" w:color="000000"/>
              <w:right w:val="single" w:sz="4" w:space="0" w:color="000000"/>
            </w:tcBorders>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317,4</w:t>
            </w:r>
          </w:p>
        </w:tc>
        <w:tc>
          <w:tcPr>
            <w:tcW w:w="851" w:type="dxa"/>
            <w:tcBorders>
              <w:top w:val="nil"/>
              <w:left w:val="nil"/>
              <w:bottom w:val="single" w:sz="4" w:space="0" w:color="000000"/>
              <w:right w:val="single" w:sz="4" w:space="0" w:color="000000"/>
            </w:tcBorders>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323,4</w:t>
            </w:r>
          </w:p>
        </w:tc>
        <w:tc>
          <w:tcPr>
            <w:tcW w:w="850" w:type="dxa"/>
            <w:tcBorders>
              <w:top w:val="nil"/>
              <w:left w:val="nil"/>
              <w:bottom w:val="single" w:sz="4" w:space="0" w:color="000000"/>
              <w:right w:val="single" w:sz="4" w:space="0" w:color="000000"/>
            </w:tcBorders>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906" w:type="dxa"/>
            <w:tcBorders>
              <w:top w:val="nil"/>
              <w:left w:val="nil"/>
              <w:bottom w:val="single" w:sz="4" w:space="0" w:color="000000"/>
              <w:right w:val="single" w:sz="4" w:space="0" w:color="000000"/>
            </w:tcBorders>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370</w:t>
            </w:r>
          </w:p>
        </w:tc>
        <w:tc>
          <w:tcPr>
            <w:tcW w:w="1068" w:type="dxa"/>
            <w:tcBorders>
              <w:top w:val="nil"/>
              <w:left w:val="nil"/>
              <w:bottom w:val="single" w:sz="4" w:space="0" w:color="000000"/>
              <w:right w:val="single" w:sz="4" w:space="0" w:color="000000"/>
            </w:tcBorders>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134" w:type="dxa"/>
            <w:tcBorders>
              <w:top w:val="nil"/>
              <w:left w:val="nil"/>
              <w:bottom w:val="single" w:sz="4" w:space="0" w:color="000000"/>
              <w:right w:val="single" w:sz="4" w:space="0" w:color="000000"/>
            </w:tcBorders>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EA72C7" w:rsidTr="003E7002">
        <w:trPr>
          <w:trHeight w:val="282"/>
          <w:jc w:val="center"/>
        </w:trPr>
        <w:tc>
          <w:tcPr>
            <w:tcW w:w="2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Фосфорных удобрений</w:t>
            </w:r>
          </w:p>
        </w:tc>
        <w:tc>
          <w:tcPr>
            <w:tcW w:w="1161" w:type="dxa"/>
            <w:tcBorders>
              <w:top w:val="nil"/>
              <w:left w:val="nil"/>
              <w:bottom w:val="single" w:sz="4" w:space="0" w:color="000000"/>
              <w:right w:val="single" w:sz="4" w:space="0" w:color="000000"/>
            </w:tcBorders>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90,1</w:t>
            </w:r>
          </w:p>
        </w:tc>
        <w:tc>
          <w:tcPr>
            <w:tcW w:w="850" w:type="dxa"/>
            <w:tcBorders>
              <w:top w:val="nil"/>
              <w:left w:val="nil"/>
              <w:bottom w:val="single" w:sz="4" w:space="0" w:color="000000"/>
              <w:right w:val="single" w:sz="4" w:space="0" w:color="000000"/>
            </w:tcBorders>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96,4</w:t>
            </w:r>
          </w:p>
        </w:tc>
        <w:tc>
          <w:tcPr>
            <w:tcW w:w="851" w:type="dxa"/>
            <w:tcBorders>
              <w:top w:val="nil"/>
              <w:left w:val="nil"/>
              <w:bottom w:val="single" w:sz="4" w:space="0" w:color="000000"/>
              <w:right w:val="single" w:sz="4" w:space="0" w:color="000000"/>
            </w:tcBorders>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c>
          <w:tcPr>
            <w:tcW w:w="850" w:type="dxa"/>
            <w:tcBorders>
              <w:top w:val="nil"/>
              <w:left w:val="nil"/>
              <w:bottom w:val="single" w:sz="4" w:space="0" w:color="000000"/>
              <w:right w:val="single" w:sz="4" w:space="0" w:color="000000"/>
            </w:tcBorders>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906" w:type="dxa"/>
            <w:tcBorders>
              <w:top w:val="nil"/>
              <w:left w:val="nil"/>
              <w:bottom w:val="single" w:sz="4" w:space="0" w:color="000000"/>
              <w:right w:val="single" w:sz="4" w:space="0" w:color="000000"/>
            </w:tcBorders>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720</w:t>
            </w:r>
          </w:p>
        </w:tc>
        <w:tc>
          <w:tcPr>
            <w:tcW w:w="1068" w:type="dxa"/>
            <w:tcBorders>
              <w:top w:val="nil"/>
              <w:left w:val="nil"/>
              <w:bottom w:val="single" w:sz="4" w:space="0" w:color="000000"/>
              <w:right w:val="single" w:sz="4" w:space="0" w:color="000000"/>
            </w:tcBorders>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c>
          <w:tcPr>
            <w:tcW w:w="1134" w:type="dxa"/>
            <w:tcBorders>
              <w:top w:val="nil"/>
              <w:left w:val="nil"/>
              <w:bottom w:val="single" w:sz="4" w:space="0" w:color="000000"/>
              <w:right w:val="single" w:sz="4" w:space="0" w:color="000000"/>
            </w:tcBorders>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EA72C7" w:rsidTr="003E7002">
        <w:trPr>
          <w:trHeight w:val="413"/>
          <w:jc w:val="center"/>
        </w:trPr>
        <w:tc>
          <w:tcPr>
            <w:tcW w:w="2699" w:type="dxa"/>
            <w:tcBorders>
              <w:top w:val="single" w:sz="4" w:space="0" w:color="000000"/>
              <w:left w:val="single" w:sz="4" w:space="0" w:color="000000"/>
              <w:bottom w:val="single" w:sz="4" w:space="0" w:color="auto"/>
              <w:right w:val="single" w:sz="4" w:space="0" w:color="000000"/>
            </w:tcBorders>
            <w:shd w:val="clear" w:color="auto" w:fill="FFFFFF"/>
            <w:vAlign w:val="center"/>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Сложных удобрений</w:t>
            </w:r>
          </w:p>
        </w:tc>
        <w:tc>
          <w:tcPr>
            <w:tcW w:w="1161" w:type="dxa"/>
            <w:tcBorders>
              <w:top w:val="nil"/>
              <w:left w:val="nil"/>
              <w:bottom w:val="single" w:sz="4" w:space="0" w:color="auto"/>
              <w:right w:val="single" w:sz="4" w:space="0" w:color="000000"/>
            </w:tcBorders>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000000"/>
            </w:tcBorders>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000000"/>
            </w:tcBorders>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000000"/>
            </w:tcBorders>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6" w:type="dxa"/>
            <w:tcBorders>
              <w:top w:val="nil"/>
              <w:left w:val="nil"/>
              <w:bottom w:val="single" w:sz="4" w:space="0" w:color="auto"/>
              <w:right w:val="single" w:sz="4" w:space="0" w:color="000000"/>
            </w:tcBorders>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068" w:type="dxa"/>
            <w:tcBorders>
              <w:top w:val="nil"/>
              <w:left w:val="nil"/>
              <w:bottom w:val="single" w:sz="4" w:space="0" w:color="auto"/>
              <w:right w:val="single" w:sz="4" w:space="0" w:color="000000"/>
            </w:tcBorders>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134" w:type="dxa"/>
            <w:tcBorders>
              <w:top w:val="nil"/>
              <w:left w:val="nil"/>
              <w:bottom w:val="single" w:sz="4" w:space="0" w:color="auto"/>
              <w:right w:val="single" w:sz="4" w:space="0" w:color="000000"/>
            </w:tcBorders>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EA72C7" w:rsidTr="003E7002">
        <w:trPr>
          <w:trHeight w:val="413"/>
          <w:jc w:val="center"/>
        </w:trPr>
        <w:tc>
          <w:tcPr>
            <w:tcW w:w="951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1414B">
              <w:rPr>
                <w:rFonts w:ascii="Times New Roman" w:eastAsia="Times New Roman" w:hAnsi="Times New Roman" w:cs="Times New Roman"/>
                <w:sz w:val="24"/>
                <w:szCs w:val="24"/>
              </w:rPr>
              <w:t xml:space="preserve">Примечание – Составлено автором по источнику </w:t>
            </w:r>
            <w:r w:rsidR="005738AE">
              <w:rPr>
                <w:rFonts w:ascii="Times New Roman" w:eastAsia="Times New Roman" w:hAnsi="Times New Roman" w:cs="Times New Roman"/>
                <w:sz w:val="24"/>
                <w:szCs w:val="24"/>
              </w:rPr>
              <w:t>[149</w:t>
            </w:r>
            <w:r w:rsidRPr="0081414B">
              <w:rPr>
                <w:rFonts w:ascii="Times New Roman" w:eastAsia="Times New Roman" w:hAnsi="Times New Roman" w:cs="Times New Roman"/>
                <w:sz w:val="24"/>
                <w:szCs w:val="24"/>
              </w:rPr>
              <w:t>]</w:t>
            </w:r>
          </w:p>
        </w:tc>
      </w:tr>
    </w:tbl>
    <w:p w:rsidR="00EA72C7" w:rsidRDefault="00EA72C7" w:rsidP="00EA72C7">
      <w:pPr>
        <w:tabs>
          <w:tab w:val="right" w:pos="0"/>
        </w:tabs>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Немаловажным является и достоверность данных по достижению плановых показателей. Так, согласно Плану по реализации Программы развития АПК на 2017-2021 года с 2015 по 2018 год планировалось снижение объема потерь при транспортировке поверхностных водных ресурсов для нужд сельского хозяйства с 5,1 млн. км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до 4,02 млн. км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в то время как в экологических индикаторах мониторинга и оценки окружающей среды Бюро национальной статистики РК указывается что потери при использовании </w:t>
      </w:r>
      <w:r>
        <w:rPr>
          <w:rFonts w:ascii="Times New Roman" w:eastAsia="Times New Roman" w:hAnsi="Times New Roman" w:cs="Times New Roman"/>
          <w:sz w:val="28"/>
          <w:szCs w:val="28"/>
        </w:rPr>
        <w:lastRenderedPageBreak/>
        <w:t>поверхностных вод отраслями экономики за данный период повышается с 1,5 млн. км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до 2,6 млн. км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(таблица 11).</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свою очередь, деятельность природоохранных органов по увеличению площади охраняемых территорий в развивающихся странах оценивается международными органами малоэффективной. Только в тех случаях, когда на охраняемых территориях ведется эффективная работа, они могут способствовать предотвращению утраты биоразнообразия.</w:t>
      </w: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11 – Объем потерь пресной воды при транспортировке для орошения</w:t>
      </w:r>
    </w:p>
    <w:p w:rsidR="00EA72C7" w:rsidRDefault="00EA72C7" w:rsidP="00EA72C7">
      <w:pPr>
        <w:spacing w:after="0" w:line="240" w:lineRule="auto"/>
        <w:jc w:val="right"/>
        <w:rPr>
          <w:rFonts w:ascii="Times New Roman" w:eastAsia="Times New Roman" w:hAnsi="Times New Roman" w:cs="Times New Roman"/>
          <w:sz w:val="16"/>
          <w:szCs w:val="16"/>
        </w:rPr>
      </w:pPr>
    </w:p>
    <w:tbl>
      <w:tblPr>
        <w:tblW w:w="9569" w:type="dxa"/>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8"/>
        <w:gridCol w:w="1133"/>
        <w:gridCol w:w="882"/>
        <w:gridCol w:w="826"/>
        <w:gridCol w:w="840"/>
        <w:gridCol w:w="890"/>
      </w:tblGrid>
      <w:tr w:rsidR="00EA72C7" w:rsidTr="003E7002">
        <w:trPr>
          <w:trHeight w:val="315"/>
        </w:trPr>
        <w:tc>
          <w:tcPr>
            <w:tcW w:w="4998" w:type="dxa"/>
            <w:shd w:val="clear" w:color="auto" w:fill="auto"/>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Пресная вода</w:t>
            </w:r>
          </w:p>
        </w:tc>
        <w:tc>
          <w:tcPr>
            <w:tcW w:w="1133"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Единица</w:t>
            </w:r>
          </w:p>
        </w:tc>
        <w:tc>
          <w:tcPr>
            <w:tcW w:w="882" w:type="dxa"/>
            <w:shd w:val="clear" w:color="auto" w:fill="FFFFFF"/>
            <w:vAlign w:val="bottom"/>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2015 год</w:t>
            </w:r>
          </w:p>
        </w:tc>
        <w:tc>
          <w:tcPr>
            <w:tcW w:w="826" w:type="dxa"/>
            <w:shd w:val="clear" w:color="auto" w:fill="FFFFFF"/>
            <w:vAlign w:val="bottom"/>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 год</w:t>
            </w:r>
          </w:p>
        </w:tc>
        <w:tc>
          <w:tcPr>
            <w:tcW w:w="840" w:type="dxa"/>
            <w:shd w:val="clear" w:color="auto" w:fill="FFFFFF"/>
            <w:vAlign w:val="bottom"/>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 год</w:t>
            </w:r>
          </w:p>
        </w:tc>
        <w:tc>
          <w:tcPr>
            <w:tcW w:w="890" w:type="dxa"/>
            <w:shd w:val="clear" w:color="auto" w:fill="FFFFFF"/>
            <w:vAlign w:val="bottom"/>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 год</w:t>
            </w:r>
          </w:p>
        </w:tc>
      </w:tr>
      <w:tr w:rsidR="00EA72C7" w:rsidTr="003E7002">
        <w:trPr>
          <w:trHeight w:val="360"/>
        </w:trPr>
        <w:tc>
          <w:tcPr>
            <w:tcW w:w="4998" w:type="dxa"/>
            <w:shd w:val="clear" w:color="auto" w:fill="FFFFFF"/>
            <w:vAlign w:val="center"/>
          </w:tcPr>
          <w:p w:rsidR="00EA72C7" w:rsidRDefault="00EA72C7" w:rsidP="003E7002">
            <w:pPr>
              <w:spacing w:after="0" w:line="240" w:lineRule="auto"/>
              <w:ind w:right="-143"/>
              <w:rPr>
                <w:rFonts w:ascii="Times New Roman" w:eastAsia="Times New Roman" w:hAnsi="Times New Roman" w:cs="Times New Roman"/>
                <w:i/>
                <w:sz w:val="24"/>
                <w:szCs w:val="24"/>
              </w:rPr>
            </w:pPr>
            <w:r>
              <w:rPr>
                <w:rFonts w:ascii="Times New Roman" w:eastAsia="Times New Roman" w:hAnsi="Times New Roman" w:cs="Times New Roman"/>
                <w:i/>
                <w:sz w:val="24"/>
                <w:szCs w:val="24"/>
              </w:rPr>
              <w:t>Забор пресной воды (подземной и поверхностной)</w:t>
            </w:r>
          </w:p>
        </w:tc>
        <w:tc>
          <w:tcPr>
            <w:tcW w:w="1133"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млн. м</w:t>
            </w:r>
            <w:r>
              <w:rPr>
                <w:rFonts w:ascii="Times New Roman" w:eastAsia="Times New Roman" w:hAnsi="Times New Roman" w:cs="Times New Roman"/>
                <w:sz w:val="24"/>
                <w:szCs w:val="24"/>
                <w:vertAlign w:val="superscript"/>
              </w:rPr>
              <w:t>3</w:t>
            </w:r>
          </w:p>
        </w:tc>
        <w:tc>
          <w:tcPr>
            <w:tcW w:w="882"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21661</w:t>
            </w:r>
          </w:p>
        </w:tc>
        <w:tc>
          <w:tcPr>
            <w:tcW w:w="826"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21634</w:t>
            </w:r>
          </w:p>
        </w:tc>
        <w:tc>
          <w:tcPr>
            <w:tcW w:w="840"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22454</w:t>
            </w:r>
          </w:p>
        </w:tc>
        <w:tc>
          <w:tcPr>
            <w:tcW w:w="890"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23542</w:t>
            </w:r>
          </w:p>
        </w:tc>
      </w:tr>
      <w:tr w:rsidR="00EA72C7" w:rsidTr="003E7002">
        <w:trPr>
          <w:trHeight w:val="360"/>
        </w:trPr>
        <w:tc>
          <w:tcPr>
            <w:tcW w:w="4998" w:type="dxa"/>
            <w:shd w:val="clear" w:color="auto" w:fill="FFFFFF"/>
            <w:vAlign w:val="center"/>
          </w:tcPr>
          <w:p w:rsidR="00EA72C7" w:rsidRDefault="00EA72C7" w:rsidP="003E7002">
            <w:pPr>
              <w:spacing w:after="0" w:line="240" w:lineRule="auto"/>
              <w:ind w:left="318"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 предприятия водоснабжения</w:t>
            </w:r>
          </w:p>
        </w:tc>
        <w:tc>
          <w:tcPr>
            <w:tcW w:w="1133"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млн. м</w:t>
            </w:r>
            <w:r>
              <w:rPr>
                <w:rFonts w:ascii="Times New Roman" w:eastAsia="Times New Roman" w:hAnsi="Times New Roman" w:cs="Times New Roman"/>
                <w:sz w:val="24"/>
                <w:szCs w:val="24"/>
                <w:vertAlign w:val="superscript"/>
              </w:rPr>
              <w:t>3</w:t>
            </w:r>
          </w:p>
        </w:tc>
        <w:tc>
          <w:tcPr>
            <w:tcW w:w="882"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1994</w:t>
            </w:r>
          </w:p>
        </w:tc>
        <w:tc>
          <w:tcPr>
            <w:tcW w:w="826"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1971</w:t>
            </w:r>
          </w:p>
        </w:tc>
        <w:tc>
          <w:tcPr>
            <w:tcW w:w="840"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1944</w:t>
            </w:r>
          </w:p>
        </w:tc>
        <w:tc>
          <w:tcPr>
            <w:tcW w:w="890"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2360</w:t>
            </w:r>
          </w:p>
        </w:tc>
      </w:tr>
      <w:tr w:rsidR="00EA72C7" w:rsidTr="003E7002">
        <w:trPr>
          <w:trHeight w:val="360"/>
        </w:trPr>
        <w:tc>
          <w:tcPr>
            <w:tcW w:w="4998" w:type="dxa"/>
            <w:shd w:val="clear" w:color="auto" w:fill="FFFFFF"/>
            <w:vAlign w:val="center"/>
          </w:tcPr>
          <w:p w:rsidR="00EA72C7" w:rsidRDefault="00EA72C7" w:rsidP="003E7002">
            <w:pPr>
              <w:spacing w:after="0" w:line="240" w:lineRule="auto"/>
              <w:ind w:left="318"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 домашние хозяйства</w:t>
            </w:r>
          </w:p>
        </w:tc>
        <w:tc>
          <w:tcPr>
            <w:tcW w:w="1133"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млн. м</w:t>
            </w:r>
            <w:r>
              <w:rPr>
                <w:rFonts w:ascii="Times New Roman" w:eastAsia="Times New Roman" w:hAnsi="Times New Roman" w:cs="Times New Roman"/>
                <w:sz w:val="24"/>
                <w:szCs w:val="24"/>
                <w:vertAlign w:val="superscript"/>
              </w:rPr>
              <w:t>3</w:t>
            </w:r>
          </w:p>
        </w:tc>
        <w:tc>
          <w:tcPr>
            <w:tcW w:w="882"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740</w:t>
            </w:r>
          </w:p>
        </w:tc>
        <w:tc>
          <w:tcPr>
            <w:tcW w:w="826"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424</w:t>
            </w:r>
          </w:p>
        </w:tc>
        <w:tc>
          <w:tcPr>
            <w:tcW w:w="840"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403</w:t>
            </w:r>
          </w:p>
        </w:tc>
        <w:tc>
          <w:tcPr>
            <w:tcW w:w="890"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172</w:t>
            </w:r>
          </w:p>
        </w:tc>
      </w:tr>
      <w:tr w:rsidR="00EA72C7" w:rsidTr="003E7002">
        <w:trPr>
          <w:trHeight w:val="630"/>
        </w:trPr>
        <w:tc>
          <w:tcPr>
            <w:tcW w:w="4998" w:type="dxa"/>
            <w:shd w:val="clear" w:color="auto" w:fill="FFFFFF"/>
            <w:vAlign w:val="center"/>
          </w:tcPr>
          <w:p w:rsidR="00EA72C7" w:rsidRDefault="00EA72C7" w:rsidP="003E7002">
            <w:pPr>
              <w:spacing w:after="0" w:line="240" w:lineRule="auto"/>
              <w:ind w:left="318"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 сельское хозяйство, лесоводство и рыболовство</w:t>
            </w:r>
          </w:p>
        </w:tc>
        <w:tc>
          <w:tcPr>
            <w:tcW w:w="1133"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млн. м</w:t>
            </w:r>
            <w:r>
              <w:rPr>
                <w:rFonts w:ascii="Times New Roman" w:eastAsia="Times New Roman" w:hAnsi="Times New Roman" w:cs="Times New Roman"/>
                <w:sz w:val="24"/>
                <w:szCs w:val="24"/>
                <w:vertAlign w:val="superscript"/>
              </w:rPr>
              <w:t>3</w:t>
            </w:r>
          </w:p>
        </w:tc>
        <w:tc>
          <w:tcPr>
            <w:tcW w:w="882"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13226</w:t>
            </w:r>
          </w:p>
        </w:tc>
        <w:tc>
          <w:tcPr>
            <w:tcW w:w="826"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14705</w:t>
            </w:r>
          </w:p>
        </w:tc>
        <w:tc>
          <w:tcPr>
            <w:tcW w:w="840"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15125</w:t>
            </w:r>
          </w:p>
        </w:tc>
        <w:tc>
          <w:tcPr>
            <w:tcW w:w="890"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14968</w:t>
            </w:r>
          </w:p>
        </w:tc>
      </w:tr>
      <w:tr w:rsidR="00EA72C7" w:rsidTr="003E7002">
        <w:trPr>
          <w:trHeight w:val="395"/>
        </w:trPr>
        <w:tc>
          <w:tcPr>
            <w:tcW w:w="4998" w:type="dxa"/>
            <w:shd w:val="clear" w:color="auto" w:fill="FFFFFF"/>
            <w:vAlign w:val="center"/>
          </w:tcPr>
          <w:p w:rsidR="00EA72C7" w:rsidRDefault="00EA72C7" w:rsidP="003E7002">
            <w:pPr>
              <w:spacing w:after="0" w:line="240" w:lineRule="auto"/>
              <w:ind w:left="318"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 обрабатывающая промышленность</w:t>
            </w:r>
          </w:p>
        </w:tc>
        <w:tc>
          <w:tcPr>
            <w:tcW w:w="1133"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млн. м</w:t>
            </w:r>
            <w:r>
              <w:rPr>
                <w:rFonts w:ascii="Times New Roman" w:eastAsia="Times New Roman" w:hAnsi="Times New Roman" w:cs="Times New Roman"/>
                <w:sz w:val="24"/>
                <w:szCs w:val="24"/>
                <w:vertAlign w:val="superscript"/>
              </w:rPr>
              <w:t>3</w:t>
            </w:r>
          </w:p>
        </w:tc>
        <w:tc>
          <w:tcPr>
            <w:tcW w:w="882"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4884</w:t>
            </w:r>
          </w:p>
        </w:tc>
        <w:tc>
          <w:tcPr>
            <w:tcW w:w="826"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1547</w:t>
            </w:r>
          </w:p>
        </w:tc>
        <w:tc>
          <w:tcPr>
            <w:tcW w:w="840"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1598</w:t>
            </w:r>
          </w:p>
        </w:tc>
        <w:tc>
          <w:tcPr>
            <w:tcW w:w="890"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869</w:t>
            </w:r>
          </w:p>
        </w:tc>
      </w:tr>
      <w:tr w:rsidR="00EA72C7" w:rsidTr="003E7002">
        <w:trPr>
          <w:trHeight w:val="360"/>
        </w:trPr>
        <w:tc>
          <w:tcPr>
            <w:tcW w:w="4998" w:type="dxa"/>
            <w:shd w:val="clear" w:color="auto" w:fill="FFFFFF"/>
            <w:vAlign w:val="center"/>
          </w:tcPr>
          <w:p w:rsidR="00EA72C7" w:rsidRDefault="00EA72C7" w:rsidP="003E7002">
            <w:pPr>
              <w:spacing w:after="0" w:line="240" w:lineRule="auto"/>
              <w:ind w:left="318"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 предприятия электроэнергетики</w:t>
            </w:r>
          </w:p>
        </w:tc>
        <w:tc>
          <w:tcPr>
            <w:tcW w:w="1133"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млн. м</w:t>
            </w:r>
            <w:r>
              <w:rPr>
                <w:rFonts w:ascii="Times New Roman" w:eastAsia="Times New Roman" w:hAnsi="Times New Roman" w:cs="Times New Roman"/>
                <w:sz w:val="24"/>
                <w:szCs w:val="24"/>
                <w:vertAlign w:val="superscript"/>
              </w:rPr>
              <w:t>3</w:t>
            </w:r>
          </w:p>
        </w:tc>
        <w:tc>
          <w:tcPr>
            <w:tcW w:w="882"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664</w:t>
            </w:r>
          </w:p>
        </w:tc>
        <w:tc>
          <w:tcPr>
            <w:tcW w:w="826"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2450</w:t>
            </w:r>
          </w:p>
        </w:tc>
        <w:tc>
          <w:tcPr>
            <w:tcW w:w="840"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2370</w:t>
            </w:r>
          </w:p>
        </w:tc>
        <w:tc>
          <w:tcPr>
            <w:tcW w:w="890"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4069</w:t>
            </w:r>
          </w:p>
        </w:tc>
      </w:tr>
      <w:tr w:rsidR="00EA72C7" w:rsidTr="003E7002">
        <w:trPr>
          <w:trHeight w:val="360"/>
        </w:trPr>
        <w:tc>
          <w:tcPr>
            <w:tcW w:w="4998" w:type="dxa"/>
            <w:shd w:val="clear" w:color="auto" w:fill="FFFFFF"/>
            <w:vAlign w:val="center"/>
          </w:tcPr>
          <w:p w:rsidR="00EA72C7" w:rsidRDefault="00EA72C7" w:rsidP="003E7002">
            <w:pPr>
              <w:spacing w:after="0" w:line="240" w:lineRule="auto"/>
              <w:ind w:left="318"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 другие виды деятельности</w:t>
            </w:r>
          </w:p>
        </w:tc>
        <w:tc>
          <w:tcPr>
            <w:tcW w:w="1133"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млн. м</w:t>
            </w:r>
            <w:r>
              <w:rPr>
                <w:rFonts w:ascii="Times New Roman" w:eastAsia="Times New Roman" w:hAnsi="Times New Roman" w:cs="Times New Roman"/>
                <w:sz w:val="24"/>
                <w:szCs w:val="24"/>
                <w:vertAlign w:val="superscript"/>
              </w:rPr>
              <w:t>3</w:t>
            </w:r>
          </w:p>
        </w:tc>
        <w:tc>
          <w:tcPr>
            <w:tcW w:w="882"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826"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537</w:t>
            </w:r>
          </w:p>
        </w:tc>
        <w:tc>
          <w:tcPr>
            <w:tcW w:w="840"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1014</w:t>
            </w:r>
          </w:p>
        </w:tc>
        <w:tc>
          <w:tcPr>
            <w:tcW w:w="890"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1104</w:t>
            </w:r>
          </w:p>
        </w:tc>
      </w:tr>
      <w:tr w:rsidR="00EA72C7" w:rsidTr="003E7002">
        <w:trPr>
          <w:trHeight w:val="360"/>
        </w:trPr>
        <w:tc>
          <w:tcPr>
            <w:tcW w:w="4998" w:type="dxa"/>
            <w:shd w:val="clear" w:color="auto" w:fill="FFFFFF"/>
            <w:vAlign w:val="center"/>
          </w:tcPr>
          <w:p w:rsidR="00EA72C7" w:rsidRDefault="00EA72C7" w:rsidP="003E7002">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Потери воды - всего</w:t>
            </w:r>
          </w:p>
        </w:tc>
        <w:tc>
          <w:tcPr>
            <w:tcW w:w="1133"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млн. м</w:t>
            </w:r>
            <w:r>
              <w:rPr>
                <w:rFonts w:ascii="Times New Roman" w:eastAsia="Times New Roman" w:hAnsi="Times New Roman" w:cs="Times New Roman"/>
                <w:sz w:val="24"/>
                <w:szCs w:val="24"/>
                <w:vertAlign w:val="superscript"/>
              </w:rPr>
              <w:t>3</w:t>
            </w:r>
          </w:p>
        </w:tc>
        <w:tc>
          <w:tcPr>
            <w:tcW w:w="882"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1518</w:t>
            </w:r>
          </w:p>
        </w:tc>
        <w:tc>
          <w:tcPr>
            <w:tcW w:w="826"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2517</w:t>
            </w:r>
          </w:p>
        </w:tc>
        <w:tc>
          <w:tcPr>
            <w:tcW w:w="840"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2993</w:t>
            </w:r>
          </w:p>
        </w:tc>
        <w:tc>
          <w:tcPr>
            <w:tcW w:w="890"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2554</w:t>
            </w:r>
          </w:p>
        </w:tc>
      </w:tr>
      <w:tr w:rsidR="00EA72C7" w:rsidTr="003E7002">
        <w:trPr>
          <w:trHeight w:val="315"/>
        </w:trPr>
        <w:tc>
          <w:tcPr>
            <w:tcW w:w="4998" w:type="dxa"/>
            <w:shd w:val="clear" w:color="auto" w:fill="FFFFFF"/>
            <w:vAlign w:val="center"/>
          </w:tcPr>
          <w:p w:rsidR="00EA72C7" w:rsidRDefault="00EA72C7" w:rsidP="003E7002">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Потери воды %</w:t>
            </w:r>
          </w:p>
        </w:tc>
        <w:tc>
          <w:tcPr>
            <w:tcW w:w="1133"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82"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7,01</w:t>
            </w:r>
          </w:p>
        </w:tc>
        <w:tc>
          <w:tcPr>
            <w:tcW w:w="826"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11,63</w:t>
            </w:r>
          </w:p>
        </w:tc>
        <w:tc>
          <w:tcPr>
            <w:tcW w:w="840"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13,33</w:t>
            </w:r>
          </w:p>
        </w:tc>
        <w:tc>
          <w:tcPr>
            <w:tcW w:w="890" w:type="dxa"/>
            <w:shd w:val="clear" w:color="auto" w:fill="FFFFFF"/>
            <w:vAlign w:val="center"/>
          </w:tcPr>
          <w:p w:rsidR="00EA72C7" w:rsidRDefault="00EA72C7" w:rsidP="003E700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10,85</w:t>
            </w:r>
          </w:p>
        </w:tc>
      </w:tr>
      <w:tr w:rsidR="00EA72C7" w:rsidTr="003E7002">
        <w:trPr>
          <w:trHeight w:val="360"/>
        </w:trPr>
        <w:tc>
          <w:tcPr>
            <w:tcW w:w="4998" w:type="dxa"/>
            <w:shd w:val="clear" w:color="auto" w:fill="auto"/>
            <w:vAlign w:val="center"/>
          </w:tcPr>
          <w:p w:rsidR="00EA72C7" w:rsidRDefault="00EA72C7" w:rsidP="003E7002">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Потери воды по ГП АПК </w:t>
            </w:r>
          </w:p>
        </w:tc>
        <w:tc>
          <w:tcPr>
            <w:tcW w:w="1133" w:type="dxa"/>
            <w:shd w:val="clear" w:color="auto" w:fill="auto"/>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млн. м</w:t>
            </w:r>
            <w:r>
              <w:rPr>
                <w:rFonts w:ascii="Times New Roman" w:eastAsia="Times New Roman" w:hAnsi="Times New Roman" w:cs="Times New Roman"/>
                <w:sz w:val="24"/>
                <w:szCs w:val="24"/>
                <w:vertAlign w:val="superscript"/>
              </w:rPr>
              <w:t>3</w:t>
            </w:r>
          </w:p>
        </w:tc>
        <w:tc>
          <w:tcPr>
            <w:tcW w:w="882" w:type="dxa"/>
            <w:shd w:val="clear" w:color="auto" w:fill="auto"/>
            <w:vAlign w:val="center"/>
          </w:tcPr>
          <w:p w:rsidR="00EA72C7" w:rsidRDefault="00EA72C7" w:rsidP="003E700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5100</w:t>
            </w:r>
          </w:p>
        </w:tc>
        <w:tc>
          <w:tcPr>
            <w:tcW w:w="826" w:type="dxa"/>
            <w:shd w:val="clear" w:color="auto" w:fill="auto"/>
            <w:vAlign w:val="center"/>
          </w:tcPr>
          <w:p w:rsidR="00EA72C7" w:rsidRDefault="00EA72C7" w:rsidP="003E700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4240</w:t>
            </w:r>
          </w:p>
        </w:tc>
        <w:tc>
          <w:tcPr>
            <w:tcW w:w="840" w:type="dxa"/>
            <w:shd w:val="clear" w:color="auto" w:fill="auto"/>
            <w:vAlign w:val="center"/>
          </w:tcPr>
          <w:p w:rsidR="00EA72C7" w:rsidRDefault="00EA72C7" w:rsidP="003E700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4390</w:t>
            </w:r>
          </w:p>
        </w:tc>
        <w:tc>
          <w:tcPr>
            <w:tcW w:w="890" w:type="dxa"/>
            <w:shd w:val="clear" w:color="auto" w:fill="auto"/>
            <w:vAlign w:val="center"/>
          </w:tcPr>
          <w:p w:rsidR="00EA72C7" w:rsidRDefault="00EA72C7" w:rsidP="003E700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4020</w:t>
            </w:r>
          </w:p>
        </w:tc>
      </w:tr>
      <w:tr w:rsidR="00EA72C7" w:rsidTr="003E7002">
        <w:trPr>
          <w:trHeight w:val="315"/>
        </w:trPr>
        <w:tc>
          <w:tcPr>
            <w:tcW w:w="4998" w:type="dxa"/>
            <w:shd w:val="clear" w:color="auto" w:fill="auto"/>
            <w:vAlign w:val="center"/>
          </w:tcPr>
          <w:p w:rsidR="00EA72C7" w:rsidRDefault="00EA72C7" w:rsidP="003E7002">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Потери воды по ГП АПК, %</w:t>
            </w:r>
          </w:p>
        </w:tc>
        <w:tc>
          <w:tcPr>
            <w:tcW w:w="1133" w:type="dxa"/>
            <w:shd w:val="clear" w:color="auto" w:fill="auto"/>
            <w:vAlign w:val="center"/>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82" w:type="dxa"/>
            <w:shd w:val="clear" w:color="auto" w:fill="auto"/>
            <w:vAlign w:val="center"/>
          </w:tcPr>
          <w:p w:rsidR="00EA72C7" w:rsidRDefault="00EA72C7" w:rsidP="003E700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38,56</w:t>
            </w:r>
          </w:p>
        </w:tc>
        <w:tc>
          <w:tcPr>
            <w:tcW w:w="826" w:type="dxa"/>
            <w:shd w:val="clear" w:color="auto" w:fill="auto"/>
            <w:vAlign w:val="center"/>
          </w:tcPr>
          <w:p w:rsidR="00EA72C7" w:rsidRDefault="00EA72C7" w:rsidP="003E700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28,83</w:t>
            </w:r>
          </w:p>
        </w:tc>
        <w:tc>
          <w:tcPr>
            <w:tcW w:w="840" w:type="dxa"/>
            <w:shd w:val="clear" w:color="auto" w:fill="auto"/>
            <w:vAlign w:val="center"/>
          </w:tcPr>
          <w:p w:rsidR="00EA72C7" w:rsidRDefault="00EA72C7" w:rsidP="003E700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29,02</w:t>
            </w:r>
          </w:p>
        </w:tc>
        <w:tc>
          <w:tcPr>
            <w:tcW w:w="890" w:type="dxa"/>
            <w:shd w:val="clear" w:color="auto" w:fill="auto"/>
            <w:vAlign w:val="center"/>
          </w:tcPr>
          <w:p w:rsidR="00EA72C7" w:rsidRDefault="00EA72C7" w:rsidP="003E7002">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26,86</w:t>
            </w:r>
          </w:p>
        </w:tc>
      </w:tr>
      <w:tr w:rsidR="00EA72C7" w:rsidTr="003E7002">
        <w:trPr>
          <w:trHeight w:val="315"/>
        </w:trPr>
        <w:tc>
          <w:tcPr>
            <w:tcW w:w="9569" w:type="dxa"/>
            <w:gridSpan w:val="6"/>
            <w:shd w:val="clear" w:color="auto" w:fill="auto"/>
            <w:vAlign w:val="center"/>
          </w:tcPr>
          <w:p w:rsidR="00EA72C7" w:rsidRDefault="00EA72C7" w:rsidP="003E7002">
            <w:pPr>
              <w:spacing w:after="0" w:line="240" w:lineRule="auto"/>
              <w:ind w:firstLine="620"/>
              <w:rPr>
                <w:rFonts w:ascii="Times New Roman" w:eastAsia="Times New Roman" w:hAnsi="Times New Roman" w:cs="Times New Roman"/>
                <w:sz w:val="24"/>
                <w:szCs w:val="24"/>
              </w:rPr>
            </w:pPr>
            <w:r w:rsidRPr="0081414B">
              <w:rPr>
                <w:rFonts w:ascii="Times New Roman" w:eastAsia="Times New Roman" w:hAnsi="Times New Roman" w:cs="Times New Roman"/>
                <w:sz w:val="24"/>
                <w:szCs w:val="24"/>
              </w:rPr>
              <w:t xml:space="preserve">Примечание – Составлено автором по источнику </w:t>
            </w:r>
            <w:r w:rsidR="005738AE">
              <w:rPr>
                <w:rFonts w:ascii="Times New Roman" w:eastAsia="Times New Roman" w:hAnsi="Times New Roman" w:cs="Times New Roman"/>
                <w:sz w:val="24"/>
                <w:szCs w:val="24"/>
              </w:rPr>
              <w:t>[179</w:t>
            </w:r>
            <w:r w:rsidRPr="0081414B">
              <w:rPr>
                <w:rFonts w:ascii="Times New Roman" w:eastAsia="Times New Roman" w:hAnsi="Times New Roman" w:cs="Times New Roman"/>
                <w:sz w:val="24"/>
                <w:szCs w:val="24"/>
              </w:rPr>
              <w:t>]</w:t>
            </w:r>
          </w:p>
        </w:tc>
      </w:tr>
    </w:tbl>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Данные статистики свидетельствуют об увеличении площади заповедников и природных национальных парков с 6 483 га в 2015 году до 7 590 га в 2018 году, в то время как общая численность работников ООПТ на протяжении всего периода остается неизменной 3 502 единицы (таблица 12).</w:t>
      </w:r>
    </w:p>
    <w:p w:rsidR="00EA72C7" w:rsidRDefault="00EA72C7" w:rsidP="00EA72C7">
      <w:pPr>
        <w:spacing w:after="0" w:line="240" w:lineRule="auto"/>
        <w:ind w:firstLine="709"/>
        <w:jc w:val="both"/>
        <w:rPr>
          <w:rFonts w:ascii="Times New Roman" w:eastAsia="Times New Roman" w:hAnsi="Times New Roman" w:cs="Times New Roman"/>
          <w:b/>
          <w:sz w:val="28"/>
          <w:szCs w:val="28"/>
        </w:rPr>
      </w:pPr>
    </w:p>
    <w:p w:rsidR="00EA72C7" w:rsidRDefault="00EA72C7" w:rsidP="00EA72C7">
      <w:pPr>
        <w:tabs>
          <w:tab w:val="right" w:pos="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 – Динамика показателей развития ООПТ 2015-2018 гг.</w:t>
      </w:r>
    </w:p>
    <w:p w:rsidR="00EA72C7" w:rsidRDefault="00EA72C7" w:rsidP="00EA72C7">
      <w:pPr>
        <w:tabs>
          <w:tab w:val="right" w:pos="0"/>
        </w:tabs>
        <w:spacing w:after="0" w:line="240" w:lineRule="auto"/>
        <w:rPr>
          <w:rFonts w:ascii="Times New Roman" w:eastAsia="Times New Roman" w:hAnsi="Times New Roman" w:cs="Times New Roman"/>
          <w:sz w:val="16"/>
          <w:szCs w:val="16"/>
        </w:rPr>
      </w:pPr>
    </w:p>
    <w:tbl>
      <w:tblPr>
        <w:tblW w:w="95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0"/>
        <w:gridCol w:w="1154"/>
        <w:gridCol w:w="1155"/>
        <w:gridCol w:w="1155"/>
        <w:gridCol w:w="1214"/>
        <w:gridCol w:w="1106"/>
        <w:gridCol w:w="1167"/>
      </w:tblGrid>
      <w:tr w:rsidR="00EA72C7" w:rsidTr="003E7002">
        <w:tc>
          <w:tcPr>
            <w:tcW w:w="2570" w:type="dxa"/>
            <w:vAlign w:val="center"/>
          </w:tcPr>
          <w:p w:rsidR="00EA72C7" w:rsidRDefault="00EA72C7" w:rsidP="003E7002">
            <w:pPr>
              <w:tabs>
                <w:tab w:val="righ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w:t>
            </w:r>
          </w:p>
        </w:tc>
        <w:tc>
          <w:tcPr>
            <w:tcW w:w="1154" w:type="dxa"/>
            <w:vAlign w:val="center"/>
          </w:tcPr>
          <w:p w:rsidR="00EA72C7" w:rsidRDefault="00EA72C7" w:rsidP="003E7002">
            <w:pPr>
              <w:tabs>
                <w:tab w:val="righ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2015 год</w:t>
            </w:r>
          </w:p>
        </w:tc>
        <w:tc>
          <w:tcPr>
            <w:tcW w:w="1155" w:type="dxa"/>
            <w:vAlign w:val="center"/>
          </w:tcPr>
          <w:p w:rsidR="00EA72C7" w:rsidRDefault="00EA72C7" w:rsidP="003E7002">
            <w:pPr>
              <w:tabs>
                <w:tab w:val="righ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 год</w:t>
            </w:r>
          </w:p>
        </w:tc>
        <w:tc>
          <w:tcPr>
            <w:tcW w:w="1155" w:type="dxa"/>
            <w:vAlign w:val="center"/>
          </w:tcPr>
          <w:p w:rsidR="00EA72C7" w:rsidRDefault="00EA72C7" w:rsidP="003E7002">
            <w:pPr>
              <w:tabs>
                <w:tab w:val="righ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 год</w:t>
            </w:r>
          </w:p>
        </w:tc>
        <w:tc>
          <w:tcPr>
            <w:tcW w:w="1214" w:type="dxa"/>
            <w:vAlign w:val="center"/>
          </w:tcPr>
          <w:p w:rsidR="00EA72C7" w:rsidRDefault="00EA72C7" w:rsidP="003E7002">
            <w:pPr>
              <w:tabs>
                <w:tab w:val="righ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 год</w:t>
            </w:r>
          </w:p>
        </w:tc>
        <w:tc>
          <w:tcPr>
            <w:tcW w:w="1106" w:type="dxa"/>
            <w:vAlign w:val="center"/>
          </w:tcPr>
          <w:p w:rsidR="00EA72C7" w:rsidRDefault="00EA72C7" w:rsidP="003E7002">
            <w:pPr>
              <w:tabs>
                <w:tab w:val="righ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 год</w:t>
            </w:r>
          </w:p>
        </w:tc>
        <w:tc>
          <w:tcPr>
            <w:tcW w:w="1167" w:type="dxa"/>
            <w:vAlign w:val="center"/>
          </w:tcPr>
          <w:p w:rsidR="00EA72C7" w:rsidRDefault="00EA72C7" w:rsidP="003E7002">
            <w:pPr>
              <w:tabs>
                <w:tab w:val="righ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 год</w:t>
            </w:r>
          </w:p>
        </w:tc>
      </w:tr>
      <w:tr w:rsidR="00EA72C7" w:rsidTr="003E7002">
        <w:tc>
          <w:tcPr>
            <w:tcW w:w="2570" w:type="dxa"/>
          </w:tcPr>
          <w:p w:rsidR="00EA72C7" w:rsidRDefault="00EA72C7" w:rsidP="003E7002">
            <w:pPr>
              <w:tabs>
                <w:tab w:val="righ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 ООПТ, ед.</w:t>
            </w:r>
          </w:p>
        </w:tc>
        <w:tc>
          <w:tcPr>
            <w:tcW w:w="1154" w:type="dxa"/>
          </w:tcPr>
          <w:p w:rsidR="00EA72C7" w:rsidRDefault="00EA72C7" w:rsidP="003E7002">
            <w:pPr>
              <w:tabs>
                <w:tab w:val="righ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155" w:type="dxa"/>
          </w:tcPr>
          <w:p w:rsidR="00EA72C7" w:rsidRDefault="00EA72C7" w:rsidP="003E7002">
            <w:pPr>
              <w:tabs>
                <w:tab w:val="righ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155" w:type="dxa"/>
          </w:tcPr>
          <w:p w:rsidR="00EA72C7" w:rsidRDefault="00EA72C7" w:rsidP="003E7002">
            <w:pPr>
              <w:tabs>
                <w:tab w:val="righ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214" w:type="dxa"/>
          </w:tcPr>
          <w:p w:rsidR="00EA72C7" w:rsidRDefault="00EA72C7" w:rsidP="003E7002">
            <w:pPr>
              <w:tabs>
                <w:tab w:val="righ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06" w:type="dxa"/>
          </w:tcPr>
          <w:p w:rsidR="00EA72C7" w:rsidRDefault="00EA72C7" w:rsidP="003E7002">
            <w:pPr>
              <w:tabs>
                <w:tab w:val="righ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67" w:type="dxa"/>
          </w:tcPr>
          <w:p w:rsidR="00EA72C7" w:rsidRDefault="00EA72C7" w:rsidP="003E7002">
            <w:pPr>
              <w:tabs>
                <w:tab w:val="righ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EA72C7" w:rsidTr="003E7002">
        <w:tc>
          <w:tcPr>
            <w:tcW w:w="2570" w:type="dxa"/>
          </w:tcPr>
          <w:p w:rsidR="00EA72C7" w:rsidRDefault="00EA72C7" w:rsidP="003E7002">
            <w:pPr>
              <w:tabs>
                <w:tab w:val="righ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Площадь, тыс. га</w:t>
            </w:r>
          </w:p>
        </w:tc>
        <w:tc>
          <w:tcPr>
            <w:tcW w:w="1154" w:type="dxa"/>
          </w:tcPr>
          <w:p w:rsidR="00EA72C7" w:rsidRDefault="00EA72C7" w:rsidP="003E7002">
            <w:pPr>
              <w:tabs>
                <w:tab w:val="righ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6 483,7</w:t>
            </w:r>
          </w:p>
        </w:tc>
        <w:tc>
          <w:tcPr>
            <w:tcW w:w="1155" w:type="dxa"/>
          </w:tcPr>
          <w:p w:rsidR="00EA72C7" w:rsidRDefault="00EA72C7" w:rsidP="003E7002">
            <w:pPr>
              <w:tabs>
                <w:tab w:val="righ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7 039,5</w:t>
            </w:r>
          </w:p>
        </w:tc>
        <w:tc>
          <w:tcPr>
            <w:tcW w:w="1155" w:type="dxa"/>
          </w:tcPr>
          <w:p w:rsidR="00EA72C7" w:rsidRDefault="00EA72C7" w:rsidP="003E7002">
            <w:pPr>
              <w:tabs>
                <w:tab w:val="righ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7 039,5</w:t>
            </w:r>
          </w:p>
        </w:tc>
        <w:tc>
          <w:tcPr>
            <w:tcW w:w="1214" w:type="dxa"/>
          </w:tcPr>
          <w:p w:rsidR="00EA72C7" w:rsidRDefault="00EA72C7" w:rsidP="003E7002">
            <w:pPr>
              <w:tabs>
                <w:tab w:val="righ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7 590</w:t>
            </w:r>
          </w:p>
        </w:tc>
        <w:tc>
          <w:tcPr>
            <w:tcW w:w="1106" w:type="dxa"/>
          </w:tcPr>
          <w:p w:rsidR="00EA72C7" w:rsidRDefault="00EA72C7" w:rsidP="003E7002">
            <w:pPr>
              <w:tabs>
                <w:tab w:val="righ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7 590</w:t>
            </w:r>
          </w:p>
        </w:tc>
        <w:tc>
          <w:tcPr>
            <w:tcW w:w="1167" w:type="dxa"/>
          </w:tcPr>
          <w:p w:rsidR="00EA72C7" w:rsidRDefault="00EA72C7" w:rsidP="003E7002">
            <w:pPr>
              <w:tabs>
                <w:tab w:val="righ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9 890</w:t>
            </w:r>
          </w:p>
        </w:tc>
      </w:tr>
      <w:tr w:rsidR="00EA72C7" w:rsidTr="003E7002">
        <w:tc>
          <w:tcPr>
            <w:tcW w:w="2570" w:type="dxa"/>
          </w:tcPr>
          <w:p w:rsidR="00EA72C7" w:rsidRDefault="00EA72C7" w:rsidP="003E7002">
            <w:pPr>
              <w:tabs>
                <w:tab w:val="righ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персонала, ед.</w:t>
            </w:r>
          </w:p>
        </w:tc>
        <w:tc>
          <w:tcPr>
            <w:tcW w:w="1154" w:type="dxa"/>
          </w:tcPr>
          <w:p w:rsidR="00EA72C7" w:rsidRDefault="00EA72C7" w:rsidP="003E7002">
            <w:pPr>
              <w:tabs>
                <w:tab w:val="right" w:pos="0"/>
              </w:tabs>
              <w:jc w:val="center"/>
              <w:rPr>
                <w:rFonts w:ascii="Times New Roman" w:eastAsia="Times New Roman" w:hAnsi="Times New Roman" w:cs="Times New Roman"/>
                <w:sz w:val="24"/>
                <w:szCs w:val="24"/>
              </w:rPr>
            </w:pPr>
          </w:p>
          <w:p w:rsidR="00EA72C7" w:rsidRDefault="00EA72C7" w:rsidP="003E7002">
            <w:pPr>
              <w:tabs>
                <w:tab w:val="righ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3 502</w:t>
            </w:r>
          </w:p>
        </w:tc>
        <w:tc>
          <w:tcPr>
            <w:tcW w:w="1155" w:type="dxa"/>
          </w:tcPr>
          <w:p w:rsidR="00EA72C7" w:rsidRDefault="00EA72C7" w:rsidP="003E7002">
            <w:pPr>
              <w:tabs>
                <w:tab w:val="right" w:pos="0"/>
              </w:tabs>
              <w:jc w:val="center"/>
              <w:rPr>
                <w:rFonts w:ascii="Times New Roman" w:eastAsia="Times New Roman" w:hAnsi="Times New Roman" w:cs="Times New Roman"/>
                <w:sz w:val="24"/>
                <w:szCs w:val="24"/>
              </w:rPr>
            </w:pPr>
          </w:p>
          <w:p w:rsidR="00EA72C7" w:rsidRDefault="00EA72C7" w:rsidP="003E7002">
            <w:pPr>
              <w:tabs>
                <w:tab w:val="righ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3 502</w:t>
            </w:r>
          </w:p>
        </w:tc>
        <w:tc>
          <w:tcPr>
            <w:tcW w:w="1155" w:type="dxa"/>
          </w:tcPr>
          <w:p w:rsidR="00EA72C7" w:rsidRDefault="00EA72C7" w:rsidP="003E7002">
            <w:pPr>
              <w:tabs>
                <w:tab w:val="right" w:pos="0"/>
              </w:tabs>
              <w:jc w:val="center"/>
              <w:rPr>
                <w:rFonts w:ascii="Times New Roman" w:eastAsia="Times New Roman" w:hAnsi="Times New Roman" w:cs="Times New Roman"/>
                <w:sz w:val="24"/>
                <w:szCs w:val="24"/>
              </w:rPr>
            </w:pPr>
          </w:p>
          <w:p w:rsidR="00EA72C7" w:rsidRDefault="00EA72C7" w:rsidP="003E7002">
            <w:pPr>
              <w:tabs>
                <w:tab w:val="righ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3 502</w:t>
            </w:r>
          </w:p>
        </w:tc>
        <w:tc>
          <w:tcPr>
            <w:tcW w:w="1214" w:type="dxa"/>
          </w:tcPr>
          <w:p w:rsidR="00EA72C7" w:rsidRDefault="00EA72C7" w:rsidP="003E7002">
            <w:pPr>
              <w:tabs>
                <w:tab w:val="right" w:pos="0"/>
              </w:tabs>
              <w:jc w:val="center"/>
              <w:rPr>
                <w:rFonts w:ascii="Times New Roman" w:eastAsia="Times New Roman" w:hAnsi="Times New Roman" w:cs="Times New Roman"/>
                <w:sz w:val="24"/>
                <w:szCs w:val="24"/>
              </w:rPr>
            </w:pPr>
          </w:p>
          <w:p w:rsidR="00EA72C7" w:rsidRDefault="00EA72C7" w:rsidP="003E7002">
            <w:pPr>
              <w:tabs>
                <w:tab w:val="righ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3 502</w:t>
            </w:r>
          </w:p>
        </w:tc>
        <w:tc>
          <w:tcPr>
            <w:tcW w:w="1106" w:type="dxa"/>
          </w:tcPr>
          <w:p w:rsidR="00EA72C7" w:rsidRDefault="00EA72C7" w:rsidP="003E7002">
            <w:pPr>
              <w:tabs>
                <w:tab w:val="right" w:pos="0"/>
              </w:tabs>
              <w:jc w:val="center"/>
              <w:rPr>
                <w:rFonts w:ascii="Times New Roman" w:eastAsia="Times New Roman" w:hAnsi="Times New Roman" w:cs="Times New Roman"/>
                <w:sz w:val="24"/>
                <w:szCs w:val="24"/>
              </w:rPr>
            </w:pPr>
          </w:p>
          <w:p w:rsidR="00EA72C7" w:rsidRDefault="00EA72C7" w:rsidP="003E7002">
            <w:pPr>
              <w:tabs>
                <w:tab w:val="righ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3 502</w:t>
            </w:r>
          </w:p>
        </w:tc>
        <w:tc>
          <w:tcPr>
            <w:tcW w:w="1167" w:type="dxa"/>
          </w:tcPr>
          <w:p w:rsidR="00EA72C7" w:rsidRDefault="00EA72C7" w:rsidP="003E7002">
            <w:pPr>
              <w:tabs>
                <w:tab w:val="right" w:pos="0"/>
              </w:tabs>
              <w:jc w:val="center"/>
              <w:rPr>
                <w:rFonts w:ascii="Times New Roman" w:eastAsia="Times New Roman" w:hAnsi="Times New Roman" w:cs="Times New Roman"/>
                <w:sz w:val="24"/>
                <w:szCs w:val="24"/>
              </w:rPr>
            </w:pPr>
          </w:p>
          <w:p w:rsidR="00EA72C7" w:rsidRDefault="00EA72C7" w:rsidP="003E7002">
            <w:pPr>
              <w:tabs>
                <w:tab w:val="righ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3 502</w:t>
            </w:r>
          </w:p>
        </w:tc>
      </w:tr>
      <w:tr w:rsidR="00EA72C7" w:rsidTr="003E7002">
        <w:tc>
          <w:tcPr>
            <w:tcW w:w="9521" w:type="dxa"/>
            <w:gridSpan w:val="7"/>
            <w:vAlign w:val="center"/>
          </w:tcPr>
          <w:p w:rsidR="00EA72C7" w:rsidRPr="00E84142" w:rsidRDefault="00EA72C7" w:rsidP="003E7002">
            <w:pPr>
              <w:ind w:firstLine="601"/>
              <w:jc w:val="both"/>
              <w:rPr>
                <w:rFonts w:ascii="Times New Roman" w:eastAsia="Times New Roman" w:hAnsi="Times New Roman" w:cs="Times New Roman"/>
                <w:color w:val="FF0000"/>
                <w:sz w:val="24"/>
                <w:szCs w:val="24"/>
              </w:rPr>
            </w:pPr>
            <w:r w:rsidRPr="0081414B">
              <w:rPr>
                <w:rFonts w:ascii="Times New Roman" w:eastAsia="Times New Roman" w:hAnsi="Times New Roman" w:cs="Times New Roman"/>
                <w:sz w:val="24"/>
                <w:szCs w:val="24"/>
              </w:rPr>
              <w:t xml:space="preserve">Примечание – Составлено автором по источнику </w:t>
            </w:r>
            <w:r w:rsidR="005738AE">
              <w:rPr>
                <w:rFonts w:ascii="Times New Roman" w:eastAsia="Times New Roman" w:hAnsi="Times New Roman" w:cs="Times New Roman"/>
                <w:sz w:val="24"/>
                <w:szCs w:val="24"/>
              </w:rPr>
              <w:t>[180</w:t>
            </w:r>
            <w:r w:rsidRPr="0081414B">
              <w:rPr>
                <w:rFonts w:ascii="Times New Roman" w:eastAsia="Times New Roman" w:hAnsi="Times New Roman" w:cs="Times New Roman"/>
                <w:sz w:val="24"/>
                <w:szCs w:val="24"/>
              </w:rPr>
              <w:t>]</w:t>
            </w:r>
          </w:p>
        </w:tc>
      </w:tr>
    </w:tbl>
    <w:p w:rsidR="00EA72C7" w:rsidRDefault="00EA72C7" w:rsidP="00EA72C7">
      <w:pPr>
        <w:tabs>
          <w:tab w:val="right" w:pos="0"/>
        </w:tabs>
        <w:spacing w:after="0" w:line="240" w:lineRule="auto"/>
        <w:ind w:firstLine="709"/>
        <w:jc w:val="both"/>
        <w:rPr>
          <w:rFonts w:ascii="Times New Roman" w:eastAsia="Times New Roman" w:hAnsi="Times New Roman" w:cs="Times New Roman"/>
          <w:sz w:val="28"/>
          <w:szCs w:val="28"/>
        </w:rPr>
      </w:pPr>
    </w:p>
    <w:p w:rsidR="00EA72C7" w:rsidRDefault="00EA72C7" w:rsidP="00EA72C7">
      <w:pPr>
        <w:tabs>
          <w:tab w:val="righ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Необходимо отметить, что даже существующий штат работников ООПТ составляет только 60% от нормы положенности, необходимой для обслуживания природоохранной территории.</w:t>
      </w:r>
    </w:p>
    <w:p w:rsidR="00EA72C7" w:rsidRDefault="00EA72C7" w:rsidP="00EA72C7">
      <w:pPr>
        <w:tabs>
          <w:tab w:val="righ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Незаконная добыча природных ресурсов также является фактором нагрузки на биоразнообразие. Результаты опроса экспертов ГО, отвечающих за сохранение биоразнообразия и ООПТ, об особой роли населения (43%) в вопросах сохранения окружающей среды, объясняется тем, что эффективность их деятельности (KPI) оценивается количеством принятых мер административного взыскания (штрафы, иски) в отношении физических лиц. Это смешает акценты отраслевой политики в сторону выявления и пресечения, а не предупреждения и профилактики нарушений.</w:t>
      </w:r>
    </w:p>
    <w:p w:rsidR="00EA72C7" w:rsidRDefault="00EA72C7" w:rsidP="00EA72C7">
      <w:pPr>
        <w:tabs>
          <w:tab w:val="righ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Рассматривая уровень восприятия и мотивации лиц, принимающих решения по уровням государственного управления, был проведен качественный анализ ключевых факторов влияющих на выбор ответов экспертов в ходе опроса.</w:t>
      </w:r>
    </w:p>
    <w:p w:rsidR="00EA72C7" w:rsidRDefault="00EA72C7" w:rsidP="00EA72C7">
      <w:pPr>
        <w:tabs>
          <w:tab w:val="righ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отметить, что 80% из числа управленцев верхнего порядка регионального уровня, которые уверены в преобладающей роли власти в состоянии окружающей среды, причиной неэффективного управления считают недостаток качества и достоверности имеющейся информации. Этот фактор ведет к снижению эффективности принятия управленческих решений на региональном уровне. Выявилось отсутствие доступа органов местного управления к данным информационных систем по мониторингу состояния природных ресурсов.</w:t>
      </w:r>
    </w:p>
    <w:p w:rsidR="00EA72C7" w:rsidRDefault="00EA72C7" w:rsidP="00EA72C7">
      <w:pPr>
        <w:tabs>
          <w:tab w:val="righ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Исследуя разницу подходов к сохранению окружающей среды между уровнями государственного управления по горизонтали (ЦГО и МИО), установлено, что представители ЦГО (40%) более склонны учитывать роль, населения чем представители МИО (20%).</w:t>
      </w:r>
    </w:p>
    <w:p w:rsidR="00EA72C7" w:rsidRDefault="00EA72C7" w:rsidP="00EA72C7">
      <w:pPr>
        <w:tabs>
          <w:tab w:val="righ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выяснялась принадлежность к какому уровню государственной власти явилась ключевым фактором выбора оценки ценности экосистем.</w:t>
      </w:r>
    </w:p>
    <w:p w:rsidR="00EA72C7" w:rsidRDefault="00EA72C7" w:rsidP="00EA72C7">
      <w:pPr>
        <w:tabs>
          <w:tab w:val="righ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Среди общего числа опрошенных картина выглядит следующим образом:</w:t>
      </w:r>
    </w:p>
    <w:p w:rsidR="00EA72C7" w:rsidRDefault="00EA72C7" w:rsidP="00EA72C7">
      <w:pPr>
        <w:tabs>
          <w:tab w:val="righ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 место – экологическая ценность 81,1%;</w:t>
      </w:r>
    </w:p>
    <w:p w:rsidR="00EA72C7" w:rsidRDefault="00EA72C7" w:rsidP="00EA72C7">
      <w:pPr>
        <w:tabs>
          <w:tab w:val="righ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2 место – экономическая ценность 28,6%;</w:t>
      </w:r>
    </w:p>
    <w:p w:rsidR="00EA72C7" w:rsidRDefault="00EA72C7" w:rsidP="00EA72C7">
      <w:pPr>
        <w:tabs>
          <w:tab w:val="righ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 место – социальная ценность 28,9%;</w:t>
      </w:r>
    </w:p>
    <w:p w:rsidR="00EA72C7" w:rsidRDefault="00EA72C7" w:rsidP="00EA72C7">
      <w:pPr>
        <w:tabs>
          <w:tab w:val="righ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4 место – научная ценность 40,9%.</w:t>
      </w:r>
    </w:p>
    <w:p w:rsidR="00EA72C7" w:rsidRDefault="00EA72C7" w:rsidP="00EA72C7">
      <w:pPr>
        <w:tabs>
          <w:tab w:val="righ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Рассматривая данную оценку с учетом предыдущих результатов по уровню осведомленности респондентов понятий об экосистемных услугах и подходов нужно отметить, что наиболее подготовленные на второе место после экологической ценности ставят социальную ценность.</w:t>
      </w:r>
    </w:p>
    <w:p w:rsidR="00EA72C7" w:rsidRDefault="00EA72C7" w:rsidP="00EA72C7">
      <w:pPr>
        <w:tabs>
          <w:tab w:val="righ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того, некоторыми респондентами даны такие дополнительные категории ценности здоровой экосистемы как биологическая, политическая, технологическая, культурная, просветительская и общественная.</w:t>
      </w:r>
    </w:p>
    <w:p w:rsidR="00EA72C7" w:rsidRDefault="00EA72C7" w:rsidP="00EA72C7">
      <w:pPr>
        <w:tabs>
          <w:tab w:val="righ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Отраслевой срез показал, что значительная роль в получении минимальной оценки экологической ценности экосистемных услуг принадлежит органам геологии (31,5 раз больше). Вместе с тем, представители отрасли способствовали максимальной оценке экономической ценности экосистемных услуг (15,7 раза). </w:t>
      </w:r>
      <w:r>
        <w:rPr>
          <w:rFonts w:ascii="Times New Roman" w:eastAsia="Times New Roman" w:hAnsi="Times New Roman" w:cs="Times New Roman"/>
          <w:sz w:val="28"/>
          <w:szCs w:val="28"/>
        </w:rPr>
        <w:lastRenderedPageBreak/>
        <w:t>Это объясняется тем, что орган управления в сфере геологии и недропользования является исключительно получателем экосистемных услуг и не заботится об их сохранении.</w:t>
      </w:r>
    </w:p>
    <w:p w:rsidR="00EA72C7" w:rsidRDefault="00EA72C7" w:rsidP="00EA72C7">
      <w:pPr>
        <w:tabs>
          <w:tab w:val="righ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Факторный анализ по вертикальному срезу оценки ценности экосистемных услуг достаточно четко показал, что МИО в значительной степени заинтересованы в приоритете социальной и научной ценности экосистемных услуг, в то время как ключевым фактором их низкой оценки является принадлежность респондентов к ЦГО.</w:t>
      </w:r>
    </w:p>
    <w:p w:rsidR="00EA72C7" w:rsidRDefault="00EA72C7" w:rsidP="00EA72C7">
      <w:pPr>
        <w:tabs>
          <w:tab w:val="righ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наш взгляд, здесь наблюдается наличие у МИО местных знаний, накопленных в течение жизни, которые способствуют формированию социальных потребностей экосистем.</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Соответственно, одной из мер, способствующих широкому внедрению экосистемного подхода должно являться распространение и развитие местных знаний, а также их включение в разработку государственных стратегий и программ направленных на сохранение экосистем.</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Важным аспектом будет также являться развитие внутреннего туризма в Казахстане, посредством которого все большее количество людей осознают важность сохранения экосистем родной страны.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Отличие подходов к вопросам сохранения окружающей среды можно объяснить, тем, что на верхнем уровне государственного управления государственная политика формируется в отрыве от нижнего уровня, где она практически исполняется.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Тот факт, что около 80% опрошенных, представителей МИО, путают термин «экосистемная услуга» с термином «государственная услуга», а также не видят взаимосвязи между экосистемными услугами и экосистемным подходом свидетельствует о слабом знании правовой и понятийной базы и обуславливает практику принятия решений без ЭСП. Здесь основная причина лежит в передаче значительного количества функций от ЦГО к МИО, проведенной в 2014 году, которая должна была сопровождаться повышением уровня знаний основ экологического законодательства.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Анализ полученных результатов также показал, что в ходе передачи функций МИО не были предприняты меры по набору квалифицированных кадров и соразмерному выделению финансовых средств на реализацию вновь возложенных обязанностей.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Аналогичная тенденция прослеживается и на этапе передачи полномочий МИО областей к МИО районов, где наличие собственного бюджета на природоохранные цели вообще не предусмотрено.</w:t>
      </w:r>
    </w:p>
    <w:p w:rsidR="00EA72C7" w:rsidRDefault="00EA72C7" w:rsidP="00EA72C7">
      <w:pPr>
        <w:spacing w:after="0" w:line="240" w:lineRule="auto"/>
        <w:ind w:firstLine="709"/>
        <w:jc w:val="both"/>
        <w:rPr>
          <w:rFonts w:ascii="Times New Roman" w:eastAsia="Times New Roman" w:hAnsi="Times New Roman" w:cs="Times New Roman"/>
          <w:color w:val="FF0000"/>
          <w:sz w:val="28"/>
          <w:szCs w:val="28"/>
          <w:highlight w:val="yellow"/>
        </w:rPr>
      </w:pPr>
      <w:r>
        <w:rPr>
          <w:rFonts w:ascii="Times New Roman" w:eastAsia="Times New Roman" w:hAnsi="Times New Roman" w:cs="Times New Roman"/>
          <w:sz w:val="28"/>
          <w:szCs w:val="28"/>
        </w:rPr>
        <w:t xml:space="preserve">Итоги детального анализа ответов респондентов по основным критериям «зеленой экономики» показал хорошее понимание важности учета природного капитала в интересах экономического развития страны, что, по всей видимости, вызвано наличием широко освещаемой в СМИ Программы по переходу страны к «зеленой экономике» </w:t>
      </w:r>
      <w:r w:rsidR="005738AE">
        <w:rPr>
          <w:rFonts w:ascii="Times New Roman" w:eastAsia="Times New Roman" w:hAnsi="Times New Roman" w:cs="Times New Roman"/>
          <w:sz w:val="28"/>
          <w:szCs w:val="28"/>
        </w:rPr>
        <w:t>[181</w:t>
      </w:r>
      <w:r>
        <w:rPr>
          <w:rFonts w:ascii="Times New Roman" w:eastAsia="Times New Roman" w:hAnsi="Times New Roman" w:cs="Times New Roman"/>
          <w:sz w:val="28"/>
          <w:szCs w:val="28"/>
        </w:rPr>
        <w:t xml:space="preserve">].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Поддается объяснению и относительно большое количество затруднившихся ответить представителей государственных органов геологии и </w:t>
      </w:r>
      <w:r>
        <w:rPr>
          <w:rFonts w:ascii="Times New Roman" w:eastAsia="Times New Roman" w:hAnsi="Times New Roman" w:cs="Times New Roman"/>
          <w:sz w:val="28"/>
          <w:szCs w:val="28"/>
        </w:rPr>
        <w:lastRenderedPageBreak/>
        <w:t>недропользования, которые являются наиболее уязвимыми в условиях перехода к учету природного капитала.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общем фоне, когда 14% представителей ЦГО и МИО считают, что меры по инвестициям в природный капитал не являются экономически эффективными, результаты 23% ответов респондентов ЦГО в области экологической политики по аналогичному параметру выглядят неоднозначно. Это подтверждает слабую подготовку и мотивированность уполномоченного органа в вопросах реализации новой государственной экологической политики.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основании обработки результатов исследования проведена следующая оценка влияния косвенных факторов на землепользование, лесоводство, расширение природоохранных территорий, добычу природных ресурсов, загрязнение (таблица 13).</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13 – Оценка влияния косвенных факторов на природоохранную деятельность</w:t>
      </w:r>
    </w:p>
    <w:p w:rsidR="00EA72C7" w:rsidRDefault="00EA72C7" w:rsidP="00EA72C7">
      <w:pPr>
        <w:spacing w:after="0" w:line="240" w:lineRule="auto"/>
        <w:jc w:val="both"/>
        <w:rPr>
          <w:rFonts w:ascii="Times New Roman" w:eastAsia="Times New Roman" w:hAnsi="Times New Roman" w:cs="Times New Roman"/>
          <w:sz w:val="16"/>
          <w:szCs w:val="16"/>
        </w:rPr>
      </w:pPr>
    </w:p>
    <w:tbl>
      <w:tblPr>
        <w:tblW w:w="96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9"/>
        <w:gridCol w:w="1424"/>
        <w:gridCol w:w="1273"/>
        <w:gridCol w:w="1484"/>
        <w:gridCol w:w="1064"/>
        <w:gridCol w:w="1372"/>
      </w:tblGrid>
      <w:tr w:rsidR="00EA72C7" w:rsidTr="003E7002">
        <w:trPr>
          <w:cantSplit/>
          <w:trHeight w:val="672"/>
        </w:trPr>
        <w:tc>
          <w:tcPr>
            <w:tcW w:w="3000" w:type="dxa"/>
            <w:shd w:val="clear" w:color="auto" w:fill="auto"/>
            <w:vAlign w:val="center"/>
          </w:tcPr>
          <w:p w:rsidR="00EA72C7" w:rsidRDefault="00EA72C7" w:rsidP="003E7002">
            <w:pPr>
              <w:jc w:val="center"/>
              <w:rPr>
                <w:rFonts w:ascii="Times New Roman" w:eastAsia="Times New Roman" w:hAnsi="Times New Roman" w:cs="Times New Roman"/>
                <w:b/>
                <w:sz w:val="24"/>
                <w:szCs w:val="24"/>
              </w:rPr>
            </w:pPr>
            <w:r>
              <w:rPr>
                <w:rFonts w:ascii="Times New Roman" w:eastAsia="Times New Roman" w:hAnsi="Times New Roman" w:cs="Times New Roman"/>
                <w:sz w:val="28"/>
                <w:szCs w:val="28"/>
              </w:rPr>
              <w:t>Косвенных факторов</w:t>
            </w:r>
          </w:p>
        </w:tc>
        <w:tc>
          <w:tcPr>
            <w:tcW w:w="1424" w:type="dxa"/>
            <w:tcBorders>
              <w:bottom w:val="single" w:sz="4" w:space="0" w:color="000000"/>
            </w:tcBorders>
            <w:shd w:val="clear" w:color="auto" w:fill="auto"/>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Землеполь зование</w:t>
            </w:r>
          </w:p>
        </w:tc>
        <w:tc>
          <w:tcPr>
            <w:tcW w:w="1273" w:type="dxa"/>
            <w:tcBorders>
              <w:bottom w:val="single" w:sz="4" w:space="0" w:color="000000"/>
            </w:tcBorders>
            <w:shd w:val="clear" w:color="auto" w:fill="auto"/>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Водополь зование</w:t>
            </w:r>
          </w:p>
        </w:tc>
        <w:tc>
          <w:tcPr>
            <w:tcW w:w="1484" w:type="dxa"/>
            <w:tcBorders>
              <w:bottom w:val="single" w:sz="4" w:space="0" w:color="000000"/>
            </w:tcBorders>
            <w:shd w:val="clear" w:color="auto" w:fill="auto"/>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Недрополь зование</w:t>
            </w:r>
          </w:p>
        </w:tc>
        <w:tc>
          <w:tcPr>
            <w:tcW w:w="1064" w:type="dxa"/>
            <w:tcBorders>
              <w:bottom w:val="single" w:sz="4" w:space="0" w:color="000000"/>
            </w:tcBorders>
            <w:shd w:val="clear" w:color="auto" w:fill="auto"/>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Загряз нение</w:t>
            </w:r>
          </w:p>
        </w:tc>
        <w:tc>
          <w:tcPr>
            <w:tcW w:w="1372" w:type="dxa"/>
            <w:tcBorders>
              <w:bottom w:val="single" w:sz="4" w:space="0" w:color="000000"/>
            </w:tcBorders>
            <w:shd w:val="clear" w:color="auto" w:fill="auto"/>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Добыча природных ресурсов</w:t>
            </w:r>
          </w:p>
        </w:tc>
      </w:tr>
      <w:tr w:rsidR="00EA72C7" w:rsidTr="003E7002">
        <w:trPr>
          <w:trHeight w:val="284"/>
        </w:trPr>
        <w:tc>
          <w:tcPr>
            <w:tcW w:w="3000" w:type="dxa"/>
            <w:shd w:val="clear" w:color="auto" w:fill="auto"/>
          </w:tcPr>
          <w:p w:rsidR="00EA72C7" w:rsidRDefault="00EA72C7" w:rsidP="003E700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Институциональные</w:t>
            </w:r>
          </w:p>
        </w:tc>
        <w:tc>
          <w:tcPr>
            <w:tcW w:w="1424" w:type="dxa"/>
            <w:tcBorders>
              <w:bottom w:val="single" w:sz="4" w:space="0" w:color="000000"/>
            </w:tcBorders>
            <w:shd w:val="clear" w:color="auto" w:fill="auto"/>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1273" w:type="dxa"/>
            <w:tcBorders>
              <w:bottom w:val="single" w:sz="4" w:space="0" w:color="000000"/>
            </w:tcBorders>
            <w:shd w:val="clear" w:color="auto" w:fill="auto"/>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1484" w:type="dxa"/>
            <w:tcBorders>
              <w:bottom w:val="single" w:sz="4" w:space="0" w:color="000000"/>
            </w:tcBorders>
            <w:shd w:val="clear" w:color="auto" w:fill="auto"/>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1064" w:type="dxa"/>
            <w:tcBorders>
              <w:bottom w:val="single" w:sz="4" w:space="0" w:color="000000"/>
            </w:tcBorders>
            <w:shd w:val="clear" w:color="auto" w:fill="auto"/>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1372" w:type="dxa"/>
            <w:tcBorders>
              <w:bottom w:val="single" w:sz="4" w:space="0" w:color="000000"/>
            </w:tcBorders>
            <w:shd w:val="clear" w:color="auto" w:fill="auto"/>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r>
      <w:tr w:rsidR="00EA72C7" w:rsidTr="003E7002">
        <w:trPr>
          <w:trHeight w:val="284"/>
        </w:trPr>
        <w:tc>
          <w:tcPr>
            <w:tcW w:w="3000" w:type="dxa"/>
            <w:shd w:val="clear" w:color="auto" w:fill="auto"/>
          </w:tcPr>
          <w:p w:rsidR="00EA72C7" w:rsidRDefault="00EA72C7" w:rsidP="003E700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Коммуникативные</w:t>
            </w:r>
          </w:p>
        </w:tc>
        <w:tc>
          <w:tcPr>
            <w:tcW w:w="1424" w:type="dxa"/>
            <w:tcBorders>
              <w:bottom w:val="single" w:sz="4" w:space="0" w:color="000000"/>
            </w:tcBorders>
            <w:shd w:val="clear" w:color="auto" w:fill="auto"/>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1273" w:type="dxa"/>
            <w:tcBorders>
              <w:bottom w:val="single" w:sz="4" w:space="0" w:color="000000"/>
            </w:tcBorders>
            <w:shd w:val="clear" w:color="auto" w:fill="auto"/>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1484" w:type="dxa"/>
            <w:tcBorders>
              <w:bottom w:val="single" w:sz="4" w:space="0" w:color="000000"/>
            </w:tcBorders>
            <w:shd w:val="clear" w:color="auto" w:fill="auto"/>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1064" w:type="dxa"/>
            <w:tcBorders>
              <w:bottom w:val="single" w:sz="4" w:space="0" w:color="000000"/>
            </w:tcBorders>
            <w:shd w:val="clear" w:color="auto" w:fill="auto"/>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1372" w:type="dxa"/>
            <w:tcBorders>
              <w:bottom w:val="single" w:sz="4" w:space="0" w:color="000000"/>
            </w:tcBorders>
            <w:shd w:val="clear" w:color="auto" w:fill="auto"/>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r>
      <w:tr w:rsidR="00EA72C7" w:rsidTr="003E7002">
        <w:trPr>
          <w:trHeight w:val="284"/>
        </w:trPr>
        <w:tc>
          <w:tcPr>
            <w:tcW w:w="3000" w:type="dxa"/>
            <w:shd w:val="clear" w:color="auto" w:fill="auto"/>
          </w:tcPr>
          <w:p w:rsidR="00EA72C7" w:rsidRDefault="00EA72C7" w:rsidP="003E700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Мотивационные</w:t>
            </w:r>
          </w:p>
        </w:tc>
        <w:tc>
          <w:tcPr>
            <w:tcW w:w="1424" w:type="dxa"/>
            <w:tcBorders>
              <w:bottom w:val="single" w:sz="4" w:space="0" w:color="000000"/>
            </w:tcBorders>
            <w:shd w:val="clear" w:color="auto" w:fill="auto"/>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1273" w:type="dxa"/>
            <w:tcBorders>
              <w:bottom w:val="single" w:sz="4" w:space="0" w:color="000000"/>
            </w:tcBorders>
            <w:shd w:val="clear" w:color="auto" w:fill="auto"/>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1484" w:type="dxa"/>
            <w:tcBorders>
              <w:bottom w:val="single" w:sz="4" w:space="0" w:color="000000"/>
            </w:tcBorders>
            <w:shd w:val="clear" w:color="auto" w:fill="auto"/>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1064" w:type="dxa"/>
            <w:tcBorders>
              <w:bottom w:val="single" w:sz="4" w:space="0" w:color="000000"/>
            </w:tcBorders>
            <w:shd w:val="clear" w:color="auto" w:fill="auto"/>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1372" w:type="dxa"/>
            <w:tcBorders>
              <w:bottom w:val="single" w:sz="4" w:space="0" w:color="000000"/>
            </w:tcBorders>
            <w:shd w:val="clear" w:color="auto" w:fill="auto"/>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r>
      <w:tr w:rsidR="00EA72C7" w:rsidTr="003E7002">
        <w:trPr>
          <w:trHeight w:val="284"/>
        </w:trPr>
        <w:tc>
          <w:tcPr>
            <w:tcW w:w="3000" w:type="dxa"/>
            <w:shd w:val="clear" w:color="auto" w:fill="auto"/>
          </w:tcPr>
          <w:p w:rsidR="00EA72C7" w:rsidRDefault="00EA72C7" w:rsidP="003E700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Базовые знания</w:t>
            </w:r>
          </w:p>
        </w:tc>
        <w:tc>
          <w:tcPr>
            <w:tcW w:w="1424" w:type="dxa"/>
            <w:tcBorders>
              <w:bottom w:val="single" w:sz="4" w:space="0" w:color="000000"/>
            </w:tcBorders>
            <w:shd w:val="clear" w:color="auto" w:fill="auto"/>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1273" w:type="dxa"/>
            <w:shd w:val="clear" w:color="auto" w:fill="auto"/>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1484" w:type="dxa"/>
            <w:shd w:val="clear" w:color="auto" w:fill="auto"/>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1064" w:type="dxa"/>
            <w:tcBorders>
              <w:bottom w:val="single" w:sz="4" w:space="0" w:color="000000"/>
            </w:tcBorders>
            <w:shd w:val="clear" w:color="auto" w:fill="auto"/>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1372" w:type="dxa"/>
            <w:shd w:val="clear" w:color="auto" w:fill="auto"/>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r>
      <w:tr w:rsidR="00EA72C7" w:rsidTr="003E7002">
        <w:trPr>
          <w:trHeight w:val="854"/>
        </w:trPr>
        <w:tc>
          <w:tcPr>
            <w:tcW w:w="9617" w:type="dxa"/>
            <w:gridSpan w:val="6"/>
            <w:shd w:val="clear" w:color="auto" w:fill="auto"/>
          </w:tcPr>
          <w:p w:rsidR="00EA72C7" w:rsidRDefault="00EA72C7" w:rsidP="003E7002">
            <w:pPr>
              <w:ind w:firstLine="601"/>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 отрицательное;</w:t>
            </w:r>
          </w:p>
          <w:p w:rsidR="00EA72C7" w:rsidRDefault="00EA72C7" w:rsidP="003E7002">
            <w:pPr>
              <w:tabs>
                <w:tab w:val="left" w:pos="1540"/>
                <w:tab w:val="center" w:pos="4700"/>
                <w:tab w:val="left" w:pos="6010"/>
              </w:tabs>
              <w:ind w:firstLine="601"/>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 нейтральное;</w:t>
            </w:r>
          </w:p>
          <w:p w:rsidR="00EA72C7" w:rsidRDefault="00EA72C7" w:rsidP="003E7002">
            <w:pPr>
              <w:tabs>
                <w:tab w:val="center" w:pos="4700"/>
                <w:tab w:val="left" w:pos="6010"/>
              </w:tabs>
              <w:ind w:firstLine="601"/>
              <w:rPr>
                <w:rFonts w:ascii="Times New Roman" w:eastAsia="Times New Roman" w:hAnsi="Times New Roman" w:cs="Times New Roman"/>
                <w:sz w:val="24"/>
                <w:szCs w:val="24"/>
              </w:rPr>
            </w:pPr>
            <w:r>
              <w:rPr>
                <w:rFonts w:ascii="Times New Roman" w:eastAsia="Times New Roman" w:hAnsi="Times New Roman" w:cs="Times New Roman"/>
                <w:sz w:val="24"/>
                <w:szCs w:val="24"/>
              </w:rPr>
              <w:t>˅ – положительное</w:t>
            </w:r>
          </w:p>
          <w:p w:rsidR="00EA72C7" w:rsidRDefault="00EA72C7" w:rsidP="003E7002">
            <w:pPr>
              <w:tabs>
                <w:tab w:val="center" w:pos="4700"/>
                <w:tab w:val="left" w:pos="6010"/>
              </w:tabs>
              <w:ind w:firstLine="601"/>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автором</w:t>
            </w:r>
          </w:p>
        </w:tc>
      </w:tr>
    </w:tbl>
    <w:p w:rsidR="00EA72C7" w:rsidRDefault="00EA72C7" w:rsidP="00EA72C7">
      <w:pPr>
        <w:shd w:val="clear" w:color="auto" w:fill="FFFFFF"/>
        <w:spacing w:after="0" w:line="240" w:lineRule="auto"/>
        <w:jc w:val="both"/>
        <w:rPr>
          <w:rFonts w:ascii="Times New Roman" w:eastAsia="Times New Roman" w:hAnsi="Times New Roman" w:cs="Times New Roman"/>
          <w:sz w:val="28"/>
          <w:szCs w:val="28"/>
        </w:rPr>
      </w:pP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Говоря о результатах, можно констатировать – наша оценка показала важность полученных данных опроса в контексте нынешнего положения дел в системе государственного управления природными ресурсами в РК.</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законодательства о животном мире, например, классифицирует объекты животного мира с точки зрения полезности использования, поддерживая процессы промыслового изъятия.</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свою очередь, рассмотрение ценности природных благ через призму экосистемного подхода с использованием структуры экосистемных услуг, позволит актуализировать понимание эстетической, духовной, оздоровительной и культурной ценности.</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Процесс управления природными ресурсами при наличии правильных коммуникаций приведет к открытию более социально-приемлемых вариантов управления, которые уменьшают конфликты, усиливают общественную </w:t>
      </w:r>
      <w:r>
        <w:rPr>
          <w:rFonts w:ascii="Times New Roman" w:eastAsia="Times New Roman" w:hAnsi="Times New Roman" w:cs="Times New Roman"/>
          <w:sz w:val="28"/>
          <w:szCs w:val="28"/>
        </w:rPr>
        <w:lastRenderedPageBreak/>
        <w:t>поддержку управленческих решений и, в конечном итоге, усиливают защиту экосистем.</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Препятствия на пути внедрения экосистемного подхода обусловлены, на наш взгляд, следующими факторами:</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отсутствие стратегического экологического видения в государственной политике;</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индикаторы государственных отраслевых программ не согласованы и зачастую противоречат целям устойчивого развития;</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отсутствие механизма эффективного взаимодействия органов государственного управления природными ресурсами;</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отсутствие доступной Единой информационной системы, где формализованы все параметры состояния природных ресурсов;</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отсутствие преемственности между уровнями государственного управления;</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слабое использование потенциала местных знаний в процессе государственного планирования и принятия решений;</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отсутствие внешних стейкхолдеров, которые будут являться как источником, так и получателем экологической информации.</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Выводы по разделу 2</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Исследование деятельности государственных институтов в сфере управления природными ресурсами и охраны окружающей среды выявило ряд системных проблем, среди которых высокую значимость имеет экстенсивное наращивание с/х производства, которое неизбежно увеличивает и без того высокие экологические риски в отрасли, наряду с природно-климатическими.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Автоматизация производства, внедрение достижений науки в АПК лишь компенсировали значительное сокращение трудовых ресурсов, но не способствовали рациональному природопользованию. Ориентация на сокращение сроков выращивания сельскохозяйственной продукции привела к тому, что в АПК при разработке и внедрении новых технологий повышения продуктивности слабо учитывается растущее негативное воздействие на природную среду.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Несмотря на то, что экологическое законодательство РК за последние годы существенно обновилось с точки зрения качества и глубины проработки норм, в нем отсутствуют такие базовые понятия и положения, как «оценка экосистемных услуг»; «метод оценки экосистемных услуг» (включая состав методов, критериев оценки, экоиндикаторов); «экологический проект»; «экологически чистые технологии»; «информационное обеспечение рационального природопользования и охраны окружающей среды», что сдерживает внедрение в практическую деятельность госорганов и иных субъектов экономической деятельности принципов экологического менеджмента и экономической оценки экосистемных услуг.</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Исследование системы государственного управления природными ресурсами в Республике Казахстан, в ходе которого были детально рассмотрены </w:t>
      </w:r>
      <w:r>
        <w:rPr>
          <w:rFonts w:ascii="Times New Roman" w:eastAsia="Times New Roman" w:hAnsi="Times New Roman" w:cs="Times New Roman"/>
          <w:sz w:val="28"/>
          <w:szCs w:val="28"/>
        </w:rPr>
        <w:lastRenderedPageBreak/>
        <w:t>имеющиеся в стране институты государственного управления природными ресурсами и инструменты, посредством которых реализуется государственная политика в данной сфере, продемонстрировало отсутствие межведомственной коммуникации и комплексного подхода в улучшении экологии Казахстана. Природоохранное законодательство рассматривается больше с позиции узковедомственных интересов, без учета интегрированного подхода по сохранению биоразнообразия.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Экономическая оценка экосистемных услуг, предпринятая автором, показала также, что для обоснования принятия эффективных управленческих решений в городском планировании г. Нур-Султан, в ходе которой была применена комбинированная стратегия методов исследования, ежегодные затраты, связанные с созданием искусственных «островков природы» посредством расширения площадей зеленых насаждений в 20 раз меньше потерь, связанных с застройкой территории Малого Талдыколя и как следствие утратой естественного природного ландшафта.</w:t>
      </w:r>
    </w:p>
    <w:p w:rsidR="00EA72C7" w:rsidRDefault="00EA72C7" w:rsidP="00EA72C7">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 результате, первая исследовательская гипотеза нашла свое подтверждение – доказано,</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что учет оценки экосистемных услуг в городском планировании позволит повысить экономическую эффективность принимаемых управленческих решений.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результатам общей экономической оценки водно-болотных угодий Талдыкольской системы озер (Категория 1: группа озер Малый Талдыколь + Категория 2: оз. Большой Талдыколь, оз. Ульмес) (Приложение А) было установлено, что экономическая ценность снабжающих услуг группы озер М. Талдыколь (1 категория) составляет 1 295 296 тыс. тенге; регулирующих услуг - 13 452 936 тыс. тенге; услуг среды обитания - 2 386 321 тыс. тенге; культурных услуг - 3 256 505 тыс. тенге; в совокупности общая экономическая ценность группы озер М. Талдыколь составляет 20 391 057 тыс. тенге.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Выявленные в ходе исследования проблемы и вызовы способствуют внедрению системы экологического менеджмента в систему городского управления и росту значимости «зеленой экономики». В связи с этим, требуется разработка соответствующих мер для улучшения экологических условий развития столицы.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Нашла подтверждение и вторая гипотеза исследования – в настоящее время существуют препятствия на пути внедрения экосистемного подхода в государственном управлении. В числе таких препятствий: отсутствие стратегического экологического видения в государственной политике; индикаторы государственных отраслевых программ не согласованы и зачастую противоречат целям устойчивого развития; отсутствие механизма эффективного взаимодействия органов государственного управления природными ресурсами; отсутствие доступной Единой информационной системы, где формализованы все параметры состояния природных ресурсов; отсутствие преемственности между уровнями государственного управления; слабое использование потенциала местных знаний в процессе государственного планирования и </w:t>
      </w:r>
      <w:r>
        <w:rPr>
          <w:rFonts w:ascii="Times New Roman" w:eastAsia="Times New Roman" w:hAnsi="Times New Roman" w:cs="Times New Roman"/>
          <w:sz w:val="28"/>
          <w:szCs w:val="28"/>
        </w:rPr>
        <w:lastRenderedPageBreak/>
        <w:t>принятия решений; отсутствие внешних стейкхолдеров, которые будут являться как источником, так и получателем экологической информации.</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мнению автора, необходима дальнейшая институциализация механизмов взаимодействия для взаимного принятия решений по управлению природными ресурсами с привлечением всех заинтересованных субъектов.</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Вместе с тем, необходимо положительно оценить вклад в развитие экосистемного подхода по децентрализации полномочий государственных органов по управлению природными ресурсами и продолжить эту тенденцию приобщая неправительственные организации и общественность к процессу принятия решений.</w:t>
      </w:r>
    </w:p>
    <w:p w:rsidR="00EA72C7" w:rsidRDefault="00EA72C7" w:rsidP="00EA72C7">
      <w:pPr>
        <w:pStyle w:val="1"/>
        <w:spacing w:before="0" w:line="240" w:lineRule="auto"/>
        <w:ind w:firstLine="709"/>
        <w:jc w:val="both"/>
        <w:rPr>
          <w:rFonts w:ascii="Times New Roman" w:eastAsia="Times New Roman" w:hAnsi="Times New Roman" w:cs="Times New Roman"/>
          <w:color w:val="000000"/>
        </w:rPr>
      </w:pPr>
      <w:bookmarkStart w:id="20" w:name="_heading=h.3j2qqm3" w:colFirst="0" w:colLast="0"/>
      <w:bookmarkEnd w:id="20"/>
      <w:r>
        <w:rPr>
          <w:rFonts w:ascii="Times New Roman" w:eastAsia="Times New Roman" w:hAnsi="Times New Roman" w:cs="Times New Roman"/>
          <w:color w:val="000000"/>
        </w:rPr>
        <w:t xml:space="preserve">3 НАПРАВЛЕНИЯ РАЗВИТИЯ ЭКОСИСТЕМНОГО ПОДХОДА ПРИ ПРИНЯТИИ РЕШЕНИЙ В СИСТЕМЕ ГОСУДАРСТВЕННОГО УПРАВЛЕНИЯ </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pStyle w:val="2"/>
        <w:spacing w:before="0" w:line="240" w:lineRule="auto"/>
        <w:ind w:firstLine="709"/>
        <w:jc w:val="both"/>
        <w:rPr>
          <w:rFonts w:ascii="Times New Roman" w:eastAsia="Times New Roman" w:hAnsi="Times New Roman" w:cs="Times New Roman"/>
          <w:color w:val="000000"/>
          <w:sz w:val="28"/>
          <w:szCs w:val="28"/>
        </w:rPr>
      </w:pPr>
      <w:bookmarkStart w:id="21" w:name="_heading=h.1y810tw" w:colFirst="0" w:colLast="0"/>
      <w:bookmarkEnd w:id="21"/>
      <w:r>
        <w:rPr>
          <w:rFonts w:ascii="Times New Roman" w:eastAsia="Times New Roman" w:hAnsi="Times New Roman" w:cs="Times New Roman"/>
          <w:color w:val="000000"/>
          <w:sz w:val="28"/>
          <w:szCs w:val="28"/>
        </w:rPr>
        <w:t>3.1 Вовлечение заинтересованных сторон в принятие управленческих решений (сase study)</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 настоящего исследования в 2020 году выступил инициатором проекта «Молодежная инициатива по сохранению озера Малый Талдыколь» (Приложение Ж).</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из мотиваторов данного проекта являлся проект TERESA «Управление городскими водными ресурсами: Немецкий опыт для казахстанских городов», где отмечается: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значительное увеличение спроса на воду в связи с ожидаемым высоким ростом численности населения города (с 1,1 м в 2017 г. до 2 м 2050 г.) и непрерывным экономическим развитием;</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повышенный риск наводнений с высоким пиковым расходом воды, несмотря на имеющиеся превентивные меры;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необходимость интегрированного управления имеющимися водными ресурсами на основе современных, умных подходов для соответствия современному градостроительному развитию города;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ожидания значительного воздействия изменения климата на водные ресурсы, ведущего к дальнейшей нехватке воды и отсутствию безопасности в области водных ресурсов.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Основной </w:t>
      </w:r>
      <w:r>
        <w:rPr>
          <w:rFonts w:ascii="Times New Roman" w:eastAsia="Times New Roman" w:hAnsi="Times New Roman" w:cs="Times New Roman"/>
          <w:i/>
          <w:sz w:val="28"/>
          <w:szCs w:val="28"/>
        </w:rPr>
        <w:t>целью проекта</w:t>
      </w:r>
      <w:r>
        <w:rPr>
          <w:rFonts w:ascii="Times New Roman" w:eastAsia="Times New Roman" w:hAnsi="Times New Roman" w:cs="Times New Roman"/>
          <w:sz w:val="28"/>
          <w:szCs w:val="28"/>
        </w:rPr>
        <w:t xml:space="preserve"> является актуализация внимания общественности к проблеме уничтожения системы озер Малый Талдыколь, расположенном в черте столицы Казахстана; формирования экологической культуры населения и развития познания об окружающем биоразнообразии.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Основной индикатор достижения цели проекта (качественные изменения):</w:t>
      </w:r>
    </w:p>
    <w:p w:rsidR="00EA72C7" w:rsidRDefault="00EA72C7" w:rsidP="00EA72C7">
      <w:pPr>
        <w:numPr>
          <w:ilvl w:val="0"/>
          <w:numId w:val="5"/>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информационного поля по улучшению экологической культуры, мотивация на грамотные действия по решению экологических проблем;</w:t>
      </w:r>
    </w:p>
    <w:p w:rsidR="00EA72C7" w:rsidRDefault="00EA72C7" w:rsidP="00EA72C7">
      <w:pPr>
        <w:numPr>
          <w:ilvl w:val="0"/>
          <w:numId w:val="5"/>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системы представлений, ценностей, экологических ориентаций в обществе;</w:t>
      </w:r>
    </w:p>
    <w:p w:rsidR="00EA72C7" w:rsidRDefault="00EA72C7" w:rsidP="00EA72C7">
      <w:pPr>
        <w:numPr>
          <w:ilvl w:val="0"/>
          <w:numId w:val="5"/>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формирование бережного, гуманного отношения к окружающей среде и чувства ответственности за свои поступки; экологического восприятия и осознания важности общественной активности;</w:t>
      </w:r>
    </w:p>
    <w:p w:rsidR="00EA72C7" w:rsidRDefault="00EA72C7" w:rsidP="00EA72C7">
      <w:pPr>
        <w:numPr>
          <w:ilvl w:val="0"/>
          <w:numId w:val="5"/>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вовлеченности молодежи в решения социального-экономических вопросов города Нур-Султан;</w:t>
      </w:r>
    </w:p>
    <w:p w:rsidR="00EA72C7" w:rsidRDefault="00EA72C7" w:rsidP="00EA72C7">
      <w:pPr>
        <w:numPr>
          <w:ilvl w:val="0"/>
          <w:numId w:val="5"/>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проведение ежегодного экологического фестиваля на озере Малый Талдыколь.</w:t>
      </w:r>
    </w:p>
    <w:p w:rsidR="00EA72C7" w:rsidRDefault="00EA72C7" w:rsidP="00EA72C7">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Объект проектирования – </w:t>
      </w:r>
      <w:r>
        <w:rPr>
          <w:rFonts w:ascii="Times New Roman" w:eastAsia="Times New Roman" w:hAnsi="Times New Roman" w:cs="Times New Roman"/>
          <w:sz w:val="28"/>
          <w:szCs w:val="28"/>
        </w:rPr>
        <w:t>озеро Малый Талдыколь.</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Сведения по объекту проектирования представлены в таблице 14.</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14 – Сведения по объекту проектирования</w:t>
      </w:r>
    </w:p>
    <w:p w:rsidR="00EA72C7" w:rsidRDefault="00EA72C7" w:rsidP="00EA72C7">
      <w:pPr>
        <w:spacing w:after="0" w:line="240" w:lineRule="auto"/>
        <w:jc w:val="right"/>
        <w:rPr>
          <w:rFonts w:ascii="Times New Roman" w:eastAsia="Times New Roman" w:hAnsi="Times New Roman" w:cs="Times New Roman"/>
          <w:b/>
          <w:sz w:val="16"/>
          <w:szCs w:val="16"/>
        </w:rPr>
      </w:pPr>
    </w:p>
    <w:tbl>
      <w:tblPr>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30"/>
        <w:gridCol w:w="5851"/>
      </w:tblGrid>
      <w:tr w:rsidR="00EA72C7" w:rsidTr="003E7002">
        <w:trPr>
          <w:trHeight w:val="315"/>
          <w:jc w:val="center"/>
        </w:trPr>
        <w:tc>
          <w:tcPr>
            <w:tcW w:w="3730"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Название  водоема</w:t>
            </w:r>
          </w:p>
        </w:tc>
        <w:tc>
          <w:tcPr>
            <w:tcW w:w="5851"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озеро Малый Талдыколь</w:t>
            </w:r>
          </w:p>
        </w:tc>
      </w:tr>
      <w:tr w:rsidR="00EA72C7" w:rsidTr="003E7002">
        <w:trPr>
          <w:trHeight w:val="315"/>
          <w:jc w:val="center"/>
        </w:trPr>
        <w:tc>
          <w:tcPr>
            <w:tcW w:w="3730"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Речной бассейн</w:t>
            </w:r>
          </w:p>
        </w:tc>
        <w:tc>
          <w:tcPr>
            <w:tcW w:w="5851"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река Ишим</w:t>
            </w:r>
          </w:p>
        </w:tc>
      </w:tr>
      <w:tr w:rsidR="00EA72C7" w:rsidTr="003E7002">
        <w:trPr>
          <w:trHeight w:val="870"/>
          <w:jc w:val="center"/>
        </w:trPr>
        <w:tc>
          <w:tcPr>
            <w:tcW w:w="3730"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Характеристика озера</w:t>
            </w:r>
          </w:p>
        </w:tc>
        <w:tc>
          <w:tcPr>
            <w:tcW w:w="5851"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естественный городской бессточный водоем, загрязненный  продуктами антропогенной деятельности</w:t>
            </w:r>
          </w:p>
        </w:tc>
      </w:tr>
      <w:tr w:rsidR="00EA72C7" w:rsidTr="003E7002">
        <w:trPr>
          <w:trHeight w:val="345"/>
          <w:jc w:val="center"/>
        </w:trPr>
        <w:tc>
          <w:tcPr>
            <w:tcW w:w="3730"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Объем водных ресурсов, млн. м</w:t>
            </w:r>
            <w:r>
              <w:rPr>
                <w:rFonts w:ascii="Times New Roman" w:eastAsia="Times New Roman" w:hAnsi="Times New Roman" w:cs="Times New Roman"/>
                <w:color w:val="000000"/>
                <w:sz w:val="24"/>
                <w:szCs w:val="24"/>
                <w:vertAlign w:val="superscript"/>
              </w:rPr>
              <w:t>3</w:t>
            </w:r>
          </w:p>
        </w:tc>
        <w:tc>
          <w:tcPr>
            <w:tcW w:w="5851"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4,815</w:t>
            </w:r>
          </w:p>
        </w:tc>
      </w:tr>
      <w:tr w:rsidR="00EA72C7" w:rsidTr="003E7002">
        <w:trPr>
          <w:trHeight w:val="630"/>
          <w:jc w:val="center"/>
        </w:trPr>
        <w:tc>
          <w:tcPr>
            <w:tcW w:w="3730"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Площадь водной поверхности (суммарная), км</w:t>
            </w:r>
            <w:r>
              <w:rPr>
                <w:rFonts w:ascii="Times New Roman" w:eastAsia="Times New Roman" w:hAnsi="Times New Roman" w:cs="Times New Roman"/>
                <w:color w:val="000000"/>
                <w:sz w:val="24"/>
                <w:szCs w:val="24"/>
                <w:vertAlign w:val="superscript"/>
              </w:rPr>
              <w:t>2</w:t>
            </w:r>
          </w:p>
        </w:tc>
        <w:tc>
          <w:tcPr>
            <w:tcW w:w="5851"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6,019</w:t>
            </w:r>
          </w:p>
        </w:tc>
      </w:tr>
      <w:tr w:rsidR="00EA72C7" w:rsidTr="003E7002">
        <w:trPr>
          <w:trHeight w:val="315"/>
          <w:jc w:val="center"/>
        </w:trPr>
        <w:tc>
          <w:tcPr>
            <w:tcW w:w="3730"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Средняя  глубина, м</w:t>
            </w:r>
          </w:p>
        </w:tc>
        <w:tc>
          <w:tcPr>
            <w:tcW w:w="5851"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r>
      <w:tr w:rsidR="00EA72C7" w:rsidTr="003E7002">
        <w:trPr>
          <w:trHeight w:val="315"/>
          <w:jc w:val="center"/>
        </w:trPr>
        <w:tc>
          <w:tcPr>
            <w:tcW w:w="3730"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Наибольшая глубина, м</w:t>
            </w:r>
          </w:p>
        </w:tc>
        <w:tc>
          <w:tcPr>
            <w:tcW w:w="5851"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3,41</w:t>
            </w:r>
          </w:p>
        </w:tc>
      </w:tr>
      <w:tr w:rsidR="00EA72C7" w:rsidTr="003E7002">
        <w:trPr>
          <w:trHeight w:val="315"/>
          <w:jc w:val="center"/>
        </w:trPr>
        <w:tc>
          <w:tcPr>
            <w:tcW w:w="3730"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Изрезанность береговой линии</w:t>
            </w:r>
          </w:p>
        </w:tc>
        <w:tc>
          <w:tcPr>
            <w:tcW w:w="5851"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w:t>
            </w:r>
          </w:p>
        </w:tc>
      </w:tr>
      <w:tr w:rsidR="00EA72C7" w:rsidTr="003E7002">
        <w:trPr>
          <w:trHeight w:val="315"/>
          <w:jc w:val="center"/>
        </w:trPr>
        <w:tc>
          <w:tcPr>
            <w:tcW w:w="3730"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Ширина водоохранной полосы</w:t>
            </w:r>
          </w:p>
        </w:tc>
        <w:tc>
          <w:tcPr>
            <w:tcW w:w="5851"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м</w:t>
            </w:r>
          </w:p>
        </w:tc>
      </w:tr>
      <w:tr w:rsidR="00EA72C7" w:rsidTr="003E7002">
        <w:trPr>
          <w:trHeight w:val="315"/>
          <w:jc w:val="center"/>
        </w:trPr>
        <w:tc>
          <w:tcPr>
            <w:tcW w:w="3730"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 качества воды</w:t>
            </w:r>
          </w:p>
        </w:tc>
        <w:tc>
          <w:tcPr>
            <w:tcW w:w="5851"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хлоридный, натриевая группа</w:t>
            </w:r>
          </w:p>
        </w:tc>
      </w:tr>
      <w:tr w:rsidR="00EA72C7" w:rsidTr="003E7002">
        <w:trPr>
          <w:trHeight w:val="315"/>
          <w:jc w:val="center"/>
        </w:trPr>
        <w:tc>
          <w:tcPr>
            <w:tcW w:w="3730"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Степень загрязнения воды</w:t>
            </w:r>
          </w:p>
        </w:tc>
        <w:tc>
          <w:tcPr>
            <w:tcW w:w="5851"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VII класс, чрезвычайно грязные  </w:t>
            </w:r>
          </w:p>
        </w:tc>
      </w:tr>
      <w:tr w:rsidR="00EA72C7" w:rsidTr="003E7002">
        <w:trPr>
          <w:trHeight w:val="870"/>
          <w:jc w:val="center"/>
        </w:trPr>
        <w:tc>
          <w:tcPr>
            <w:tcW w:w="3730"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 хозяйственного использования  водоема  по критериям качества воды</w:t>
            </w:r>
          </w:p>
        </w:tc>
        <w:tc>
          <w:tcPr>
            <w:tcW w:w="5851"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недопустимо использование в хозяйственно-питьевых, рыбохозяйственных, рекреационных целях</w:t>
            </w:r>
          </w:p>
        </w:tc>
      </w:tr>
      <w:tr w:rsidR="00EA72C7" w:rsidTr="003E7002">
        <w:trPr>
          <w:trHeight w:val="870"/>
          <w:jc w:val="center"/>
        </w:trPr>
        <w:tc>
          <w:tcPr>
            <w:tcW w:w="3730"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Перспектива использования</w:t>
            </w:r>
          </w:p>
        </w:tc>
        <w:tc>
          <w:tcPr>
            <w:tcW w:w="5851"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ликвидация, путем осушения акватории и использование земельных ресурсов в градостроительстве</w:t>
            </w:r>
          </w:p>
        </w:tc>
      </w:tr>
      <w:tr w:rsidR="00EA72C7" w:rsidTr="003E7002">
        <w:trPr>
          <w:trHeight w:val="315"/>
          <w:jc w:val="center"/>
        </w:trPr>
        <w:tc>
          <w:tcPr>
            <w:tcW w:w="3730"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Тип водного питания озера</w:t>
            </w:r>
          </w:p>
        </w:tc>
        <w:tc>
          <w:tcPr>
            <w:tcW w:w="5851"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атмосферный</w:t>
            </w:r>
          </w:p>
        </w:tc>
      </w:tr>
      <w:tr w:rsidR="00EA72C7" w:rsidTr="003E7002">
        <w:trPr>
          <w:trHeight w:val="315"/>
          <w:jc w:val="center"/>
        </w:trPr>
        <w:tc>
          <w:tcPr>
            <w:tcW w:w="3730"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 осушения озера, земель</w:t>
            </w:r>
          </w:p>
        </w:tc>
        <w:tc>
          <w:tcPr>
            <w:tcW w:w="5851"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водоотбор и переброска водных ресурсов</w:t>
            </w:r>
          </w:p>
        </w:tc>
      </w:tr>
      <w:tr w:rsidR="00EA72C7" w:rsidTr="003E7002">
        <w:trPr>
          <w:trHeight w:val="60"/>
          <w:jc w:val="center"/>
        </w:trPr>
        <w:tc>
          <w:tcPr>
            <w:tcW w:w="3730"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 осушения</w:t>
            </w:r>
          </w:p>
        </w:tc>
        <w:tc>
          <w:tcPr>
            <w:tcW w:w="5851"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открытые осушительные каналы и собиратели</w:t>
            </w:r>
          </w:p>
        </w:tc>
      </w:tr>
      <w:tr w:rsidR="00EA72C7" w:rsidTr="003E7002">
        <w:trPr>
          <w:trHeight w:val="230"/>
          <w:jc w:val="center"/>
        </w:trPr>
        <w:tc>
          <w:tcPr>
            <w:tcW w:w="3730"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Водоотведение</w:t>
            </w:r>
          </w:p>
        </w:tc>
        <w:tc>
          <w:tcPr>
            <w:tcW w:w="5851" w:type="dxa"/>
            <w:shd w:val="clear" w:color="auto" w:fill="auto"/>
            <w:vAlign w:val="center"/>
          </w:tcPr>
          <w:p w:rsidR="00EA72C7" w:rsidRPr="00791EE0" w:rsidRDefault="00EA72C7" w:rsidP="003E7002">
            <w:pPr>
              <w:spacing w:after="0" w:line="240" w:lineRule="auto"/>
              <w:rPr>
                <w:rFonts w:ascii="Times New Roman" w:eastAsia="Times New Roman" w:hAnsi="Times New Roman" w:cs="Times New Roman"/>
                <w:color w:val="000000"/>
                <w:sz w:val="24"/>
                <w:szCs w:val="24"/>
              </w:rPr>
            </w:pPr>
            <w:r w:rsidRPr="00791EE0">
              <w:rPr>
                <w:rFonts w:ascii="Times New Roman" w:eastAsia="Times New Roman" w:hAnsi="Times New Roman" w:cs="Times New Roman"/>
                <w:color w:val="000000"/>
                <w:sz w:val="24"/>
                <w:szCs w:val="24"/>
              </w:rPr>
              <w:t xml:space="preserve">аванкамеры </w:t>
            </w:r>
            <w:r w:rsidRPr="00791EE0">
              <w:rPr>
                <w:rFonts w:ascii="Times New Roman" w:eastAsia="Gungsuh" w:hAnsi="Times New Roman" w:cs="Times New Roman"/>
                <w:color w:val="000000"/>
                <w:sz w:val="24"/>
                <w:szCs w:val="24"/>
              </w:rPr>
              <w:t>→</w:t>
            </w:r>
            <w:r w:rsidRPr="00791EE0">
              <w:rPr>
                <w:rFonts w:ascii="Times New Roman" w:eastAsia="Times New Roman" w:hAnsi="Times New Roman" w:cs="Times New Roman"/>
                <w:color w:val="000000"/>
                <w:sz w:val="24"/>
                <w:szCs w:val="24"/>
              </w:rPr>
              <w:t xml:space="preserve"> насосная станция (водозаборное сооружение) </w:t>
            </w:r>
            <w:r w:rsidRPr="00791EE0">
              <w:rPr>
                <w:rFonts w:ascii="Times New Roman" w:eastAsia="Gungsuh" w:hAnsi="Times New Roman" w:cs="Times New Roman"/>
                <w:color w:val="000000"/>
                <w:sz w:val="24"/>
                <w:szCs w:val="24"/>
              </w:rPr>
              <w:t>→</w:t>
            </w:r>
            <w:r w:rsidRPr="00791EE0">
              <w:rPr>
                <w:rFonts w:ascii="Times New Roman" w:eastAsia="Times New Roman" w:hAnsi="Times New Roman" w:cs="Times New Roman"/>
                <w:color w:val="000000"/>
                <w:sz w:val="24"/>
                <w:szCs w:val="24"/>
              </w:rPr>
              <w:t xml:space="preserve"> напорный трубопровод </w:t>
            </w:r>
            <w:r w:rsidRPr="00791EE0">
              <w:rPr>
                <w:rFonts w:ascii="Times New Roman" w:eastAsia="Gungsuh" w:hAnsi="Times New Roman" w:cs="Times New Roman"/>
                <w:color w:val="000000"/>
                <w:sz w:val="24"/>
                <w:szCs w:val="24"/>
              </w:rPr>
              <w:t>→</w:t>
            </w:r>
            <w:r w:rsidRPr="00791EE0">
              <w:rPr>
                <w:rFonts w:ascii="Times New Roman" w:eastAsia="Times New Roman" w:hAnsi="Times New Roman" w:cs="Times New Roman"/>
                <w:color w:val="000000"/>
                <w:sz w:val="24"/>
                <w:szCs w:val="24"/>
              </w:rPr>
              <w:t xml:space="preserve"> насосная станция переброски </w:t>
            </w:r>
            <w:r w:rsidRPr="00791EE0">
              <w:rPr>
                <w:rFonts w:ascii="Times New Roman" w:eastAsia="Gungsuh" w:hAnsi="Times New Roman" w:cs="Times New Roman"/>
                <w:color w:val="000000"/>
                <w:sz w:val="24"/>
                <w:szCs w:val="24"/>
              </w:rPr>
              <w:t>→</w:t>
            </w:r>
            <w:r w:rsidRPr="00791EE0">
              <w:rPr>
                <w:rFonts w:ascii="Times New Roman" w:eastAsia="Times New Roman" w:hAnsi="Times New Roman" w:cs="Times New Roman"/>
                <w:color w:val="000000"/>
                <w:sz w:val="24"/>
                <w:szCs w:val="24"/>
              </w:rPr>
              <w:t xml:space="preserve"> магистральный водовод</w:t>
            </w:r>
          </w:p>
        </w:tc>
      </w:tr>
      <w:tr w:rsidR="00EA72C7" w:rsidTr="003E7002">
        <w:trPr>
          <w:trHeight w:val="315"/>
          <w:jc w:val="center"/>
        </w:trPr>
        <w:tc>
          <w:tcPr>
            <w:tcW w:w="3730"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Водоприемник</w:t>
            </w:r>
          </w:p>
        </w:tc>
        <w:tc>
          <w:tcPr>
            <w:tcW w:w="5851" w:type="dxa"/>
            <w:shd w:val="clear" w:color="auto" w:fill="auto"/>
            <w:vAlign w:val="center"/>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накопитель «Карабидаик»</w:t>
            </w:r>
          </w:p>
        </w:tc>
      </w:tr>
    </w:tbl>
    <w:p w:rsidR="00EA72C7" w:rsidRDefault="00EA72C7" w:rsidP="00EA72C7">
      <w:pPr>
        <w:spacing w:after="0" w:line="240" w:lineRule="auto"/>
        <w:ind w:firstLine="709"/>
        <w:jc w:val="both"/>
        <w:rPr>
          <w:rFonts w:ascii="Times New Roman" w:eastAsia="Times New Roman" w:hAnsi="Times New Roman" w:cs="Times New Roman"/>
          <w:i/>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Проблема проекта</w:t>
      </w:r>
      <w:r>
        <w:rPr>
          <w:rFonts w:ascii="Times New Roman" w:eastAsia="Times New Roman" w:hAnsi="Times New Roman" w:cs="Times New Roman"/>
          <w:sz w:val="28"/>
          <w:szCs w:val="28"/>
        </w:rPr>
        <w:t xml:space="preserve"> состоит в следующем.</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Уникальным для Казахстана является создание санитарной защитной зеленой зоны столицы Казахстана г. Нур-Султан в условиях засушливой степи, которая создается по поручению Президента РК. В соответствии со Стратегическим планом Министерства сельского хозяйства РК на 2014-2018 годы, общая площадь зеленой зоны города за период ее создания с 1997 по 2017 </w:t>
      </w:r>
      <w:r>
        <w:rPr>
          <w:rFonts w:ascii="Times New Roman" w:eastAsia="Times New Roman" w:hAnsi="Times New Roman" w:cs="Times New Roman"/>
          <w:sz w:val="28"/>
          <w:szCs w:val="28"/>
        </w:rPr>
        <w:lastRenderedPageBreak/>
        <w:t>год составила 75 тыс. га, до 2023 года планируется довести площадь до 100 тыс. га.</w:t>
      </w:r>
    </w:p>
    <w:p w:rsidR="00EA72C7" w:rsidRDefault="00EA72C7" w:rsidP="00EA72C7">
      <w:pPr>
        <w:spacing w:after="0" w:line="240" w:lineRule="auto"/>
        <w:ind w:firstLine="709"/>
        <w:jc w:val="both"/>
      </w:pPr>
      <w:r>
        <w:rPr>
          <w:rFonts w:ascii="Times New Roman" w:eastAsia="Times New Roman" w:hAnsi="Times New Roman" w:cs="Times New Roman"/>
          <w:sz w:val="28"/>
          <w:szCs w:val="28"/>
        </w:rPr>
        <w:t>Однако, неподалеку от новой части г. Нур-Султан на левобережье реки Есиль находится система Талдыкольских озер (Большой и Малый Талдыколь), окруженная степными участками. Это природные водоемы, которые в результате строительства в 1960-х годах очистных сооружений и слива из города очищенных стоков были загрязнены и значительно увеличились в размерах. В частности, в период 1970-2013 гг. озеро Большой Талдыколь использовалось в качестве коллектора-испарителя сточных вод. С 2012 года Казахстанская ассоциация сохранения биоразнообразия начала продвигать городским властям идею о создании на Большом Талдыколе городского природного парка. Власти идею поддержали, была разработана концепция, которая после презентации на EXPO в 2017 году была включена в Комплексный план мероприятий по оздоровлению окружающей среды города на 2018-2020 годы. К концу 2017 года были завершены работы по очистке водоема от иловых отложений и уменьшению его акватории до естественных границ. Большой Талдыколь с «озерным» статусом охраняется государством, но проблема с озером Малый Талдыколь остается.</w:t>
      </w:r>
      <w:r>
        <w:t xml:space="preserve">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еще в 2013 году глубина этого водоема была 1,1 м, то сейчас и едва 40 см. С июня 2020 года из Малого Талдыколя начали откачивать воду и засыпать озеро. На данный момент строительными компаниями проведены дороги, ведется подготовка площадок для строительства, и другая деятельность застройщиков в результате чего водоем разделен на шесть изолированных частей.</w:t>
      </w:r>
    </w:p>
    <w:p w:rsidR="00EA72C7" w:rsidRDefault="00EA72C7" w:rsidP="00EA72C7">
      <w:pPr>
        <w:spacing w:after="0" w:line="24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Решение городских властей осушить и застроить территорию озера Малый Талдыколь встретило сопротивление, выраженное в различных социальных сетях (Facebook, Instagram, Telegram, WhatsApp). Требования Инициативной группы @sos.taldykol по сохранению озера нашел поддержку в экспертном сообществе и общественных организациях города. Прошение о сохранении озера Малый Талдыколь собрало 3140 подписей и было адресовано Президенту Казахстана г-ну Токаеву </w:t>
      </w:r>
      <w:r w:rsidR="005738AE">
        <w:rPr>
          <w:rFonts w:ascii="Times New Roman" w:eastAsia="Times New Roman" w:hAnsi="Times New Roman" w:cs="Times New Roman"/>
          <w:sz w:val="28"/>
          <w:szCs w:val="28"/>
        </w:rPr>
        <w:t>[168</w:t>
      </w:r>
      <w:r>
        <w:rPr>
          <w:rFonts w:ascii="Times New Roman" w:eastAsia="Times New Roman" w:hAnsi="Times New Roman" w:cs="Times New Roman"/>
          <w:sz w:val="28"/>
          <w:szCs w:val="28"/>
        </w:rPr>
        <w:t xml:space="preserve">, р. 205-218].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Инициативная группа @sos.taldykol из числа экологов и неравнодушных местных жителей начала кампанию по сохранению Малого Талдыколя, осушение которого, по их мнению, нарушит не только местную экосистему (здесь обитают более 5 000 особей птиц, из них 12 видов птиц, внесены в Красный список Международного союза охраны природы), но также экологию Большого Талдыколя, поскольку озера неразрывно связаны.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Несмотря на то, что к мнению экологов и гражданских активистов городские и республиканские власти «прислушались» к общественности, в августе 2020 года работы по осушению озера не прекратились. Более того, на интерактивной карте города с сайта Управления архитектуры, градостроительства и земельных отношений (УАГиЗО) видно, что территория М. Талдыколя размечена под капитальное строительство. В сентябре 2020 года активисты опубликовали онлайн-петицию с 3 120 подписями на имя Президента </w:t>
      </w:r>
      <w:r>
        <w:rPr>
          <w:rFonts w:ascii="Times New Roman" w:eastAsia="Times New Roman" w:hAnsi="Times New Roman" w:cs="Times New Roman"/>
          <w:sz w:val="28"/>
          <w:szCs w:val="28"/>
        </w:rPr>
        <w:lastRenderedPageBreak/>
        <w:t xml:space="preserve">Казахстана с требованием остановить засыпку озера и откачку воды, а также провести общественные слушания по застройке территории озера.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вопрос по осушению Малого Талдыколя вмешалось Министерство экологии, геологии и природных ресурсов РК </w:t>
      </w:r>
      <w:r w:rsidR="005738AE">
        <w:rPr>
          <w:rFonts w:ascii="Times New Roman" w:eastAsia="Times New Roman" w:hAnsi="Times New Roman" w:cs="Times New Roman"/>
          <w:sz w:val="28"/>
          <w:szCs w:val="28"/>
        </w:rPr>
        <w:t>[182</w:t>
      </w:r>
      <w:r>
        <w:rPr>
          <w:rFonts w:ascii="Times New Roman" w:eastAsia="Times New Roman" w:hAnsi="Times New Roman" w:cs="Times New Roman"/>
          <w:sz w:val="28"/>
          <w:szCs w:val="28"/>
        </w:rPr>
        <w:t>]. Ученые Института ботаники и фитоиндустрии, а также представители Комитета лесного хозяйства и животного мира профильного министерства выступили против проекта осушения, т.к. это приведет к исчезновению места обитания птиц не только в самой системе озер Талдыколь, но и повлияет на жизнедеятельность всех перелетных птиц, которые связывают экосистемы разных масштабов.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13 февраля 2021 был назначен «круглый стол» по обсуждению проблемы озера Малый Талдыколь, куда были приглашены общественность и СМИ. Однако, представители УАГиЗО г. Нур-Султан от участия в мероприятии уклонились без объяснения причин. На главный вопрос, на каком основании ведется стройка, поделены участки для освоения территории и разработан план ее детальной планировки, активисты ответа не получили. Между тем, согласно рабочего проекта ТОО «Биосфера» 2014 года «Осушение озера Малый Талдыколь и водопонижение данного района», возраст озера составляет около 13 тысяч лет, а причиной его появления является увеличение влажности климата на рубеже позднеледникового периода и голоцена. Это никак не вяжется с версией акимата г. Нур-Султан о том, что озеро – результат таяния снегов и сброса нечистот.</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авторского проекта направлена на повышение уровня экологической грамотности и вовлечения всего населения города в поддержку экосистем. Участие в практических делах, а именно в экологических субботниках, станет основой для формирования правильного экологического поведения у горожан.</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частности, для организации общегородского субботника на озере Малый Талдыколь запланированы следующие мероприятия: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подготовка качественного информационного материала для распространения онлайн;</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подготовка карты организации субботника, с указанием места сбора участников, точек сбора мусора, биотуалетов, точек питания и парковки;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продвижение информации о субботнике в социальных сетях через экоактивистов блогеров;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переписка с госорганами для получения разрешения (акимат, Министерство экологии);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переговоры с бизнес-структурами по установке биотуалетов, организации точек питания и вывозе мусора.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реализации проекта планируется равное привлечение жителей города мужского и женского пола, преимущественно из которых возрастной группы 20-40 лет. Таким образом, особый акцент будет направлен на привлечение молодежи.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Логическая рамка проекта</w:t>
      </w:r>
      <w:r>
        <w:rPr>
          <w:rFonts w:ascii="Times New Roman" w:eastAsia="Times New Roman" w:hAnsi="Times New Roman" w:cs="Times New Roman"/>
          <w:sz w:val="28"/>
          <w:szCs w:val="28"/>
        </w:rPr>
        <w:t xml:space="preserve"> (Приложение Ж).</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достижения целей по вхождению г. Нур-Султан в десятку лучших городов мира к 2050 году и получения международного признания предлагаются следующие шаги: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На территории столицы Казахстана реализовать пилотный проект, направленный на идентификацию городских экосистем, учет природного капитала и внедрить механизмы учета оценки экосистемных услуг в процессе принятия управленческих решений, по примеру Integrated Development Planning (IDP) и метод City Development Strategies (CDS).</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Пересмотреть целевые показатели стратегических и программных документов по развитию города на предмет отражения целей в области сохранения биоразнообразия.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Обеспечить широкой привлечение общественности в процесс планирования, реализации и контроля за реализацией стратегических и программных документов, касающихся развития городской инфраструктуры.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Акимату г. Нур-Султан подготовить и внедрить меры по содействию и установлению стимулов для процессов по переходу к экосистемному подходу в управлении, затрагивающие все слои общества.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Изучить возможности использования природного ландшафта озера Малый Талдыколь для сдерживания и аккумуляции паводковых вод и рассмотреть возможность использования значительных подземных запасов для нужд населения.</w:t>
      </w:r>
    </w:p>
    <w:p w:rsidR="00EA72C7" w:rsidRDefault="00EA72C7" w:rsidP="00EA72C7">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Рекомендации по информационно-коммуникационной модели взаимодействия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институциональных механизмов управления и мониторинга экологической информации показал, что экологические данные разбросаны по многочисленным заинтересованным сторонам, в то время как нет централизованного инструмента, помогающего определить, кто является владельцем конкретных данных.</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Существуют различия в полноте и форматах представления результатов экологического мониторинга уполномоченного органа в области экологии со статистическими данными предоставляемыми Бюро по национальной статистике.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Внедрение экосистемного подхода в систему государственного управления требует пересмотра институциональных механизмов управления и мониторинга экологической информации путем продвижения инновационных подходов к обмену информацией и управлению. В (Приложение И) изображены этапы сбора обработки и систематизации информации.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Предлагается информационно-коммуникативная модель взаимодействия, обеспечивающую максимальную вовлеченность и сотрудничество между всеми государственными органами и другими заинтересованными сторонами, владеть данными в рамках своей компетенции, которыми следует обмениваться через информационную систему.</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успешной реализации коммуникационной стратегии необходимо сотрудничество с заинтересованными сторонами. В (Приложение К) изображены заинтересованные стороны и условия взаимодействия.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государственные органы и органы местного самоуправления, которые являются важными источниками для создания данных/информации в соответствии с исследованиями;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негосударственный сектор, который собирает и делится экологической информацией;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образовательные учреждения и академические круги - научные исследования и обмен информацией;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частный сектор (бизнес, предприниматели), который имеет большое влияние на окружающую среду;</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население – в рамках обеспечения выполнения орхусской конвенции об участии общественности в процессе принятия экологических решений;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международные организации - обеспечить предоставление актуальных данных об управлении экологической информацией;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СМИ, как эффективный механизм массовой коммуникации, играют важную роль в обществе.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Вертикальная и горизонтальная связь. Для реализации коммуникационной стратегии необходимо использовать вертикальную межведомственную связь между целевым сегментом (государственными органами), которые получают доступ и используют данные и информацию об окружающей среде, чтобы обеспечить непрерывность процесса управления информацией и надлежащее функционирование системы.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Горизонтальная связь обеспечивает обмен и доступ экологической информацией среди других заинтересованных сторон (НПО, академический сектор и граждане, СМИ).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Наличие данного инструмента обеспечивает исполнение международных обязательств и способствует эффективному государственному управлению.</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Информационно-коммуникационная модель взаимодействия предполагает охват следующих областей: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Обеспечение механизма коммуникации между различными заинтересованными сторонами (госорганами, научными организациями, бизнес сектором, потребителями) для эффективного управления информацией, которая включает сбор данных, мониторинг и анализ потребления (смещение межведомственных информационных потоков).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Регламентация процедур управления данными, обмена ими и их использования в процессе планирования и принятия решений коммуникационной стратегии.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Определение уровней доступа к информации на этапе потребления информации (разделение открытых и закрытых систем).</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Обучение групп – сборщиков информации основным принципам работы по обеспечению ее дальнейшего эффективного управления.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 Определение информации, которая может быть доступна через Интернет для широкой общественности/заинтересованных сторон.</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Повышение осведомленности широкой общественности (граждан) об использовании данных и принципов функционирования системы.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Создание системы обучения для различных заинтересованных сторон, связанных с вопросами использования, сбора, анализа, обмена и хранения данных.</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(Приложение Л) изображена Схема информационно-коммуникационного взаимодействия.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Задачами Министерства экологии, геологии и природных ресурсов является мониторинг и обработка экологической информации. Сложность заключается в том, что информация носит межсекториальный характер и требует сотрудничества с другими государственными органами. В этой связи важно обеспечение правового регулирования межведомственного сотрудничества.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содействия координации между различными сторонами в области управления и мониторингом экологической информации можно использовать ресурсы Единого экологического портала, сопровождение которого осуществляет РГП на ПХВ «Информационно-аналитический центр охраны окружающей среды» Министерства экологии, геологии и природных ресурсов Республики Казахстан.</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Межотраслевой анализ экологической информации связан с различными аспектами устойчивого развития и обеспечивается обменом информации следующих государственных органов:</w:t>
      </w:r>
    </w:p>
    <w:p w:rsidR="00EA72C7" w:rsidRDefault="00EA72C7" w:rsidP="00EA72C7">
      <w:pPr>
        <w:numPr>
          <w:ilvl w:val="0"/>
          <w:numId w:val="1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Министерство национальной экономики, являющимся Координационным органом работы Совета по Целям устойчивого развития. Экспертно-аналитическую поддержку деятельности Совета осуществляет АО «Институт экономических исследований».</w:t>
      </w:r>
    </w:p>
    <w:p w:rsidR="00EA72C7" w:rsidRDefault="00593217" w:rsidP="00EA72C7">
      <w:pPr>
        <w:numPr>
          <w:ilvl w:val="0"/>
          <w:numId w:val="1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hyperlink r:id="rId24">
        <w:r w:rsidR="00EA72C7">
          <w:rPr>
            <w:rFonts w:ascii="Times New Roman" w:eastAsia="Times New Roman" w:hAnsi="Times New Roman" w:cs="Times New Roman"/>
            <w:color w:val="000000"/>
            <w:sz w:val="28"/>
            <w:szCs w:val="28"/>
          </w:rPr>
          <w:t xml:space="preserve">Министерство индустрии и инфраструктурного развития, </w:t>
        </w:r>
      </w:hyperlink>
      <w:r w:rsidR="00EA72C7">
        <w:rPr>
          <w:rFonts w:ascii="Times New Roman" w:eastAsia="Times New Roman" w:hAnsi="Times New Roman" w:cs="Times New Roman"/>
          <w:color w:val="000000"/>
          <w:sz w:val="28"/>
          <w:szCs w:val="28"/>
        </w:rPr>
        <w:t>осуществляющее деятельность в сферах индустрии, транспортной логистики, горно-металлургического комплекса, угольной, химической, промышленности и строительной индустрии.</w:t>
      </w:r>
    </w:p>
    <w:p w:rsidR="00EA72C7" w:rsidRDefault="00EA72C7" w:rsidP="00EA72C7">
      <w:pPr>
        <w:numPr>
          <w:ilvl w:val="0"/>
          <w:numId w:val="1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Министерство сельского хозяйства осуществляющее деятельность по формированию политики в сфере развития сельского хозяйства, управления земельными ресурсами.</w:t>
      </w:r>
    </w:p>
    <w:p w:rsidR="00EA72C7" w:rsidRDefault="00EA72C7" w:rsidP="00EA72C7">
      <w:pPr>
        <w:numPr>
          <w:ilvl w:val="0"/>
          <w:numId w:val="1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Министерство </w:t>
      </w:r>
      <w:hyperlink r:id="rId25">
        <w:r>
          <w:rPr>
            <w:rFonts w:ascii="Times New Roman" w:eastAsia="Times New Roman" w:hAnsi="Times New Roman" w:cs="Times New Roman"/>
            <w:color w:val="000000"/>
            <w:sz w:val="28"/>
            <w:szCs w:val="28"/>
          </w:rPr>
          <w:t>здравоохранения</w:t>
        </w:r>
      </w:hyperlink>
      <w:r>
        <w:rPr>
          <w:rFonts w:ascii="Times New Roman" w:eastAsia="Times New Roman" w:hAnsi="Times New Roman" w:cs="Times New Roman"/>
          <w:color w:val="000000"/>
          <w:sz w:val="28"/>
          <w:szCs w:val="28"/>
        </w:rPr>
        <w:t xml:space="preserve"> осуществляющее руководство в области охраны здоровья граждан, санитарно-эпидемиологического благополучия населения, а также в области безопасности пищевой продукции на стадии ее реализации.</w:t>
      </w:r>
    </w:p>
    <w:p w:rsidR="00EA72C7" w:rsidRDefault="00EA72C7" w:rsidP="00EA72C7">
      <w:pPr>
        <w:numPr>
          <w:ilvl w:val="0"/>
          <w:numId w:val="1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Министерство по чрезвычайным ситуациям в части предупреждения и ликвидации чрезвычайных ситуаций природного и техногенного характера.</w:t>
      </w:r>
    </w:p>
    <w:p w:rsidR="00EA72C7" w:rsidRDefault="00EA72C7" w:rsidP="00EA72C7">
      <w:pPr>
        <w:numPr>
          <w:ilvl w:val="0"/>
          <w:numId w:val="13"/>
        </w:numPr>
        <w:pBdr>
          <w:top w:val="nil"/>
          <w:left w:val="nil"/>
          <w:bottom w:val="nil"/>
          <w:right w:val="nil"/>
          <w:between w:val="nil"/>
        </w:pBdr>
        <w:tabs>
          <w:tab w:val="left" w:pos="851"/>
          <w:tab w:val="left" w:pos="1050"/>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Министерство науки и высшего образования.</w:t>
      </w:r>
    </w:p>
    <w:p w:rsidR="00EA72C7" w:rsidRDefault="00EA72C7" w:rsidP="00EA72C7">
      <w:pPr>
        <w:numPr>
          <w:ilvl w:val="0"/>
          <w:numId w:val="13"/>
        </w:numPr>
        <w:pBdr>
          <w:top w:val="nil"/>
          <w:left w:val="nil"/>
          <w:bottom w:val="nil"/>
          <w:right w:val="nil"/>
          <w:between w:val="nil"/>
        </w:pBdr>
        <w:tabs>
          <w:tab w:val="left" w:pos="851"/>
          <w:tab w:val="left" w:pos="1050"/>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Министерство финансов.</w:t>
      </w:r>
    </w:p>
    <w:p w:rsidR="00EA72C7" w:rsidRDefault="00EA72C7" w:rsidP="00EA72C7">
      <w:pPr>
        <w:numPr>
          <w:ilvl w:val="0"/>
          <w:numId w:val="13"/>
        </w:numPr>
        <w:pBdr>
          <w:top w:val="nil"/>
          <w:left w:val="nil"/>
          <w:bottom w:val="nil"/>
          <w:right w:val="nil"/>
          <w:between w:val="nil"/>
        </w:pBdr>
        <w:tabs>
          <w:tab w:val="left" w:pos="851"/>
          <w:tab w:val="left" w:pos="1050"/>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Министерство юстиции.</w:t>
      </w:r>
    </w:p>
    <w:p w:rsidR="00EA72C7" w:rsidRDefault="00EA72C7" w:rsidP="00EA72C7">
      <w:pPr>
        <w:numPr>
          <w:ilvl w:val="0"/>
          <w:numId w:val="13"/>
        </w:numPr>
        <w:pBdr>
          <w:top w:val="nil"/>
          <w:left w:val="nil"/>
          <w:bottom w:val="nil"/>
          <w:right w:val="nil"/>
          <w:between w:val="nil"/>
        </w:pBdr>
        <w:tabs>
          <w:tab w:val="left" w:pos="851"/>
          <w:tab w:val="left" w:pos="1050"/>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Министерство иностранных дел.</w:t>
      </w:r>
    </w:p>
    <w:p w:rsidR="00EA72C7" w:rsidRDefault="00EA72C7" w:rsidP="00EA72C7">
      <w:pPr>
        <w:numPr>
          <w:ilvl w:val="0"/>
          <w:numId w:val="13"/>
        </w:numPr>
        <w:pBdr>
          <w:top w:val="nil"/>
          <w:left w:val="nil"/>
          <w:bottom w:val="nil"/>
          <w:right w:val="nil"/>
          <w:between w:val="nil"/>
        </w:pBdr>
        <w:tabs>
          <w:tab w:val="left" w:pos="851"/>
          <w:tab w:val="left" w:pos="1050"/>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Министерство обороны.</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pStyle w:val="2"/>
        <w:spacing w:before="0" w:line="240" w:lineRule="auto"/>
        <w:ind w:firstLine="709"/>
        <w:jc w:val="both"/>
        <w:rPr>
          <w:rFonts w:ascii="Times New Roman" w:eastAsia="Times New Roman" w:hAnsi="Times New Roman" w:cs="Times New Roman"/>
          <w:color w:val="000000"/>
          <w:sz w:val="28"/>
          <w:szCs w:val="28"/>
        </w:rPr>
      </w:pPr>
      <w:bookmarkStart w:id="22" w:name="_heading=h.4i7ojhp" w:colFirst="0" w:colLast="0"/>
      <w:bookmarkEnd w:id="22"/>
      <w:r>
        <w:rPr>
          <w:rFonts w:ascii="Times New Roman" w:eastAsia="Times New Roman" w:hAnsi="Times New Roman" w:cs="Times New Roman"/>
          <w:color w:val="000000"/>
          <w:sz w:val="28"/>
          <w:szCs w:val="28"/>
        </w:rPr>
        <w:t>3.2 Рекомендации по имплементации экосистемного подхода в управлении экологического конфликта (case study)</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Находящиеся сегодня на повестке дня вопросы устойчивого развития требуют пересмотра властями экологической политики, где ключевым фактором является вовлечение общественности в процесс принятия управленческих решений, касающихся повышения качества жизни и долгосрочного благополучия.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Отсутствие эффективных коммуникаций с общественностью зачастую приводит к конфликтам где усилия государственных органов воспринимается как навязывание сверху.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свою очередь если затраты и выгоды обсуждаются открыто, люди могут в полной мере увидеть, что они приобретут и потеряют, и это создает хорошую базу для результативных переговоров.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Урбанизация и развитие городской инфраструктуры как правило сопровождается исчезновением природных ландшафтов, сокращением и фрагментацией экосистемы, имеющие необратимые последствия.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Сложность разрешения конфликтов, связанных с окружающей средой, заключается в том, что как правило они возникают между различными частными интересами и общественными интересами. При этом, роль играют как текущие, так и будущие интересы. Причиной экологических конфликтов становятся права на использование ресурсов и загрязнение природных систем.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Избегание конфликтов путем ограничения доступа к планам и проектам, как правило, в конечном итоге приводит к их эскалации. В конечном итоге растут не только экономические издержки, но политические, граждане теряют веру в процесс принятия решений и в самих лиц, принимающих решения.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Интерес также представляют изменившиеся за последнее время инструменты коммуникации, такие как социальные сети и мессенджеры, которые значительно влияют на формирование общественного мнения ввиду своей доступности и масштабами охвата.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Контент-анализ новостей и комментариев, связанных с планированием строительства на месте системы озер Малый Талдыколь осуществлялся в период с июля 2020 года по сентябрь 2021 года в социальных сетях, а также посредством отслеживания информации на официальных информационных ресурсах государственных органов города Нур-Султан </w:t>
      </w:r>
      <w:r w:rsidR="005738AE">
        <w:rPr>
          <w:rFonts w:ascii="Times New Roman" w:eastAsia="Times New Roman" w:hAnsi="Times New Roman" w:cs="Times New Roman"/>
          <w:sz w:val="28"/>
          <w:szCs w:val="28"/>
        </w:rPr>
        <w:t>[183</w:t>
      </w:r>
      <w:r>
        <w:rPr>
          <w:rFonts w:ascii="Times New Roman" w:eastAsia="Times New Roman" w:hAnsi="Times New Roman" w:cs="Times New Roman"/>
          <w:sz w:val="28"/>
          <w:szCs w:val="28"/>
        </w:rPr>
        <w:t xml:space="preserve">].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Проведено кодирование событий в хронологическом порядке от С1 до С21 согласно (Приложения М) которые показывают динамику развития конфликта.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воссоздавая событийный ряд удалось отследить этапы институционализации общественного движения, выявить тренды эскалации протеста на основе роста количества лайков, комментариев, постов и перепостов, содержащих текстовую и видеоинформацию с критикой в адрес власти касательно решения по осушению природного ландшафта.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Кроме того, учитывался масштаб мероприятий активистов по привлечению внимания общественности к данному вопросу посредством проведения протестных акций на берегу озера, перфомансов, выставок, соревнований и субботников.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Учет сторонников сохранения озера от осушения производится подсчетом количеством постов, лайков с перепостами, количеством участников проводимых акций в защиту озера ввиду того, что социальные сети в настоящее время являются одним из самых доступных каналов связи между населением и властью.</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Контент анализ событийного ряда протестов показал, что отправной точкой рассматриваемого конфликта являются начавшиеся в августе 2020 года строительные работы по засыпке озера Малый Талдыколь строительным мусором.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Следует отметить, что это обстоятельство практически спровоцировало негодование жителей близлежащих домов, наиболее активные из которых (от 5 до 10 человек) стали поднимать вопрос о незаконности принятого решения в социальных сетях.</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помощью итеративного процесса Yasmi были определены семь категорий стадий эскалации, которые представлены в таблице 15 </w:t>
      </w:r>
      <w:r w:rsidR="005738AE">
        <w:rPr>
          <w:rFonts w:ascii="Times New Roman" w:eastAsia="Times New Roman" w:hAnsi="Times New Roman" w:cs="Times New Roman"/>
          <w:sz w:val="28"/>
          <w:szCs w:val="28"/>
        </w:rPr>
        <w:t>[184</w:t>
      </w:r>
      <w:r>
        <w:rPr>
          <w:rFonts w:ascii="Times New Roman" w:eastAsia="Times New Roman" w:hAnsi="Times New Roman" w:cs="Times New Roman"/>
          <w:sz w:val="28"/>
          <w:szCs w:val="28"/>
        </w:rPr>
        <w:t xml:space="preserve">]. </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15 – Сводка форм эскалации конфликтов УПР (на основе сравнительного анализа 118 тематических исследований)</w:t>
      </w:r>
    </w:p>
    <w:p w:rsidR="00EA72C7" w:rsidRDefault="00EA72C7" w:rsidP="00EA72C7">
      <w:pPr>
        <w:spacing w:after="0" w:line="240" w:lineRule="auto"/>
        <w:jc w:val="right"/>
        <w:rPr>
          <w:rFonts w:ascii="Times New Roman" w:eastAsia="Times New Roman" w:hAnsi="Times New Roman" w:cs="Times New Roman"/>
          <w:sz w:val="16"/>
          <w:szCs w:val="16"/>
        </w:rPr>
      </w:pPr>
    </w:p>
    <w:tbl>
      <w:tblPr>
        <w:tblW w:w="9547"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0"/>
        <w:gridCol w:w="7717"/>
      </w:tblGrid>
      <w:tr w:rsidR="00EA72C7" w:rsidTr="004D137E">
        <w:tc>
          <w:tcPr>
            <w:tcW w:w="1830"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w:t>
            </w:r>
          </w:p>
        </w:tc>
        <w:tc>
          <w:tcPr>
            <w:tcW w:w="7717"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Измерение проявления</w:t>
            </w:r>
          </w:p>
        </w:tc>
      </w:tr>
      <w:tr w:rsidR="00EA72C7" w:rsidTr="004D137E">
        <w:tc>
          <w:tcPr>
            <w:tcW w:w="1830"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Чувство беспо койства</w:t>
            </w:r>
          </w:p>
        </w:tc>
        <w:tc>
          <w:tcPr>
            <w:tcW w:w="7717" w:type="dxa"/>
          </w:tcPr>
          <w:p w:rsidR="00EA72C7" w:rsidRDefault="00EA72C7" w:rsidP="004D137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Чувство беспокойства, жалоб, слухов, гнева, обиды, недовольства,</w:t>
            </w:r>
            <w:r w:rsidR="004D137E">
              <w:rPr>
                <w:rFonts w:ascii="Times New Roman" w:eastAsia="Times New Roman" w:hAnsi="Times New Roman" w:cs="Times New Roman"/>
                <w:sz w:val="24"/>
                <w:szCs w:val="24"/>
              </w:rPr>
              <w:t xml:space="preserve"> несогласия по поводу решения </w:t>
            </w:r>
            <w:r>
              <w:rPr>
                <w:rFonts w:ascii="Times New Roman" w:eastAsia="Times New Roman" w:hAnsi="Times New Roman" w:cs="Times New Roman"/>
                <w:sz w:val="24"/>
                <w:szCs w:val="24"/>
              </w:rPr>
              <w:t>проблем, страх потерять работу</w:t>
            </w:r>
          </w:p>
        </w:tc>
      </w:tr>
      <w:tr w:rsidR="00EA72C7" w:rsidTr="004D137E">
        <w:tc>
          <w:tcPr>
            <w:tcW w:w="1830"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Дебаты и кри тика</w:t>
            </w:r>
          </w:p>
        </w:tc>
        <w:tc>
          <w:tcPr>
            <w:tcW w:w="7717"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Открытые дебаты, интенсивные дебаты, словесные столкновения, обвинения, ссоры, критика политики правительства</w:t>
            </w:r>
          </w:p>
        </w:tc>
      </w:tr>
      <w:tr w:rsidR="00EA72C7" w:rsidTr="004D137E">
        <w:tc>
          <w:tcPr>
            <w:tcW w:w="1830"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Лобби и убеж дение</w:t>
            </w:r>
          </w:p>
        </w:tc>
        <w:tc>
          <w:tcPr>
            <w:tcW w:w="7717"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Лоббирование правительства, компенсации, убеждение правительства признать местные права, лоббирование политиков</w:t>
            </w:r>
          </w:p>
        </w:tc>
      </w:tr>
      <w:tr w:rsidR="00EA72C7" w:rsidTr="004D137E">
        <w:tc>
          <w:tcPr>
            <w:tcW w:w="1830"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Протест и агитация</w:t>
            </w:r>
          </w:p>
        </w:tc>
        <w:tc>
          <w:tcPr>
            <w:tcW w:w="7717"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Протест местного населения, уличный митинг, агитация и протест экологических групп, кампания в СМИ, петиции </w:t>
            </w:r>
          </w:p>
        </w:tc>
      </w:tr>
      <w:tr w:rsidR="00EA72C7" w:rsidTr="004D137E">
        <w:tc>
          <w:tcPr>
            <w:tcW w:w="1830"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Ограничение доступа</w:t>
            </w:r>
          </w:p>
        </w:tc>
        <w:tc>
          <w:tcPr>
            <w:tcW w:w="7717" w:type="dxa"/>
          </w:tcPr>
          <w:p w:rsidR="00EA72C7" w:rsidRDefault="00EA72C7" w:rsidP="004D137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Скваттерное вторжение, пикетирование компаний, мирный захват парка, блокирование дороги, запрет на работу на определенных участках, наложенные ограничения на ведени</w:t>
            </w:r>
            <w:r w:rsidR="004D137E">
              <w:rPr>
                <w:rFonts w:ascii="Times New Roman" w:eastAsia="Times New Roman" w:hAnsi="Times New Roman" w:cs="Times New Roman"/>
                <w:sz w:val="24"/>
                <w:szCs w:val="24"/>
              </w:rPr>
              <w:t>е жизнедеятельности, ограждения</w:t>
            </w:r>
          </w:p>
        </w:tc>
      </w:tr>
      <w:tr w:rsidR="00EA72C7" w:rsidTr="004D137E">
        <w:tc>
          <w:tcPr>
            <w:tcW w:w="1830"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Суд</w:t>
            </w:r>
          </w:p>
        </w:tc>
        <w:tc>
          <w:tcPr>
            <w:tcW w:w="7717"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Судебные иски, тяжбы, апелляция</w:t>
            </w:r>
          </w:p>
        </w:tc>
      </w:tr>
      <w:tr w:rsidR="00EA72C7" w:rsidTr="004D137E">
        <w:tc>
          <w:tcPr>
            <w:tcW w:w="1830"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Запугивание и физическое насилие</w:t>
            </w:r>
          </w:p>
        </w:tc>
        <w:tc>
          <w:tcPr>
            <w:tcW w:w="7717"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Угроза, запугивание, угроза бойкота, столкновения с применением насилия, нанесение ущерба, возмездие вооруженными силами, аресты полиции, задержание, захват оборудования компании, мобилизация солдат и техники, участие полиции</w:t>
            </w:r>
          </w:p>
        </w:tc>
      </w:tr>
      <w:tr w:rsidR="00EA72C7" w:rsidTr="003E7002">
        <w:tc>
          <w:tcPr>
            <w:tcW w:w="9547" w:type="dxa"/>
            <w:gridSpan w:val="2"/>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1414B">
              <w:rPr>
                <w:rFonts w:ascii="Times New Roman" w:eastAsia="Times New Roman" w:hAnsi="Times New Roman" w:cs="Times New Roman"/>
                <w:sz w:val="24"/>
                <w:szCs w:val="24"/>
              </w:rPr>
              <w:t xml:space="preserve">Примечание – Составлено автором по источнику </w:t>
            </w:r>
            <w:r w:rsidR="005738AE">
              <w:rPr>
                <w:rFonts w:ascii="Times New Roman" w:eastAsia="Times New Roman" w:hAnsi="Times New Roman" w:cs="Times New Roman"/>
                <w:sz w:val="24"/>
                <w:szCs w:val="24"/>
              </w:rPr>
              <w:t>[184</w:t>
            </w:r>
            <w:r w:rsidRPr="0081414B">
              <w:rPr>
                <w:rFonts w:ascii="Times New Roman" w:eastAsia="Times New Roman" w:hAnsi="Times New Roman" w:cs="Times New Roman"/>
                <w:sz w:val="24"/>
                <w:szCs w:val="24"/>
              </w:rPr>
              <w:t>]</w:t>
            </w:r>
          </w:p>
        </w:tc>
      </w:tr>
    </w:tbl>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начальном этапе инициативу поддержала общественная организация Ассоциация по сохранению биоразнообразия Казахстана (далее – АСБК), которая ранее выступала за создание природного парка на озерах Большой и Малый Талдыколь.</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Огромная работа, проделанная АСБК по подготовке биологического технико-экономического обоснования проекта создания природного парка, изучению передового международного опыта и организации ряда ознакомительных поездок в Лондон для представителей акимата города Астаны, осталась невостребованной после изменения руководство администрации города.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Выявление причин, послуживших формированию поля для развития конфликтной ситуации, важно для предвидения конфликтной ситуации и понимания круга вовлеченных лиц.</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Протестные настроения относительно небольшой группы людей вылились в организацию общегородского субботника на озере Малый Талдыколь, который широко освещался в социальных сетях.</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показал контент анализ социальных сетей корпорации МЕТА года в августе 2020 года и мае 2021 года попытками реабилитироваться власти в то время было включение в эту акцию сотрудников природоохранного ведомства и придание мероприятию запланированного ранее официального статуса.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можно констатировать, что в самом начале инициативная группа, выступавшая против перекрытия озера, была мотивирована желанием защитить свое место жительства от незаконного вмешательства, а проблема носила локальный характер.</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Далее в статье анализируется хронологическая последовательность основных событий, показывающую динамику эскалации конфликта с вовлечением все большего числа заинтересованных сторон и его распространения на республиканский уровень </w:t>
      </w:r>
      <w:r w:rsidR="005738AE">
        <w:rPr>
          <w:rFonts w:ascii="Times New Roman" w:eastAsia="Times New Roman" w:hAnsi="Times New Roman" w:cs="Times New Roman"/>
          <w:sz w:val="28"/>
          <w:szCs w:val="28"/>
        </w:rPr>
        <w:t>[183</w:t>
      </w:r>
      <w:r>
        <w:rPr>
          <w:rFonts w:ascii="Times New Roman" w:eastAsia="Times New Roman" w:hAnsi="Times New Roman" w:cs="Times New Roman"/>
          <w:sz w:val="28"/>
          <w:szCs w:val="28"/>
        </w:rPr>
        <w:t>, р. 89-100</w:t>
      </w:r>
      <w:r w:rsidRPr="00477A0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будет дана оценка действиям городских властей в ответ на растущую огласку проблемы сохранения озера Малый Талдыколь в социальных сетях и официальных сообщениях.</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(Приложение М) описаны события продолжающегося протестного процесса в рамках Инициативы по сохранению Малого Талдыколя и факторы, которые его институционализировали с июля 2020 года по сентябрь 2021 года.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Последующее игнорирование властями попыток диалога с общественностью привело к выработке единой цели и стратегии развития движения, формированию экспертного пула, формулированию требований и их публикации.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Далее, через систематизацию, систематичность и масштабность действий в защиту Малого Талдыколя инициативная группа способствует институционализации движения. Протесты на еженедельной основе приобретают систематический характер с вовлечением разных социальных слоев </w:t>
      </w:r>
      <w:r>
        <w:rPr>
          <w:rFonts w:ascii="Times New Roman" w:eastAsia="Times New Roman" w:hAnsi="Times New Roman" w:cs="Times New Roman"/>
          <w:sz w:val="28"/>
          <w:szCs w:val="28"/>
        </w:rPr>
        <w:lastRenderedPageBreak/>
        <w:t>о чем свидетельствуют появление все новых комментариев под публикациями и свыше 9 тысяч лайков под постами в социальных сетях.</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Активизация протеста на данном этапе подтверждается результатами мониторинга контента Youtube, который обозначил его роль в качестве одного из индикаторов протестного настроения. Организация цикла публичных лекций «Город vs Природа» на платформе Facebook и записью на YouTube канале которые можно наблюдать в таблице 16 способствовала развитию знаний об экосистемах (хештег #sostaldykol).</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16 – Информация по образовательным лекциям, касательно исторической, социальной, экономической и экологической важности сохранения озера Малый Талдыколь </w:t>
      </w:r>
    </w:p>
    <w:p w:rsidR="00EA72C7" w:rsidRDefault="00EA72C7" w:rsidP="00EA72C7">
      <w:pPr>
        <w:spacing w:after="0" w:line="240" w:lineRule="auto"/>
        <w:ind w:firstLine="709"/>
        <w:jc w:val="both"/>
        <w:rPr>
          <w:rFonts w:ascii="Times New Roman" w:eastAsia="Times New Roman" w:hAnsi="Times New Roman" w:cs="Times New Roman"/>
          <w:sz w:val="16"/>
          <w:szCs w:val="16"/>
        </w:rPr>
      </w:pPr>
    </w:p>
    <w:tbl>
      <w:tblPr>
        <w:tblW w:w="961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6"/>
        <w:gridCol w:w="2884"/>
        <w:gridCol w:w="3373"/>
        <w:gridCol w:w="1484"/>
      </w:tblGrid>
      <w:tr w:rsidR="00EA72C7" w:rsidTr="003E7002">
        <w:tc>
          <w:tcPr>
            <w:tcW w:w="1876"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Имя эксперта</w:t>
            </w:r>
          </w:p>
        </w:tc>
        <w:tc>
          <w:tcPr>
            <w:tcW w:w="2884"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Должность</w:t>
            </w:r>
          </w:p>
        </w:tc>
        <w:tc>
          <w:tcPr>
            <w:tcW w:w="3373"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лекции</w:t>
            </w:r>
          </w:p>
        </w:tc>
        <w:tc>
          <w:tcPr>
            <w:tcW w:w="1484"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просмотров</w:t>
            </w:r>
          </w:p>
        </w:tc>
      </w:tr>
      <w:tr w:rsidR="00EA72C7" w:rsidTr="003E7002">
        <w:tc>
          <w:tcPr>
            <w:tcW w:w="1876"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Чиканаев</w:t>
            </w:r>
          </w:p>
        </w:tc>
        <w:tc>
          <w:tcPr>
            <w:tcW w:w="2884"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Архитектор, рук. научно-исследоват. группы НИИ «Астана ГенПлан»</w:t>
            </w:r>
          </w:p>
        </w:tc>
        <w:tc>
          <w:tcPr>
            <w:tcW w:w="3373"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«Генеральный План столицы, что и почему пошло не по плану Кисё Куракавы»</w:t>
            </w:r>
          </w:p>
        </w:tc>
        <w:tc>
          <w:tcPr>
            <w:tcW w:w="1484"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317/8</w:t>
            </w:r>
          </w:p>
        </w:tc>
      </w:tr>
      <w:tr w:rsidR="00EA72C7" w:rsidTr="003E7002">
        <w:tc>
          <w:tcPr>
            <w:tcW w:w="1876"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Сандыбаева</w:t>
            </w:r>
          </w:p>
        </w:tc>
        <w:tc>
          <w:tcPr>
            <w:tcW w:w="2884"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Философ Евразийского национального универ ситета им. Гумилева</w:t>
            </w:r>
          </w:p>
        </w:tc>
        <w:tc>
          <w:tcPr>
            <w:tcW w:w="3373"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Философия симбиоза Кисё Куракавы: город и природа</w:t>
            </w:r>
          </w:p>
        </w:tc>
        <w:tc>
          <w:tcPr>
            <w:tcW w:w="1484"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r>
      <w:tr w:rsidR="00EA72C7" w:rsidTr="003E7002">
        <w:tc>
          <w:tcPr>
            <w:tcW w:w="1876"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Утепов</w:t>
            </w:r>
          </w:p>
        </w:tc>
        <w:tc>
          <w:tcPr>
            <w:tcW w:w="2884"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Докторант в области государств. управления</w:t>
            </w:r>
          </w:p>
        </w:tc>
        <w:tc>
          <w:tcPr>
            <w:tcW w:w="3373"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экосистемных услуг в жизни человека»</w:t>
            </w:r>
          </w:p>
        </w:tc>
        <w:tc>
          <w:tcPr>
            <w:tcW w:w="1484"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430/10</w:t>
            </w:r>
          </w:p>
        </w:tc>
      </w:tr>
      <w:tr w:rsidR="00EA72C7" w:rsidTr="003E7002">
        <w:tc>
          <w:tcPr>
            <w:tcW w:w="1876"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Япиев</w:t>
            </w:r>
          </w:p>
        </w:tc>
        <w:tc>
          <w:tcPr>
            <w:tcW w:w="2884"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Научный сотрудник университета Рединга, Великобритания</w:t>
            </w:r>
          </w:p>
        </w:tc>
        <w:tc>
          <w:tcPr>
            <w:tcW w:w="3373"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водно-болотных угодий»</w:t>
            </w:r>
          </w:p>
        </w:tc>
        <w:tc>
          <w:tcPr>
            <w:tcW w:w="1484"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63/5</w:t>
            </w:r>
          </w:p>
        </w:tc>
      </w:tr>
      <w:tr w:rsidR="00EA72C7" w:rsidTr="003E7002">
        <w:tc>
          <w:tcPr>
            <w:tcW w:w="1876"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 Уразалиев</w:t>
            </w:r>
          </w:p>
        </w:tc>
        <w:tc>
          <w:tcPr>
            <w:tcW w:w="2884"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Орнитолог, Ассоциация по сохранению биразно образия</w:t>
            </w:r>
          </w:p>
        </w:tc>
        <w:tc>
          <w:tcPr>
            <w:tcW w:w="3373"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«Природа в городе: миф или реальность?»</w:t>
            </w:r>
          </w:p>
        </w:tc>
        <w:tc>
          <w:tcPr>
            <w:tcW w:w="1484"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34/3</w:t>
            </w:r>
          </w:p>
        </w:tc>
      </w:tr>
      <w:tr w:rsidR="00EA72C7" w:rsidTr="003E7002">
        <w:tc>
          <w:tcPr>
            <w:tcW w:w="1876"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Дукомбайев</w:t>
            </w:r>
          </w:p>
        </w:tc>
        <w:tc>
          <w:tcPr>
            <w:tcW w:w="2884"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Научный сотрудник НИИ археологии им.  Акишева</w:t>
            </w:r>
          </w:p>
        </w:tc>
        <w:tc>
          <w:tcPr>
            <w:tcW w:w="3373"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«Историческая ценность Талдыкольской системы озер»</w:t>
            </w:r>
          </w:p>
        </w:tc>
        <w:tc>
          <w:tcPr>
            <w:tcW w:w="1484"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43/3</w:t>
            </w:r>
          </w:p>
        </w:tc>
      </w:tr>
      <w:tr w:rsidR="00EA72C7" w:rsidTr="003E7002">
        <w:tc>
          <w:tcPr>
            <w:tcW w:w="1876"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Сураганова</w:t>
            </w:r>
          </w:p>
        </w:tc>
        <w:tc>
          <w:tcPr>
            <w:tcW w:w="2884"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научный сот рудник музея заповед ника «Бозок»</w:t>
            </w:r>
          </w:p>
        </w:tc>
        <w:tc>
          <w:tcPr>
            <w:tcW w:w="3373"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«Озеро Талдыколь – приют Великой матери тюрков»</w:t>
            </w:r>
          </w:p>
        </w:tc>
        <w:tc>
          <w:tcPr>
            <w:tcW w:w="1484"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45/3</w:t>
            </w:r>
          </w:p>
        </w:tc>
      </w:tr>
      <w:tr w:rsidR="00EA72C7" w:rsidTr="007F7B5C">
        <w:tc>
          <w:tcPr>
            <w:tcW w:w="1876" w:type="dxa"/>
            <w:tcBorders>
              <w:bottom w:val="single" w:sz="4" w:space="0" w:color="000000"/>
            </w:tcBorders>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Хабдуллина</w:t>
            </w:r>
          </w:p>
        </w:tc>
        <w:tc>
          <w:tcPr>
            <w:tcW w:w="2884" w:type="dxa"/>
            <w:tcBorders>
              <w:bottom w:val="single" w:sz="4" w:space="0" w:color="000000"/>
            </w:tcBorders>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Научный сотрудник НИИ археологии им. Акишева</w:t>
            </w:r>
          </w:p>
        </w:tc>
        <w:tc>
          <w:tcPr>
            <w:tcW w:w="3373" w:type="dxa"/>
            <w:tcBorders>
              <w:bottom w:val="single" w:sz="4" w:space="0" w:color="000000"/>
            </w:tcBorders>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Дискуссия «История и мифология Талдыкольской системы озер»</w:t>
            </w:r>
          </w:p>
        </w:tc>
        <w:tc>
          <w:tcPr>
            <w:tcW w:w="1484" w:type="dxa"/>
            <w:tcBorders>
              <w:bottom w:val="single" w:sz="4" w:space="0" w:color="000000"/>
            </w:tcBorders>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58/3</w:t>
            </w:r>
          </w:p>
        </w:tc>
      </w:tr>
      <w:tr w:rsidR="00EA72C7" w:rsidTr="007F7B5C">
        <w:tc>
          <w:tcPr>
            <w:tcW w:w="1876" w:type="dxa"/>
            <w:tcBorders>
              <w:bottom w:val="nil"/>
            </w:tcBorders>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Капар</w:t>
            </w:r>
          </w:p>
          <w:p w:rsidR="004D137E" w:rsidRDefault="004D137E" w:rsidP="003E7002">
            <w:pPr>
              <w:jc w:val="both"/>
              <w:rPr>
                <w:rFonts w:ascii="Times New Roman" w:eastAsia="Times New Roman" w:hAnsi="Times New Roman" w:cs="Times New Roman"/>
                <w:sz w:val="24"/>
                <w:szCs w:val="24"/>
              </w:rPr>
            </w:pPr>
          </w:p>
          <w:p w:rsidR="004D137E" w:rsidRDefault="004D137E" w:rsidP="003E7002">
            <w:pPr>
              <w:jc w:val="both"/>
              <w:rPr>
                <w:rFonts w:ascii="Times New Roman" w:eastAsia="Times New Roman" w:hAnsi="Times New Roman" w:cs="Times New Roman"/>
                <w:sz w:val="24"/>
                <w:szCs w:val="24"/>
              </w:rPr>
            </w:pPr>
          </w:p>
        </w:tc>
        <w:tc>
          <w:tcPr>
            <w:tcW w:w="2884" w:type="dxa"/>
            <w:tcBorders>
              <w:bottom w:val="nil"/>
            </w:tcBorders>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Искусствовед, руководи тель Artcom Platform</w:t>
            </w:r>
          </w:p>
        </w:tc>
        <w:tc>
          <w:tcPr>
            <w:tcW w:w="3373" w:type="dxa"/>
            <w:tcBorders>
              <w:bottom w:val="nil"/>
            </w:tcBorders>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Дискуссия «Искусство, наука, экология и сообщества»</w:t>
            </w:r>
          </w:p>
        </w:tc>
        <w:tc>
          <w:tcPr>
            <w:tcW w:w="1484" w:type="dxa"/>
            <w:tcBorders>
              <w:bottom w:val="nil"/>
            </w:tcBorders>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55/5</w:t>
            </w:r>
          </w:p>
        </w:tc>
      </w:tr>
      <w:tr w:rsidR="004D137E" w:rsidTr="007F7B5C">
        <w:tc>
          <w:tcPr>
            <w:tcW w:w="9617" w:type="dxa"/>
            <w:gridSpan w:val="4"/>
            <w:tcBorders>
              <w:top w:val="nil"/>
              <w:left w:val="nil"/>
              <w:bottom w:val="single" w:sz="4" w:space="0" w:color="auto"/>
              <w:right w:val="nil"/>
            </w:tcBorders>
          </w:tcPr>
          <w:p w:rsidR="004D137E" w:rsidRDefault="004D137E" w:rsidP="004D137E">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Продолжение таблицы 16</w:t>
            </w:r>
          </w:p>
          <w:p w:rsidR="007F7B5C" w:rsidRPr="007F7B5C" w:rsidRDefault="007F7B5C" w:rsidP="004D137E">
            <w:pPr>
              <w:rPr>
                <w:rFonts w:ascii="Times New Roman" w:eastAsia="Times New Roman" w:hAnsi="Times New Roman" w:cs="Times New Roman"/>
                <w:sz w:val="16"/>
                <w:szCs w:val="16"/>
              </w:rPr>
            </w:pPr>
          </w:p>
        </w:tc>
      </w:tr>
      <w:tr w:rsidR="004D137E" w:rsidTr="007F7B5C">
        <w:tc>
          <w:tcPr>
            <w:tcW w:w="1876" w:type="dxa"/>
            <w:tcBorders>
              <w:top w:val="single" w:sz="4" w:space="0" w:color="auto"/>
            </w:tcBorders>
          </w:tcPr>
          <w:p w:rsidR="004D137E" w:rsidRDefault="004D137E" w:rsidP="004D13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84" w:type="dxa"/>
            <w:tcBorders>
              <w:top w:val="single" w:sz="4" w:space="0" w:color="auto"/>
            </w:tcBorders>
          </w:tcPr>
          <w:p w:rsidR="004D137E" w:rsidRDefault="004D137E" w:rsidP="004D13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73" w:type="dxa"/>
            <w:tcBorders>
              <w:top w:val="single" w:sz="4" w:space="0" w:color="auto"/>
            </w:tcBorders>
          </w:tcPr>
          <w:p w:rsidR="004D137E" w:rsidRDefault="004D137E" w:rsidP="004D13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84" w:type="dxa"/>
            <w:tcBorders>
              <w:top w:val="single" w:sz="4" w:space="0" w:color="auto"/>
            </w:tcBorders>
            <w:vAlign w:val="center"/>
          </w:tcPr>
          <w:p w:rsidR="004D137E" w:rsidRDefault="004D137E" w:rsidP="004D13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A72C7" w:rsidTr="003E7002">
        <w:tc>
          <w:tcPr>
            <w:tcW w:w="1876"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Сахариева</w:t>
            </w:r>
          </w:p>
        </w:tc>
        <w:tc>
          <w:tcPr>
            <w:tcW w:w="2884"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центра искус ства и науки универси тета ИТМО</w:t>
            </w:r>
          </w:p>
        </w:tc>
        <w:tc>
          <w:tcPr>
            <w:tcW w:w="3373"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Дискуссия «Искусство, наука, экология и сообщества»</w:t>
            </w:r>
          </w:p>
        </w:tc>
        <w:tc>
          <w:tcPr>
            <w:tcW w:w="1484"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55/5</w:t>
            </w:r>
          </w:p>
        </w:tc>
      </w:tr>
      <w:tr w:rsidR="00EA72C7" w:rsidTr="003E7002">
        <w:tc>
          <w:tcPr>
            <w:tcW w:w="1876"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 Искаков</w:t>
            </w:r>
          </w:p>
        </w:tc>
        <w:tc>
          <w:tcPr>
            <w:tcW w:w="2884"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Урбанист исследователь, архитектор, основатель городской платформы </w:t>
            </w:r>
          </w:p>
        </w:tc>
        <w:tc>
          <w:tcPr>
            <w:tcW w:w="3373"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«Экопарк на Талдыколе в Астане. Что не так?»</w:t>
            </w:r>
          </w:p>
        </w:tc>
        <w:tc>
          <w:tcPr>
            <w:tcW w:w="1484"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429/21</w:t>
            </w:r>
          </w:p>
        </w:tc>
      </w:tr>
      <w:tr w:rsidR="00EA72C7" w:rsidTr="003E7002">
        <w:tc>
          <w:tcPr>
            <w:tcW w:w="9617" w:type="dxa"/>
            <w:gridSpan w:val="4"/>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1414B">
              <w:rPr>
                <w:rFonts w:ascii="Times New Roman" w:eastAsia="Times New Roman" w:hAnsi="Times New Roman" w:cs="Times New Roman"/>
                <w:sz w:val="24"/>
                <w:szCs w:val="24"/>
              </w:rPr>
              <w:t>Примечание – С</w:t>
            </w:r>
            <w:r>
              <w:rPr>
                <w:rFonts w:ascii="Times New Roman" w:eastAsia="Times New Roman" w:hAnsi="Times New Roman" w:cs="Times New Roman"/>
                <w:sz w:val="24"/>
                <w:szCs w:val="24"/>
              </w:rPr>
              <w:t>оставлено автором</w:t>
            </w:r>
          </w:p>
        </w:tc>
      </w:tr>
    </w:tbl>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страницах Youtube канала протестного движения размещено 16 видеосюжетов с свыше 3,9 тыс. просмотров, а также 4 видеосюжета на каналах зарубежных и отечественных известных блогеров, 4 имеющие от 6 тыс. до 4 млн. просмотров (Приложение М).</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отметить что, все мероприятия транслировались в прямом эфире посредством социального мессенджера Instagram и Facebook. Всего при проведении акций участвовало свыше 1200 человек.</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4CC0744" wp14:editId="123F8EF4">
            <wp:extent cx="5947410" cy="3800104"/>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A72C7" w:rsidRDefault="00EA72C7" w:rsidP="004D137E">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 общее количество лайков с перепостами, количество участников событий и акций; </w:t>
      </w:r>
      <w:r w:rsidR="004D13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 – количество лайков  на особые комментарии с негативной оценкой действия власти</w:t>
      </w:r>
    </w:p>
    <w:p w:rsidR="00EA72C7" w:rsidRDefault="00EA72C7" w:rsidP="00EA72C7">
      <w:pPr>
        <w:spacing w:after="0" w:line="240" w:lineRule="auto"/>
        <w:jc w:val="center"/>
        <w:rPr>
          <w:rFonts w:ascii="Times New Roman" w:eastAsia="Times New Roman" w:hAnsi="Times New Roman" w:cs="Times New Roman"/>
          <w:sz w:val="16"/>
          <w:szCs w:val="16"/>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18 – Динамика развития конфликта</w:t>
      </w:r>
    </w:p>
    <w:p w:rsidR="00EA72C7" w:rsidRPr="00542D0C" w:rsidRDefault="00EA72C7" w:rsidP="00EA72C7">
      <w:pPr>
        <w:spacing w:after="0" w:line="240" w:lineRule="auto"/>
        <w:jc w:val="center"/>
        <w:rPr>
          <w:rFonts w:ascii="Times New Roman" w:eastAsia="Times New Roman" w:hAnsi="Times New Roman" w:cs="Times New Roman"/>
          <w:sz w:val="16"/>
          <w:szCs w:val="16"/>
        </w:rPr>
      </w:pPr>
    </w:p>
    <w:p w:rsidR="00EA72C7" w:rsidRDefault="00EA72C7" w:rsidP="00EA72C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81414B">
        <w:rPr>
          <w:rFonts w:ascii="Times New Roman" w:eastAsia="Times New Roman" w:hAnsi="Times New Roman" w:cs="Times New Roman"/>
          <w:sz w:val="24"/>
          <w:szCs w:val="24"/>
        </w:rPr>
        <w:t xml:space="preserve">Примечание – Составлено автором по источнику </w:t>
      </w:r>
      <w:r w:rsidR="005738AE">
        <w:rPr>
          <w:rFonts w:ascii="Times New Roman" w:eastAsia="Times New Roman" w:hAnsi="Times New Roman" w:cs="Times New Roman"/>
          <w:sz w:val="24"/>
          <w:szCs w:val="24"/>
        </w:rPr>
        <w:t>[183</w:t>
      </w:r>
      <w:r w:rsidRPr="00542D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б. </w:t>
      </w:r>
      <w:r>
        <w:rPr>
          <w:rFonts w:ascii="Times New Roman" w:eastAsia="Times New Roman" w:hAnsi="Times New Roman" w:cs="Times New Roman"/>
          <w:sz w:val="24"/>
          <w:szCs w:val="24"/>
          <w:lang w:val="kk-KZ"/>
        </w:rPr>
        <w:t xml:space="preserve">89 </w:t>
      </w:r>
      <w:r>
        <w:rPr>
          <w:rFonts w:ascii="Times New Roman" w:eastAsia="Times New Roman" w:hAnsi="Times New Roman" w:cs="Times New Roman"/>
          <w:sz w:val="24"/>
          <w:szCs w:val="24"/>
        </w:rPr>
        <w:t>-100</w:t>
      </w:r>
      <w:r w:rsidRPr="0081414B">
        <w:rPr>
          <w:rFonts w:ascii="Times New Roman" w:eastAsia="Times New Roman" w:hAnsi="Times New Roman" w:cs="Times New Roman"/>
          <w:sz w:val="24"/>
          <w:szCs w:val="24"/>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 рисунке 18 хорошо видна динамика эскалации конфликта, демонстрирующая влияние решений городских властей касательно планов по осушению системы озер Малый Талдыколь на развитие (увеличение) гражданского протестного поля, движимого защитой природного объекта.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18а (диаграмма) показывает количество лайков с перепостами, количество участников событий и проводимых акций в защиту озера, а на рисунке 18б (диаграмма) показан рост лайков на особые комментарии вызывающие крайне негативную реакцию на решения городской власти.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(Приложение М) подробно детализированы информационные поводы (события – С1-С21) являющиеся причиной нарастания протестной массы, а также описаны этапы институционализации общественного движения.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рисунке 18 также отчетливо наблюдается эволюция становления инициативной группы состоящих из жителей близлежащих домов в устойчивое экологическое движение, имеющее признаки субъекта гражданского контроля.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Этапы институционализации довольно четко выражены на рисунке 18а (диаграмма) в виде соответствующих пяти ступеней. Так, наиболее критично воспринимаемые обществом решения по осушению того или иного участка озера, формирование ложного стереотипа об опасности озера для эпидемиологической ситуации города, а также его естественной засушливости, противоречивые по своему характеру заявления официальных лиц в СМИ о возникновении и перспективах сохранения озера и невыполнение публичных обещаний по сохранению озера Малый Талдыколь практически в два раза увеличивают количество сторонников сохранения озера.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Рост сторонников подсчитывается количеством лайков с перепостами, количеством участников событий и проводимых акций в защиту озера ввиду того, что социальные сети в настоящее время являются одним из доступных каналов связи.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Редкие комментарии в поддержку решений власти по осушению озера ввиду того, что они составляю менее 1% всех высказанных в социальных сетях мнений не описывается.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сожалению, инициативная группа, столкнувшись с тем, что предложенная властями диалоговая площадка носит чисто формальный характер, а рекомендации и обещания, высказанные на встрече, не выполняются, предпринимает действия по активизации протеста.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итоге, через год деятельность инициативной группы приобрела легитимные формы общественного контроля, выражающиеся в систематическом мониторинге и контроле за нарушением строителями природоохранного законодательства, привлечении профессиональных юристов к подготовке исков, клеймении гражданского движения символизация, обращения к международному сообществу, подготовка и трансляция документального сериала, привлечение блогеров, петиция на имя Главы государства набрала 12 тысяч голосов.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 масштабу вовлеченных сторонников инициатива по сохранению озера превратилась из небольшого локального конфликта в конфликт общегосударственного значения.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Этому, по-видимому, способствовала эволюция уровня восприятия и понимания населением проблемы утраты экосистем и осознание ее глобального значения.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нами выявлены следующие действия властей, способствующие эскалации конфликта.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игнорирование наличия протеста, попытка скрыть наличие проблемы;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формирование ложного стереотипа об опасности озера для эпидемиологической ситуации города, а также его естественной засушливости;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дискредитация отдельных членов инициативной группы, путем обвинений в причастности к определенным хозяйствующим субъектам;</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противоречивые по своему характеру заявления официальных лиц в СМИ о возникновении и перспективах сохранения озера;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отсутствие поддержки со стороны природоохранного ведомства, заявляющего о своей непричастности к озеру Малый Талдыколь, находящемуся на балансе акимата;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невыполнение публичных обещаний по сохранению озера Малый Талдыколь;</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имитация диалога;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уклонение от диалога с общественностью путем игнорирования рекомендаций членов Рабочей группы при акимате города, созданной для решения проблемы (протокол не оформляется, заседание носит формальный характер);</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сокрытие фактов принятия решений об исключении озера из перечня водных объектов, принятии ПДП и т.п. (не согласовывается с жителями и экспертами и доводится до сведения общественности постфактум);</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заведомый обман, что озеро будет сохранено, ссылаясь на благоустройство вокруг озера Большой Талдыколь;</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продолжение работ по осушению и фрагментации озера;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дезинформация властей о строительстве туристического комплекса на озере.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в самом начале власть не осознает необходимость диалога с обществом, то на определенном этапе городские власти признают, что общественный запрос на улучшение экологического состояния города есть, но надеются, что ничего делать не придется.</w:t>
      </w:r>
    </w:p>
    <w:p w:rsidR="00EA72C7" w:rsidRDefault="00EA72C7" w:rsidP="00EA72C7">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Обсуждение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Полученные результаты анализа формирования конфликта подтверждают, что в основе изначального возмущения жителей близлежащих озеру домов лежала личная обида - обман строительных компаний при продаже и рекламе квартир жилого комплекса, гармонично вписанных в природный ландшафт.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Одной из основных причин эскалации конфликта является искусственное замалчивание и сокрытие властями решений, затрагивающих права, свободы и </w:t>
      </w:r>
      <w:r>
        <w:rPr>
          <w:rFonts w:ascii="Times New Roman" w:eastAsia="Times New Roman" w:hAnsi="Times New Roman" w:cs="Times New Roman"/>
          <w:sz w:val="28"/>
          <w:szCs w:val="28"/>
        </w:rPr>
        <w:lastRenderedPageBreak/>
        <w:t>обязанности граждан. Например, в СМИ до сих пор отсутствует актуальная информация об изменении состояния водного объекта Малый Талдыколь, проект RAP и другие.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Это подтверждается исследованием Е. Саирова где указано, что государство по-прежнему пытается игнорировать информационные процессы, происходящие в системе электронных коммуникаций путем «заигрывания» с информацией, в то время как назрела необходимость трансформации коммуникаций, ориентированных на диалог </w:t>
      </w:r>
      <w:r w:rsidR="005738AE">
        <w:rPr>
          <w:rFonts w:ascii="Times New Roman" w:eastAsia="Times New Roman" w:hAnsi="Times New Roman" w:cs="Times New Roman"/>
          <w:sz w:val="28"/>
          <w:szCs w:val="28"/>
        </w:rPr>
        <w:t>[185</w:t>
      </w:r>
      <w:r>
        <w:rPr>
          <w:rFonts w:ascii="Times New Roman" w:eastAsia="Times New Roman" w:hAnsi="Times New Roman" w:cs="Times New Roman"/>
          <w:sz w:val="28"/>
          <w:szCs w:val="28"/>
        </w:rPr>
        <w:t xml:space="preserve">].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свою очередь, возмущения в социальных сетях, возрастающее в геометрической прогрессии, можно интерпретировать как отражение реального протестного настроения, по которому можно отслеживать фазы эскалации конфликта.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Динамика развития конфликта, наблюдаемая на рисунке 1a подтвердила имеющиеся закономерности в эволюции экологических конфликтов, где стадии эскалации конфликта сопоставляются с этапами институционализации протестного движения.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схожесть эволюции экологического протестного движения во всем мире прослеживается и в представленном кейсе. Консолидация усилий коренного населения, нашедшее поддержку в неправительственном секторе в виде экспертной, а далее юридической помощи в конце концов ведет к расширению возможности и обращению за помощью в адвокации к международным экологическим организациям </w:t>
      </w:r>
      <w:r w:rsidR="005738AE">
        <w:rPr>
          <w:rFonts w:ascii="Times New Roman" w:eastAsia="Times New Roman" w:hAnsi="Times New Roman" w:cs="Times New Roman"/>
          <w:sz w:val="28"/>
          <w:szCs w:val="28"/>
        </w:rPr>
        <w:t>[186</w:t>
      </w:r>
      <w:r>
        <w:rPr>
          <w:rFonts w:ascii="Times New Roman" w:eastAsia="Times New Roman" w:hAnsi="Times New Roman" w:cs="Times New Roman"/>
          <w:sz w:val="28"/>
          <w:szCs w:val="28"/>
        </w:rPr>
        <w:t xml:space="preserve">].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Еще одним аспектом, требующим обсуждения, является наблюдаемая стабилизация конфликтной ситуации в случаях попыток власти в налаживании диалога, посредством сообщения о создании легитимной Рабочей группы с участием общественников.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Вместе с тем, последующая «имитация диалога» на предложенной площадке объясняет резкий скачок негативных комментариев, рост сторонников экологического протеста, а также мобилизацию их усилий.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Основываясь на опыте исследователей по изучению стадий развития конфликта, можно предположить следующие 3 стадии: </w:t>
      </w:r>
      <w:r>
        <w:rPr>
          <w:rFonts w:ascii="Times New Roman" w:eastAsia="Times New Roman" w:hAnsi="Times New Roman" w:cs="Times New Roman"/>
          <w:i/>
          <w:sz w:val="28"/>
          <w:szCs w:val="28"/>
        </w:rPr>
        <w:t>оптимистическую, реалистическую и пессимистическую</w:t>
      </w:r>
      <w:r>
        <w:rPr>
          <w:rFonts w:ascii="Times New Roman" w:eastAsia="Times New Roman" w:hAnsi="Times New Roman" w:cs="Times New Roman"/>
          <w:sz w:val="28"/>
          <w:szCs w:val="28"/>
        </w:rPr>
        <w:t xml:space="preserve"> </w:t>
      </w:r>
      <w:r w:rsidR="005738AE">
        <w:rPr>
          <w:rFonts w:ascii="Times New Roman" w:eastAsia="Times New Roman" w:hAnsi="Times New Roman" w:cs="Times New Roman"/>
          <w:sz w:val="28"/>
          <w:szCs w:val="28"/>
        </w:rPr>
        <w:t>[184</w:t>
      </w:r>
      <w:r>
        <w:rPr>
          <w:rFonts w:ascii="Times New Roman" w:eastAsia="Times New Roman" w:hAnsi="Times New Roman" w:cs="Times New Roman"/>
          <w:sz w:val="28"/>
          <w:szCs w:val="28"/>
        </w:rPr>
        <w:t>, р. 538-544].</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Оптимистичный сценарий заключается в создании властями легитимной диалоговой площадки, где предоставляется право общественности на участие в процессе принятия решений.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Внесение изменений в действующую стратегию и концепцию развития города Нур-Султан, целевые индикаторы развития города, определение природных ландшафтов, оценку экосистемных услуг.</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Реалистичный (практичный, прагматичный, разумный) сценарий – предполагает принятие оперативных мер по локализации конфликта.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городскими властями диалогового поля, дающего возможность заинтересованным сторонам участвовать в процессе принятия решений, касающихся судьбы озера Малый Талдыколь.</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Остановка строительства и доработка проекта детальной застройки и Генерального плана города Нур-Султан с учетом создания Природного парка на территории озер Малый и Большой Талдыколь и выделение территории с особой рекреационной зоной. На территории, уже подвергшейся антропогенному воздействию, должны быть приняты адаптированные меры управления, способствующие постепенному восстановлению экосистем. Используйте парк для повышения уровня экологической культуры и воспитания подрастающего поколения.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показывает опыт, даже признание легитимности экологическому движению в виде предоставления статуса «сертифицированного» голоса в экологической экспертизе полностью не решает проблем экологической справедливости </w:t>
      </w:r>
      <w:r w:rsidR="005738AE">
        <w:rPr>
          <w:rFonts w:ascii="Times New Roman" w:eastAsia="Times New Roman" w:hAnsi="Times New Roman" w:cs="Times New Roman"/>
          <w:sz w:val="28"/>
          <w:szCs w:val="28"/>
        </w:rPr>
        <w:t>[186</w:t>
      </w:r>
      <w:r>
        <w:rPr>
          <w:rFonts w:ascii="Times New Roman" w:eastAsia="Times New Roman" w:hAnsi="Times New Roman" w:cs="Times New Roman"/>
          <w:sz w:val="28"/>
          <w:szCs w:val="28"/>
        </w:rPr>
        <w:t xml:space="preserve">, р. 2612-2628].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Пессимистический (негативный) сценарий можно предположить следующим образом: в целях локализации продолжающихся протестов будут приняты меры жесткого административного регулирования и контроля со стороны властей.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 в свою очередь, приведет к новой волне непонимания и недоверия населения к власти в целом и сдвинет конфликт в неконструктивное русло. Требования приобретут политическую окраску, тем самым угрожая стабильности политической системы. Этот сценарий, несомненно, несет репутационные риски для Казахстана в мировом сообществе.</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Проблема отсутствия у населения доверия к власти наблюдается практически во всех социально важных сферах. Так, если обратиться к результатам анкетирования представителей налоговых органов Казахстана в 2021 году, основной целью которого являлось изучение влияние информированности и уровня налоговой культуры населения на налоговую дисциплину необходимо отметить, что именно доверие к государственным институтам, является одним из важнейших факторов добросовестного исполнения налоговых обязательств.</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Поскольку, в своем большинстве люди в отношениях с государством более склонны быть добросовестными, когда видят, что сделка честная, нежели в отношениях принуждения. Соответственно, граждане более склонны к уклонению от налогообложения в том случае, если условия обмена отличаются от рассчитанного справедливого условия. </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Вместе с этим, исследователи в области налогообложения не раз упоминали, что эффективно построенная работа с населением может оказать довольно положительное влияние на повышение налоговой культуры, что в свою очередь может сократить уклонение от налогообложения. Именно поэтому, налоговая культура может рассматриваться как подсознательный элементом, который может быть укреплен в силу чувства справедливого распределения налоговых денег государством, качеством получаемых государственных благ, уровня коммуникации.</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Полученные результаты подтверждают тезис о том, что эффективность реализации государственной политики зависит от доверия населения к власти </w:t>
      </w:r>
      <w:r>
        <w:rPr>
          <w:rFonts w:ascii="Times New Roman" w:eastAsia="Times New Roman" w:hAnsi="Times New Roman" w:cs="Times New Roman"/>
          <w:sz w:val="28"/>
          <w:szCs w:val="28"/>
        </w:rPr>
        <w:lastRenderedPageBreak/>
        <w:t xml:space="preserve">которое в первую очередь заключается в понимании государственными служащими необходимости диалога и открытости </w:t>
      </w:r>
      <w:r w:rsidR="005738AE">
        <w:rPr>
          <w:rFonts w:ascii="Times New Roman" w:eastAsia="Times New Roman" w:hAnsi="Times New Roman" w:cs="Times New Roman"/>
          <w:sz w:val="28"/>
          <w:szCs w:val="28"/>
        </w:rPr>
        <w:t>[187</w:t>
      </w:r>
      <w:r>
        <w:rPr>
          <w:rFonts w:ascii="Times New Roman" w:eastAsia="Times New Roman" w:hAnsi="Times New Roman" w:cs="Times New Roman"/>
          <w:sz w:val="28"/>
          <w:szCs w:val="28"/>
        </w:rPr>
        <w:t>, 195].</w:t>
      </w:r>
    </w:p>
    <w:p w:rsidR="00EA72C7" w:rsidRDefault="00EA72C7" w:rsidP="00EA72C7">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Выводы и рекомендации по управлению конфликтами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Исследование природы формирования и эскалации конфликта позволило выявить основные факторы, способствующие выработке рекомендаций по эффективному управлению конфликтов, связанных с вопросами городского планирования и благоустройства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Нашел подтверждение тезис, что эскалация конфликта запускает мобилизацию и консолидацию усилий для достижения цели, и институционализацию гражданского движения.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усиления эффективности влияния общественности на принятие решений, оно должно иметь определенную структуру:</w:t>
      </w:r>
    </w:p>
    <w:p w:rsidR="00EA72C7" w:rsidRDefault="00EA72C7" w:rsidP="00EA72C7">
      <w:pPr>
        <w:numPr>
          <w:ilvl w:val="0"/>
          <w:numId w:val="8"/>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Формирования сообщества заинтересованных людей. НПО инициативные группы, активные граждане, журналисты.</w:t>
      </w:r>
    </w:p>
    <w:p w:rsidR="00EA72C7" w:rsidRDefault="00EA72C7" w:rsidP="00EA72C7">
      <w:pPr>
        <w:numPr>
          <w:ilvl w:val="0"/>
          <w:numId w:val="8"/>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Инфраструктура. Система сбора обратной связи. Система рисков.</w:t>
      </w:r>
    </w:p>
    <w:p w:rsidR="00EA72C7" w:rsidRDefault="00EA72C7" w:rsidP="00EA72C7">
      <w:pPr>
        <w:numPr>
          <w:ilvl w:val="0"/>
          <w:numId w:val="8"/>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Медиа поддержка/адвокация. Региональная сеть журналистов. Система лоббирования снизу.</w:t>
      </w:r>
    </w:p>
    <w:p w:rsidR="00EA72C7" w:rsidRDefault="00EA72C7" w:rsidP="00EA72C7">
      <w:pPr>
        <w:numPr>
          <w:ilvl w:val="0"/>
          <w:numId w:val="8"/>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Юридическая поддержка сообщества.</w:t>
      </w:r>
    </w:p>
    <w:p w:rsidR="00EA72C7" w:rsidRDefault="00EA72C7" w:rsidP="00EA72C7">
      <w:pPr>
        <w:numPr>
          <w:ilvl w:val="0"/>
          <w:numId w:val="8"/>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Исследования.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Достижение результативности общественного участия в управлении во многом зависит от соблюдения принципов и механизмов общественного участия в управлении, взаимопонимания и партнерства органов местного самоуправления, представителей бизнеса и населения.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Дополнение системы самоуправления на местном уровне общественным участием, социальным партнерством, совместным управлением расширяет число участников, гарантируя новое качество процесса управления при сборе информации, определении приоритетов, принятии решений, контроле за их исполнением, оценке результатов.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Данная модель управления позволяет избежать эскалации конфликтов, перехода к «митинговой демократии» которое весьма неоднозначно с точки зрения социальных последствий и общественного блага.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Можно с уверенностью утверждать, что выбранная стратегия замалчивания и игнорирования проблемы, попытки дискредитации некоторых членов инициативной группы, непрозрачность принимаемых решений, намеренная дезориентация, предпринимаемая городскими властями, ведет к дальнейшей эскалации конфликта.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Разработана методика диагностики развития конфликтов, которая позволит диагностировать возникновение протестного движения на ранней стадии. В качестве рекомендаций по управлению конфликтами, связанными с вопросами городского благоустройства, предлагаются принять следующие меры.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обеспечить максимальную прозрачность и публичность принимаемых решений по городскому планированию;</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не допускать фактов дезинформации населения и предусмотреть ответственность должностных лиц за допущение указанных фактов;</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государственным органам рекомендуется постоянно проводить диагностику конфликтов согласно методики (Приложение М).</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Рекомендации по оценке эффективности деятельности госорганов.</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Указом Президента Республики Казахстан от 19 марта 2010 года № 954 утверждена Система ежегодной оценки эффективности деятельности центральных государственных и местных исполнительных органов областей, городов республиканского значения, столицы (далее – Система оценки) </w:t>
      </w:r>
      <w:r w:rsidR="005738AE">
        <w:rPr>
          <w:rFonts w:ascii="Times New Roman" w:eastAsia="Times New Roman" w:hAnsi="Times New Roman" w:cs="Times New Roman"/>
          <w:sz w:val="28"/>
          <w:szCs w:val="28"/>
        </w:rPr>
        <w:t>[189</w:t>
      </w:r>
      <w:r>
        <w:rPr>
          <w:rFonts w:ascii="Times New Roman" w:eastAsia="Times New Roman" w:hAnsi="Times New Roman" w:cs="Times New Roman"/>
          <w:sz w:val="28"/>
          <w:szCs w:val="28"/>
        </w:rPr>
        <w:t>].</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Система оценки включает:</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операционную оценку эффективности деятельности государственных органов (далее – операционная оценка);</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оценку результативности деятельности государственных органов (далее – оценка результативности).</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Операционная оценка – комплекс мероприятий, направленных на определение эффективности процессов деятельности в государственных органах. В свою очередь, оценка результативности – комплекс мероприятий, определяющих степень достижения государственными органами конкретных результатов при реализации стратегических целей и задач, направленных на повышение доходов и улучшение качества жизни населения.</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Показатель операционной оценки по блоку взаимодействия с физическими и юридическими лицами необходимо дополнить требованиями, предъявляемыми по обеспечению доступа к экологической информации, предусмотренными Экологическим Кодексом в новой редакции </w:t>
      </w:r>
      <w:r w:rsidR="005F2A00">
        <w:rPr>
          <w:rFonts w:ascii="Times New Roman" w:eastAsia="Times New Roman" w:hAnsi="Times New Roman" w:cs="Times New Roman"/>
          <w:sz w:val="28"/>
          <w:szCs w:val="28"/>
        </w:rPr>
        <w:t xml:space="preserve">[8] </w:t>
      </w:r>
      <w:r>
        <w:rPr>
          <w:rFonts w:ascii="Times New Roman" w:eastAsia="Times New Roman" w:hAnsi="Times New Roman" w:cs="Times New Roman"/>
          <w:sz w:val="28"/>
          <w:szCs w:val="28"/>
        </w:rPr>
        <w:t>. При этом, во избежание конфликта интересов, оценку по данному блоку должен проводить уполномоченный орган в области информации на основании критериев, предусмотренных в Экологическом Кодексе.</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Оценку результативности осуществляет Администрация Президента в соответствии с Методикой проведения ежегодной оценки результативности деятельности оцениваемых государственных органов, утвержденной приказом Руководителя Администрации Президента Республики Казахстан от 29 января 2020 года №20-01-38.3 которая устанавливает общие положения, принципы, источники, сбор и формирование информации, а также метод расчета ежегодной оценки результативности деятельности оцениваемых центральных государственных и местных исполнительных органов областей, городов республиканского значения, столицы </w:t>
      </w:r>
      <w:r w:rsidR="005738AE">
        <w:rPr>
          <w:rFonts w:ascii="Times New Roman" w:eastAsia="Times New Roman" w:hAnsi="Times New Roman" w:cs="Times New Roman"/>
          <w:sz w:val="28"/>
          <w:szCs w:val="28"/>
        </w:rPr>
        <w:t>[190</w:t>
      </w:r>
      <w:r>
        <w:rPr>
          <w:rFonts w:ascii="Times New Roman" w:eastAsia="Times New Roman" w:hAnsi="Times New Roman" w:cs="Times New Roman"/>
          <w:sz w:val="28"/>
          <w:szCs w:val="28"/>
        </w:rPr>
        <w:t>].</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из важных стратегических документов, определяющих основные направления развития Казахстана является Национальный план развития Республики Казахстан до 2025 года, утвержденный Указом Президента Республики Казахстан от 15 февраля 2018 года </w:t>
      </w:r>
      <w:r w:rsidR="005738AE">
        <w:rPr>
          <w:rFonts w:ascii="Times New Roman" w:eastAsia="Times New Roman" w:hAnsi="Times New Roman" w:cs="Times New Roman"/>
          <w:sz w:val="28"/>
          <w:szCs w:val="28"/>
        </w:rPr>
        <w:t>[191</w:t>
      </w:r>
      <w:r>
        <w:rPr>
          <w:rFonts w:ascii="Times New Roman" w:eastAsia="Times New Roman" w:hAnsi="Times New Roman" w:cs="Times New Roman"/>
          <w:sz w:val="28"/>
          <w:szCs w:val="28"/>
        </w:rPr>
        <w:t xml:space="preserve">]. </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Картой стратегических показателей развития до 2025 года приоритет развития «Сбалансированное территориальное развитие» предусмотрено направление «Уровень удовлетворенности населения экологическим качеством жизни», ответственным за исполнение которого является Министерство </w:t>
      </w:r>
      <w:r>
        <w:rPr>
          <w:rFonts w:ascii="Times New Roman" w:eastAsia="Times New Roman" w:hAnsi="Times New Roman" w:cs="Times New Roman"/>
          <w:sz w:val="28"/>
          <w:szCs w:val="28"/>
        </w:rPr>
        <w:lastRenderedPageBreak/>
        <w:t>экологии, геологии и природных ресурсов Республики Казахстан. Индикатором удовлетворенности «экологическим качеством жизни» является результаты опроса, проведенные в областях, а также МЭГПР.</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Обзор научной литературы показал отсутствие формулировки «экологического качества жизни населения». Согласно определению </w:t>
      </w:r>
      <w:hyperlink r:id="rId27">
        <w:r>
          <w:rPr>
            <w:rFonts w:ascii="Times New Roman" w:eastAsia="Times New Roman" w:hAnsi="Times New Roman" w:cs="Times New Roman"/>
            <w:sz w:val="28"/>
            <w:szCs w:val="28"/>
          </w:rPr>
          <w:t>Всемирной организации здравоохранения</w:t>
        </w:r>
      </w:hyperlink>
      <w:r>
        <w:rPr>
          <w:rFonts w:ascii="Times New Roman" w:eastAsia="Times New Roman" w:hAnsi="Times New Roman" w:cs="Times New Roman"/>
          <w:sz w:val="28"/>
          <w:szCs w:val="28"/>
        </w:rPr>
        <w:t xml:space="preserve"> (ВОЗ) этот термин охватывает физическое, </w:t>
      </w:r>
      <w:hyperlink r:id="rId28">
        <w:r>
          <w:rPr>
            <w:rFonts w:ascii="Times New Roman" w:eastAsia="Times New Roman" w:hAnsi="Times New Roman" w:cs="Times New Roman"/>
            <w:sz w:val="28"/>
            <w:szCs w:val="28"/>
          </w:rPr>
          <w:t>психологическое</w:t>
        </w:r>
      </w:hyperlink>
      <w:r>
        <w:rPr>
          <w:rFonts w:ascii="Times New Roman" w:eastAsia="Times New Roman" w:hAnsi="Times New Roman" w:cs="Times New Roman"/>
          <w:sz w:val="28"/>
          <w:szCs w:val="28"/>
        </w:rPr>
        <w:t xml:space="preserve">, эмоциональное и социальное здоровье человека, основанное на его восприятии своего </w:t>
      </w:r>
      <w:hyperlink r:id="rId29">
        <w:r>
          <w:rPr>
            <w:rFonts w:ascii="Times New Roman" w:eastAsia="Times New Roman" w:hAnsi="Times New Roman" w:cs="Times New Roman"/>
            <w:sz w:val="28"/>
            <w:szCs w:val="28"/>
          </w:rPr>
          <w:t>места в обществе</w:t>
        </w:r>
      </w:hyperlink>
      <w:r>
        <w:rPr>
          <w:rFonts w:ascii="Times New Roman" w:eastAsia="Times New Roman" w:hAnsi="Times New Roman" w:cs="Times New Roman"/>
          <w:sz w:val="28"/>
          <w:szCs w:val="28"/>
        </w:rPr>
        <w:t xml:space="preserve">. Качество жизни используется </w:t>
      </w:r>
      <w:hyperlink r:id="rId30">
        <w:r>
          <w:rPr>
            <w:rFonts w:ascii="Times New Roman" w:eastAsia="Times New Roman" w:hAnsi="Times New Roman" w:cs="Times New Roman"/>
            <w:sz w:val="28"/>
            <w:szCs w:val="28"/>
          </w:rPr>
          <w:t>Организацией Объединённых Наций</w:t>
        </w:r>
      </w:hyperlink>
      <w:r>
        <w:rPr>
          <w:rFonts w:ascii="Times New Roman" w:eastAsia="Times New Roman" w:hAnsi="Times New Roman" w:cs="Times New Roman"/>
          <w:sz w:val="28"/>
          <w:szCs w:val="28"/>
        </w:rPr>
        <w:t xml:space="preserve"> (ООН) для оценки и сравнения социального и экономического положения населения стран.</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Само понятие «качество жизни» является одним из основных критериев для достижения устойчивости и раскрывает ее социальный аспект. </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Являясь относительно субъективным понятием «качество жизни» принято оценивать с использованием инструментов опроса, что позволяет понять ценности и установки, которые придерживается сообщество. Вместе с этим, как отмечают исследователи, «высокую удовлетворенность» нельзя приравнивать к «максимальному благосостоянию», если она не представляет собой «выражение предпочтений в условиях свободного выбора». Таким образом, использование такого показателя как «удовлетворенность качеством жизни» для оценки деятельности государственных органов не совсем корректно. В свою очередь, для оценки экологической деятельности раз в 2 года Центром экологической политики и права при Йельском университете совместно с Колумбийским университетом и Всемирным экономическим форумом формируется Индекс результативности экологической деятельности </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в 2022 году на основе 32 показателей эффективности по 11 категориям проблем, EPI оценил 180 стран по гигиене окружающей среды и жизнеспособности экосистем. Эти показатели дают в масштабе страны оценку того, насколько близки страны к установленным целям экологической политики. EPI предлагает систему показателей, которая выделяет лидеров и отстающих в области экологических показателей и предоставляет практические рекомендации для стран, которые стремятся к устойчивому будущему. Казахстан занял 93 место набрав 40,9 баллов, заметно отстав от Беларуси, Армении, Молдовы, Украины </w:t>
      </w:r>
      <w:r w:rsidR="005738AE">
        <w:rPr>
          <w:rFonts w:ascii="Times New Roman" w:eastAsia="Times New Roman" w:hAnsi="Times New Roman" w:cs="Times New Roman"/>
          <w:sz w:val="28"/>
          <w:szCs w:val="28"/>
        </w:rPr>
        <w:t>[192</w:t>
      </w:r>
      <w:r>
        <w:rPr>
          <w:rFonts w:ascii="Times New Roman" w:eastAsia="Times New Roman" w:hAnsi="Times New Roman" w:cs="Times New Roman"/>
          <w:sz w:val="28"/>
          <w:szCs w:val="28"/>
        </w:rPr>
        <w:t xml:space="preserve">]. </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Индикаторы EPI складываются из конкретных показателей «экологического здоровья» (качество воздуха, санитарии и питьевой воды, загрязнений тяжелыми металлами и управления отходами, а также «жизнеспособности экосистем» (состояния экосистем, экосистемные услуги, сельское и водное хозяйство, управление природными ресурсами и выбросы загрязняющих веществ) что дает возможность выявлять проблемы, устанавливать цели, отслеживать тенденции, понимать результаты и выявлять лучшие практики политики. </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эффективность экологической деятельности должна складываться из комплексного индикатора экологического здоровья и жизнеспособности экосистем формирование которого осуществляется </w:t>
      </w:r>
      <w:r>
        <w:rPr>
          <w:rFonts w:ascii="Times New Roman" w:eastAsia="Times New Roman" w:hAnsi="Times New Roman" w:cs="Times New Roman"/>
          <w:sz w:val="28"/>
          <w:szCs w:val="28"/>
        </w:rPr>
        <w:lastRenderedPageBreak/>
        <w:t xml:space="preserve">посредством мониторинга показателей несколькими государственными органами. </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мониторинг показателей состояния уровня загрязнений осуществляет ГО в области обеспечения экологического контроля, санитарии в области здравоохранения, устойчивого ведения сельского хозяйства – в области сельского хозяйства, состояния водных ресурсов, биоразнообразия и управления природными ресурсами – соответствующие ведомства МЭГПР.</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общую схему формирования показателей эффективности экологической деятельности можно наблюдать в (Приложение Н). </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p>
    <w:p w:rsidR="00EA72C7" w:rsidRDefault="00EA72C7" w:rsidP="00EA72C7">
      <w:pPr>
        <w:pStyle w:val="2"/>
        <w:spacing w:before="0" w:line="240" w:lineRule="auto"/>
        <w:ind w:firstLine="709"/>
        <w:rPr>
          <w:rFonts w:ascii="Times New Roman" w:eastAsia="Times New Roman" w:hAnsi="Times New Roman" w:cs="Times New Roman"/>
          <w:sz w:val="28"/>
          <w:szCs w:val="28"/>
        </w:rPr>
      </w:pPr>
      <w:bookmarkStart w:id="23" w:name="_heading=h.2xcytpi" w:colFirst="0" w:colLast="0"/>
      <w:bookmarkEnd w:id="23"/>
      <w:r>
        <w:rPr>
          <w:rFonts w:ascii="Times New Roman" w:eastAsia="Times New Roman" w:hAnsi="Times New Roman" w:cs="Times New Roman"/>
          <w:color w:val="000000"/>
          <w:sz w:val="28"/>
          <w:szCs w:val="28"/>
        </w:rPr>
        <w:t>3.3 Формирование экологической культуры и управление знаниями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Формирование экологической культуры включает в себя подготовку государственных служащих для принятия решений на основе экосистемного подхода, а также формирование знаний об экосистемах широких слоев населения для актуализации вопросов важности связи окружающей среды и качества жизни и устойчивого развития.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подготовки пособий, материалов формирования институциональной памяти, правильной структуризации используются следующие методы.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метод кейсов;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геймификация;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метод генерации идей «Цветок лотуса».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Просветительская работа для широкого круга включает выступления на Youtube 16 видеосюжетов и роликов, создание тематических групп на Instagram и Facebook, публикация свыше 200 информационных материалов, содержащих 132 фото, 74 видео и 188 текстовых постов. Привлечение активистов к проблеме сохранения природного ландшафта в городе посредством 4 перфомансов, 7 субботников, 1 митинга, палаточного городка, 3 марафонов, фотовыставок картин с изображением птиц, всего в акциях было задействовано свыше 200 тысяч человек.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Ключевыми рекомендациями по внедрению экосистемного подхода является необходимость формирования экологической культуры предполагающее реализацию следующих мер:</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адаптация системы подготовки и переподготовки лиц, принимающих решения к инновационным методам интегрированного управления;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повышение уровня экологической культуры населения;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формирование системы управления знаниями.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Готовность перехода к экосистемному управлению зависит от уровня подготовки лиц, принимающих решения не только координировать процесс, вовлекая все заинтересованные органы, но и обладать стратегическим видением долгосрочного устойчивого развития, а также компетенциями по учету основных экосистемных услуг в практике принятия решений.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Важным условием успешности реализации политики по переходу к экосистемному управлению является повышение экологической культуры </w:t>
      </w:r>
      <w:r>
        <w:rPr>
          <w:rFonts w:ascii="Times New Roman" w:eastAsia="Times New Roman" w:hAnsi="Times New Roman" w:cs="Times New Roman"/>
          <w:sz w:val="28"/>
          <w:szCs w:val="28"/>
        </w:rPr>
        <w:lastRenderedPageBreak/>
        <w:t xml:space="preserve">населения. Концепция экосистемных услуг основана на понимании людьми взаимосвязи всех состояния окружающей среды на качество жизни.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Налоговая политика можно рассматривать как инструмент управления обеспечивающий устойчивое развитие. В этом случае повышается понимание  важности налогов в реализации государством социально-экономической, экологической политик.</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отмечает ОЭСР (2019), люди обычно воспринимают налоговые обязательства положительно, когда знают, что государство работает во благо населения. Высокая степень налоговой коммуникации с налогоплательщиками наглядно может продемонстрировать справедливость уплачиваемых налогов, довести до налогоплательщиков положительные стороны добросовестного исполнения налоговых обязательств и отрицательные эффекты для страны в целом </w:t>
      </w:r>
      <w:r w:rsidR="005738AE">
        <w:rPr>
          <w:rFonts w:ascii="Times New Roman" w:eastAsia="Times New Roman" w:hAnsi="Times New Roman" w:cs="Times New Roman"/>
          <w:sz w:val="28"/>
          <w:szCs w:val="28"/>
        </w:rPr>
        <w:t>[188</w:t>
      </w:r>
      <w:r>
        <w:rPr>
          <w:rFonts w:ascii="Times New Roman" w:eastAsia="Times New Roman" w:hAnsi="Times New Roman" w:cs="Times New Roman"/>
          <w:sz w:val="28"/>
          <w:szCs w:val="28"/>
        </w:rPr>
        <w:t>].</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Аналогично данному принципу работает и концепция экосистемных услуг. Население понимая и оценивая вклад экосистем в благосостояние задает необходимые экологические стандарты в собственном поведении и потреблении, соответственно формируя запросы к местным и центральным органам власти.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Процесс переподготовки и повышения квалификации управленческих кадров может включать геймификацию, игровой формат которой позволяет увеличить интерес и вовлеченность участников.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Кейсы, используемые в данном подходе, могут быть направлены на решение актуальных вопросов городского развития, сельского хозяйства и других отраслей экономики: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Кейс 1. Например, в Стокгольме, чтобы уменьшить скорость на проблемном участке дороги, запустили лотерею. Если ты не превышаешь установленный показатель, то можешь в ней участвовать: за действиями водителей следили мобильные камеры, а призовой фонд состоял из штрафов, которые выплачивали нарушители скоростного режима. Так вот, при ограничении в 30 километров в час средняя скорость составляла там 32 километра, а после запуска проекта она уменьшилась до 25. Идея с лотереей сработала хорошо. Геймификация сегодня успешно используется в бизнесе, торговле, социальной сфере, здравоохранении и, безусловно, в образовании. Игры повышают мотивацию в любой сфере. К тому же именно при помощи игры все мы в детстве усваивали определенные навыки.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Кейс 2. Один из последних образовательных трендов – это переход обучения в онлайн: COVІD-19 заставил всех педагогов работать над повышением уровня своей технической подготовленности и осваивать новые инструменты. Второй – обучение в VR / AR. Те же химические эксперименты в виртуальной реальности абсолютно безопасны, даже если внимание учителя кто-то отвлекся.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Геймификация повышает эффективность рутинных процессов за счет повышения интереса к их исполнению. Для этого применяются самые разные элементы из компьютерных игр, например:</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очки, баллы или отличительные награды, которые начисляются или выдаются за успешные действия или завершение определенных этапов; таблицы лидеров и графики производительности, которые мотивируют участников процесса набирать больше очков, то есть выполнять все действия быстрее или эффективнее;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индикаторы прогресса (progress bar), которые наглядно отображают, какая часть задачи выполнена и сколько осталось до ее завершения; уровни участников процесса, которые повышаются по мере завершения отдельных этапов; виртуальные персонажи («аватары»), состояние или свойства которых меняются по мере прогресса участников.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Геймификация может касаться не только цифровой сферы, ее частным примером являются всевозможные программы лояльности с картами клиентов, накоплением скидок, бонусными баллами, стикерами, милями и так далее. Такой подход находит применение в самых разных сферах: от маркетинга до благотворительности и социально-экологических проектов, от проектирования интерфейсов программного обеспечения, интернет-сайтов и мобильных приложений, до разработки программ обучения и даже социальной интеграции.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Кейс 3. Формирования экосистемного подгхода. Nexus Game предлагает уникальную возможность изучить проблемы управления водными ресурсами для производства энергии и продуктов питания. Участникам отведены роли ключевых министерств двух стран, разделяющих одну и ту же реку. С этой точки зрения они могут провести мозговой штурм и сотрудничать, чтобы творчески сформировать и проверить ряд политик. Пытаясь удовлетворить растущие потребности в воде, они должны помнить об экологическом и экономическом балансе внутри и за пределами границ. Моделирование в первую очередь предназначено для специалистов водного, энергетического и сельскохозяйственного секторов: министерств, электростанций, учреждений по наращиванию потенциала и т.д. Оно предназначено для использования в рамках программ развития потенциала как в качестве учебного пособия, так и в качестве политического упражнения.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октябрь 2022 в Академии государственного управления при Президенте РК провели тренинг по применению ВЭП-Нексус подхода. Это проект Европейского Союза «Центрально-азиатский Диалог по стимулированию межсекторального финансирования на основе взаимосвязи «вода-энергия-продовольствие» (ВЭП). Один из инструментов применения этого подхода – интерактивная симуляция. Она представляет собой фасилитируемый процесс проигрывания 5-ти различных сценариев по управлению водными, энергетическими и продовольственными ресурсами между странами, расположенными вниз и вверх по течению основных рек. Каждый участник получает свою роль и учится не только защищать вопросы своего сектора, но слышать других участников, аргументировать свои предложения и находить компромиссы. Проигрывание симуляции в среднем занимает 5 часов и ведется с использованием настольной карты, цветных фишек и карточек. Интерактивная симуляция наглядно иллюстрирует хорошо известные проблемы и </w:t>
      </w:r>
      <w:r>
        <w:rPr>
          <w:rFonts w:ascii="Times New Roman" w:eastAsia="Times New Roman" w:hAnsi="Times New Roman" w:cs="Times New Roman"/>
          <w:sz w:val="28"/>
          <w:szCs w:val="28"/>
        </w:rPr>
        <w:lastRenderedPageBreak/>
        <w:t>потенциальные конфликты между странами, расположенными выше и ниже по течению.</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социальных сетей в развитии экосистемных знаний.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Важным компонентом является также управление знаниями в области экосистемных услуг, предполагающим правильное объединение и интерпретация знаний, основанных на собственном опыте и наблюдениях. Формирование объективной ценности экосистем предполагает интеграцию ценности природного ландшафта как для коренного жителя, проживающего там, так и для экспертов в области естественных, гуманитарных и социальных наук (биологии, экологии, истории, экономики, государственного управления).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в ходе проведения исследования в целях развития знаний о важности экосистем в жизни человека и в развития государства в целом был организован цикл публичных лекций «Город vs Природа» на платформе Facebook и записью на YouTube, таблица 16 – Информация по образовательным лекциям, касательно исторической, социальной, экономической и экологической важности сохранения озера Малый Талдыколь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можно наблюдать в таблице 16 вопросы важности роли природной экосистемы в жизни горожан были освещены учеными философами с Евразийского Национального университета им. Гумилева, научными сотрудниками НИИ археологии, Центра искусства и науки ИТМО, экологами университета Рединга в Великобритании, НПО в области сохранения биоразнообразия.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общей сложности на страницах Youtube канала размещено 16 видеосюжетов с свыше 3,9 тыс. просмотров. Необходимо отметить, что сохранение природного ландшафта в Астане был поддержан отечественными и зарубежными блогерами (канал </w:t>
      </w:r>
      <w:r w:rsidRPr="00477A0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Гиперборей, </w:t>
      </w:r>
      <w:r w:rsidRPr="00477A0D">
        <w:rPr>
          <w:rFonts w:ascii="Times New Roman" w:eastAsia="Times New Roman" w:hAnsi="Times New Roman" w:cs="Times New Roman"/>
          <w:sz w:val="28"/>
          <w:szCs w:val="28"/>
        </w:rPr>
        <w:t>#</w:t>
      </w:r>
      <w:r>
        <w:rPr>
          <w:rFonts w:ascii="Times New Roman" w:eastAsia="Times New Roman" w:hAnsi="Times New Roman" w:cs="Times New Roman"/>
          <w:sz w:val="28"/>
          <w:szCs w:val="28"/>
        </w:rPr>
        <w:t>Варламов), которые опубликовали 4 видеосюжета на своих каналах имеющие от 6 тыс. до 4 млн. просмотров.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отметить что, все мероприятия транслировались в прямом эфире посредством социального мессенджера Instagram и Facebook. Всего при проведении акций участвовало свыше 1200 человек.</w:t>
      </w:r>
    </w:p>
    <w:p w:rsidR="00EA72C7" w:rsidRDefault="00EA72C7" w:rsidP="00EA72C7">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Управление знаниями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Эффективное использование знаний, их интеграция и легитимность один из ключевых вопросов включения экосистемных услуг в политику. Знания в экосистемном подходе позволяют получать достоверную информацию о состоянии экосистемы, помочь выявить критические точки для более точного прогнозирования ситуации во избежание непоправимого ущерба окружающей среде. В условия недостатка данных сосредоточение внимания на экосистемных услугах позволяет дать надежные рекомендации для формирования политики. Определение того, кто от каких услуг зависит и каким именно образом, быстро и надежно выявляет важнейшие природные активы и помогает правильно расставить приоритеты в политике.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Экосистемный подход позволяет собрать вместе знания разнообразного происхождения посредством классификации природных благ в качестве </w:t>
      </w:r>
      <w:r>
        <w:rPr>
          <w:rFonts w:ascii="Times New Roman" w:eastAsia="Times New Roman" w:hAnsi="Times New Roman" w:cs="Times New Roman"/>
          <w:sz w:val="28"/>
          <w:szCs w:val="28"/>
        </w:rPr>
        <w:lastRenderedPageBreak/>
        <w:t xml:space="preserve">«снабжающих», «регулирующих», «вспомогательных» и «культурных» услуг. Данная концепция не является статичной и структурирует дискуссию и привлекает внимание к широкому спектру благ.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Например, для разных людей озеро в черте города означает разное. Для коренного местного жителя с ними связаны бережно хранимые детские воспоминания. Для специалиста местного органа власти это водосборный бассейн, для субъекта рыбного хозяйства это источник дохода от продажи рыбы, а биолог видит ценность природного ландшафта в качестве места обитания редкого вида птиц или рыб, а эколог убежден в исключительной важности роли озера в увлажнении и смягчении климата.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Концепция экосистемных услуг охватывает все эти взгляды позволяя объективно и правильно идентифицировать каждый из них и придавать экономическую ценность.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Управление знаниями должно происходить с помощью базы знаний реализованной через цифровую платформу, включающей интеграцию данных знаний из различных источников: исследования, полевые, обновление я учетов извлеченных уроков, интеграция с международными базами знаний (ESVD, ITree, и др.). База знаний должна быть доступна широким слоям и лицам, принимающим решений для накопления, структуризации, анализа прогнозирования обоснования решений.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данном контексте участие всех заинтересованных сторон при принятии управленческих решений является важным элементом эффективной политики. Степень легитимности проводимой отраслевой политики и доверия к органам власти повышается, если заинтересованным сторонам предоставили возможность принять участие в их разработке.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Участие всех заинтересованных сторон не только способствует получению необходимых данных у носителей информации, но и   предотвращает конфликты и расширяет базу знаний, на основе которой принимаются решения. Доступ населения к процессу принятия решений, связанных с состоянием окружающей среды, является не только обязательством Казахстана в рамках Орхусской конвенции, но способствует формированию эффективного диалога и сотрудничества с повышая как качество решений, так и шансы на их успешную реализацию.</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Подход с точки зрения экосистемных услуг позволяет представить информацию заинтересованным сторонам в понятной форме, помогая обозначить зависимость конкретных заинтересованных сторон от определенных услуг. </w:t>
      </w:r>
    </w:p>
    <w:p w:rsidR="00EA72C7" w:rsidRDefault="00EA72C7" w:rsidP="00EA72C7">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Междисциплинарные научные исследования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Важным направлением является использование междисциплинарного подхода в развитии экосистемных знаниях. Как показал опыт участия в конкурсе по управлению природными ресурсами и последующее обучение в летней школе для молодых ученых Центральной Азии, финансируемого </w:t>
      </w:r>
      <w:hyperlink r:id="rId31">
        <w:r>
          <w:rPr>
            <w:rFonts w:ascii="Times New Roman" w:eastAsia="Times New Roman" w:hAnsi="Times New Roman" w:cs="Times New Roman"/>
            <w:sz w:val="28"/>
            <w:szCs w:val="28"/>
          </w:rPr>
          <w:t>Smart Waters</w:t>
        </w:r>
      </w:hyperlink>
      <w:r>
        <w:rPr>
          <w:rFonts w:ascii="Times New Roman" w:eastAsia="Times New Roman" w:hAnsi="Times New Roman" w:cs="Times New Roman"/>
          <w:sz w:val="28"/>
          <w:szCs w:val="28"/>
        </w:rPr>
        <w:t xml:space="preserve"> (USAID) и </w:t>
      </w:r>
      <w:hyperlink r:id="rId32">
        <w:r>
          <w:rPr>
            <w:rFonts w:ascii="Times New Roman" w:eastAsia="Times New Roman" w:hAnsi="Times New Roman" w:cs="Times New Roman"/>
            <w:sz w:val="28"/>
            <w:szCs w:val="28"/>
          </w:rPr>
          <w:t>Программа по адаптации к изменению климата и смягчению его последствий в бассейне Аральского моря CAMP4ASB</w:t>
        </w:r>
      </w:hyperlink>
      <w:r>
        <w:rPr>
          <w:rFonts w:ascii="Times New Roman" w:eastAsia="Times New Roman" w:hAnsi="Times New Roman" w:cs="Times New Roman"/>
          <w:sz w:val="28"/>
          <w:szCs w:val="28"/>
        </w:rPr>
        <w:t xml:space="preserve"> (Всемирный Банк) создание единой </w:t>
      </w:r>
      <w:r>
        <w:rPr>
          <w:rFonts w:ascii="Times New Roman" w:eastAsia="Times New Roman" w:hAnsi="Times New Roman" w:cs="Times New Roman"/>
          <w:sz w:val="28"/>
          <w:szCs w:val="28"/>
        </w:rPr>
        <w:lastRenderedPageBreak/>
        <w:t>площадки способствует коллаборации усилий экспертного сообщества стран Центральной Азии.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Группа из 24 исследователей из Казахстана, Узбекистана, Таджикистана, Кыргызстана и Афганистана, представителей научно-исследовательских и учебных организаций в области гидрологии, экологии, ботаники, геологии и гляциологи (исследователи ледников) в течении полугода обменивалась данными для проведения собственных исследований.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Процесс проведения исследования был разделен на несколько этапов состоящих из проведения 4 коллоквиумов и ряда вебинаров по методологии проведения исследований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обсуждения, каждый исследователь презентовал определенную главу исследования для остальных слушателей, которые давали свои рекомендации по содержанию и оформлению исследования.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заключительном планировалось участие слушателей в Международном климатическом форуме, который планировалось провести в июне 2020 года в г. Душанбе.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Рассмотрение вопросов эффективного управления природными ресурсами Центральной Азии в трансграничном аспекте, приобретение навыков по использованию основных программных инструментов является полезным опытом для исследователя.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Данный формат коллаборации усилий экспертного сообщества в области социальных, и естественных наук в проведении совместных исследований способствует развитию экосистемного подхода при принятии управленческих решений и государственного управления в целом.</w:t>
      </w:r>
    </w:p>
    <w:p w:rsidR="00EA72C7" w:rsidRDefault="00EA72C7" w:rsidP="00EA72C7">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Школьное образование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Важным аспектом формирования экологической культуры является разработка программы дополнительного школьного экологического образования направленной на понимание важности экосистем.</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подготовлена Программа дополнительного образования в соответствии со стандартами, предъявляемыми типовыми учебными программами по общеобразовательным предметам, курсам по выбору и факультативам для общеобразовательных организаций, утвержденными приказом Министра образования и науки Республики Казахстан от 3 апреля 2013 года №115, а также Закона РК «Об образовании» (Приложение И).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дополнительного экологического образования заключается в гармоничном становлении и развитии личности учащегося, обладающего навыками экологически ответственного поведения и бережливого отношения к природе, посредством передачи знаний об экологии и преобразования их в отношение для учащихся 1-4 классов по предметам «Самопознание» и учащихся 7 класса «Краеведение».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Воспитательные цели экологического образования включают:</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формирование ценностных отношений и ориентаций, отражающих объективную целостность и ценность природы, ценность человека, его жизни и здоровья;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содействие развитию у школьников познавательного, эмоционального и эстетического восприятия природы;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у учащихся чувства ответственности за сохранение природы;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формирование на основе интеграции знаний о природе и обществе научного глобально ориентированного мировоззрения.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Развивающие цели экологического образования содействуют интеллектуальному развитию учащихся, формированию у них экологического стиля мышления, развитию способностей и потребностей в экологическом образовании и общении с природой, интереса к учебной и исследовательской деятельности.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Задачами экологического воспитания учащихся средней школы заключаются в усвоении следующих представлений: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 человеке, как части окружающей среды;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 ценности природы и о взаимосвязи составляющих её объектов;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 использовании природных ресурсов и улучшении состояния окружающей среды;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 последствиях своих действий по отношению к объектам окружающей среды.</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Содержание курса основано на многообразии мира, его целостности и уважению к нему и включает повышению осведомленности о разновидностях и роли экосистем, о разнообразии растительного и животного мира региона.  Идея экологической целостности природы раскрывается через экологические связи, например, между живой и неживой природой, растениями и животными, животными и животными.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Ключевую роль в достижении этой цели играет развитие экологического сознания личности, т.е. понимание сущности природных закономерностей, понимание причин противоречий и конфликтов в системе «природа – общество».</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Выводы по разделу 3</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полного запуска всех параметров устойчивого развития Казахстана, позволяющего оказаться в тридцатке самых развитых стран мира, и отдельных территорий страны, в частности, необходимы реальные шаги по полноценному внедрению экосистемного подхода в практику публичного управления. В их числе: полная инвентаризация и интеграция всех данных ведомственных систем учета с использованием новых технологий BIG DATA, экосистемные услуги необходимо включить в системы национальных счетов для отражения их вклада в экономику; обеспечение лиц, принимающих решения, объективной и полной информацией о состоянии экосистем и экологической безопасности, что повлияет на качество принятия решений в системе госуправления; обеспечение лиц, принимающих решения, эффективными методами интерпретации научной информации для принятия обоснованных решений; переоценка процесса принятия управленческих решений в период перехода на цифровую модель и принципам экосистемного подхода в госуправлении; пересмотр действующих моделей агрострахования в Казахстане, поскольку некоторые из них вместо </w:t>
      </w:r>
      <w:r>
        <w:rPr>
          <w:rFonts w:ascii="Times New Roman" w:eastAsia="Times New Roman" w:hAnsi="Times New Roman" w:cs="Times New Roman"/>
          <w:sz w:val="28"/>
          <w:szCs w:val="28"/>
        </w:rPr>
        <w:lastRenderedPageBreak/>
        <w:t>пользы и выгод наносят ущерб окружающей среде; разработка комплекса мер по поддержке бизнеса по внедрению экосистемного подхода в различных отраслях экономики и сельском хозяйстве в особенности.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Учитывая широкое разнообразие человеческих потребностей, необходимо совершенствовать процессы принятия управленческих эко-решений, которые предусматривают переговоры и компромиссы, необходимые для установления широко приемлемых целей для управления конкретными территориями и их биоресурсами.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Ключевыми рекомендациями по внедрению экосистемного подхода является также необходимость формирования экологической культуры в обществе предполагающее адаптацию системы подготовки и переподготовки лиц, принимающих решения к инновационным методам интегрированного управления, повышение уровня экологической культуры населения, а также систему управления знаниями.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Управление знаниями в области экосистемных услуг, предполагает правильное объединение и интерпретация знаний, основанных на собственном опыте и наблюдениях, посредством базы знаний реализованной через цифровую платформу, включающей интеграцию данных знаний из различных источников: исследования, полевые, обновление я учетов извлеченных уроков, интеграция с международными базами знаний (ESVD, ITree, и др.). База знаний должна быть доступна широким слоям и лицам, принимающим решений для накопления, структуризации, анализа прогнозирования обоснования решений. </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rPr>
          <w:rFonts w:ascii="Times New Roman" w:eastAsia="Times New Roman" w:hAnsi="Times New Roman" w:cs="Times New Roman"/>
          <w:b/>
          <w:sz w:val="28"/>
          <w:szCs w:val="28"/>
        </w:rPr>
      </w:pPr>
    </w:p>
    <w:p w:rsidR="00EA72C7" w:rsidRDefault="00EA72C7" w:rsidP="00EA72C7">
      <w:pPr>
        <w:pStyle w:val="2"/>
        <w:spacing w:before="0" w:line="240" w:lineRule="auto"/>
        <w:rPr>
          <w:rFonts w:ascii="Times New Roman" w:eastAsia="Times New Roman" w:hAnsi="Times New Roman" w:cs="Times New Roman"/>
          <w:color w:val="000000"/>
        </w:rPr>
      </w:pPr>
    </w:p>
    <w:p w:rsidR="00EA72C7" w:rsidRDefault="00EA72C7" w:rsidP="00EA72C7">
      <w:pPr>
        <w:pStyle w:val="1"/>
        <w:spacing w:before="0" w:line="240" w:lineRule="auto"/>
        <w:jc w:val="center"/>
        <w:rPr>
          <w:rFonts w:ascii="Times New Roman" w:eastAsia="Times New Roman" w:hAnsi="Times New Roman" w:cs="Times New Roman"/>
          <w:color w:val="000000"/>
        </w:rPr>
      </w:pPr>
    </w:p>
    <w:p w:rsidR="00EA72C7" w:rsidRDefault="00EA72C7" w:rsidP="00EA72C7">
      <w:pPr>
        <w:spacing w:after="0" w:line="240" w:lineRule="auto"/>
        <w:rPr>
          <w:rFonts w:ascii="Times New Roman" w:eastAsia="Times New Roman" w:hAnsi="Times New Roman" w:cs="Times New Roman"/>
          <w:b/>
          <w:sz w:val="28"/>
          <w:szCs w:val="28"/>
        </w:rPr>
      </w:pPr>
      <w:r>
        <w:br w:type="page"/>
      </w:r>
    </w:p>
    <w:p w:rsidR="00EA72C7" w:rsidRDefault="00EA72C7" w:rsidP="00EA72C7">
      <w:pPr>
        <w:pStyle w:val="1"/>
        <w:spacing w:before="0" w:line="240" w:lineRule="auto"/>
        <w:jc w:val="center"/>
        <w:rPr>
          <w:rFonts w:ascii="Times New Roman" w:eastAsia="Times New Roman" w:hAnsi="Times New Roman" w:cs="Times New Roman"/>
          <w:color w:val="000000"/>
        </w:rPr>
      </w:pPr>
      <w:bookmarkStart w:id="24" w:name="_heading=h.1ci93xb" w:colFirst="0" w:colLast="0"/>
      <w:bookmarkEnd w:id="24"/>
      <w:r>
        <w:rPr>
          <w:rFonts w:ascii="Times New Roman" w:eastAsia="Times New Roman" w:hAnsi="Times New Roman" w:cs="Times New Roman"/>
          <w:color w:val="000000"/>
        </w:rPr>
        <w:lastRenderedPageBreak/>
        <w:t>ЗАКЛЮЧЕНИЕ</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Полученные автором результаты исследования теоретических и практических вопросов развития и использования экосистемного подхода при принятии управленческих решений в Республике Казахстан позволяет сформулировать следующие </w:t>
      </w:r>
      <w:r>
        <w:rPr>
          <w:rFonts w:ascii="Times New Roman" w:eastAsia="Times New Roman" w:hAnsi="Times New Roman" w:cs="Times New Roman"/>
          <w:b/>
          <w:sz w:val="28"/>
          <w:szCs w:val="28"/>
        </w:rPr>
        <w:t>выводы</w:t>
      </w:r>
      <w:r>
        <w:rPr>
          <w:rFonts w:ascii="Times New Roman" w:eastAsia="Times New Roman" w:hAnsi="Times New Roman" w:cs="Times New Roman"/>
          <w:sz w:val="28"/>
          <w:szCs w:val="28"/>
        </w:rPr>
        <w:t xml:space="preserve"> и положения: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Экосистемный подход, как новый и комплексный подход в управлении, востребован при принятии управленческих решений. Подход к оценке экосистем в новом тысячелетии основан на том, что управленческие решения включают компромиссы между экосистемными услугами, количественной и научно обоснованной оценкой компромиссов, что и является необходимым компонентом для принятия обоснованных управленческих решений.</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Экосистемное управление рассматривается в диссертации как симбиоз экологических, экономических и социальных принципов управления биологическими и физическими экосистемами, преследующими три основные цели: экологической устойчивости, биологического разнообразия и продуктивности окружающей среды. Общее, что связывает большинство определений экосистемных услуг, – это их непосредственная взаимосвязь с выгодами и благосостоянием человека, как сегодня, так и в будущем.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экосистемного подхода в зарубежной науке и практике сформировался обширный арсенал моделей, методов и инструментов принятия управленческих решений. Однако, единая методология оценки, выбор и интерпретация экоиндикаторов – вопросы дискуссионные и, как правило, находятся в зависимости от множества факторов конкретных экосистем. Оценка экоуслуг ведется в основном по трем направлениям: экологическому, экономическому (монетарному) и социальному.</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мирового опыта использования экосистемного подхода и оценки экосистемных услуг для принятия обоснованных управленческих решений привел автора к выводу, что страны СНГ, в отличие от США, стран Западной Европы и некоторых других стран, уделяют этим вопросам недостаточно внимания, они сделали лишь первые шаги в этом направлении. Мировая практика также свидетельствует о том, что монетизация экосистемных услуг представляется сложной методологической задачей, требующей взвешенного и сбалансированного подхода, учета множества факторов, поэтому требуются дальнейшие научные исследования, подготовка, принятие и использование соответствующих нормативных документов и методик.</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Исследование деятельности государственных институтов в сфере управления природными ресурсами и охраны окружающей среды выявило ряд системных проблем, среди которых высокую значимость имеет экстенсивное наращивание с/х производства, которое неизбежно увеличивает и без того высокие экологические риски в отрасли, наряду с природно-климатическими.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Несмотря на то, что экологическое законодательство РК за последние годы существенно обновилось с точки зрения качества и глубины проработки норм, в нем отсутствуют такие базовые понятия и положения, как «оценка экосистемных </w:t>
      </w:r>
      <w:r>
        <w:rPr>
          <w:rFonts w:ascii="Times New Roman" w:eastAsia="Times New Roman" w:hAnsi="Times New Roman" w:cs="Times New Roman"/>
          <w:sz w:val="28"/>
          <w:szCs w:val="28"/>
        </w:rPr>
        <w:lastRenderedPageBreak/>
        <w:t>услуг»; «метод оценки экосистемных услуг» (включая состав методов, критериев оценки, экоиндикаторов); «экологический проект»; «экологически чистые технологии»; «информационное обеспечение рационального природопользования и охраны окружающей среды», что сдерживает внедрение в практическую деятельность госорганов и иных субъектов экономической деятельности принципов экологического менеджмента и экономической оценки экосистемных услуг.</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Экономическая оценка экосистемных услуг, предпринятая автором для обоснования принятия эффективных управленческих решений в городском планировании г. Нур-Султан, в ходе которой была применена комбинированная стратегия методов исследования, показала, что ежегодные затраты, связанные с созданием искусственных «островков природы» посредством расширения площадей зеленых насаждений в 20 раз меньше потерь, связанных с застройкой территории Малого Талдыколя и как следствие утратой естественного природного ландшафта.</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результате, первая исследовательская гипотеза нашла свое подтверждение – доказано, что учет оценки экосистемных услуг в городском планировании позволит повысить экономическую эффективность принимаемых управленческих решений.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результатам общей экономической оценки водно-болотных угодий Талдыкольской системы озер (Категория 1: группа озер Малый Талдыколь + Категория 2: оз. Большой Талдыколь, оз. Ульмес) (Приложение А) было установлено, что экономическая ценность снабжающих услуг группы озер М. Талдыколь (1 категория) составляет 1 295 296 тыс. тенге; регулирующих услуг - 13 452 936 тыс. тенге; услуг среды обитания - 2 386 321 тыс. тенге; культурных услуг - 3 256 505 тыс. тенге; в совокупности общая экономическая ценность группы озер М. Талдыколь составляет 20 391 057 тыс. тенге.</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Исследование системы государственного управления природными ресурсами в Республике Казахстан, в ходе которого были детально рассмотрены имеющиеся в стране институты государственного управления природными ресурсами и инструменты, посредством которых реализуется государственная политика в данной сфере, продемонстрировало отсутствие межведомственной коммуникации и комплексного подхода в улучшении экологии Казахстана. Природоохранное законодательство рассматривается больше с позиции </w:t>
      </w:r>
      <w:sdt>
        <w:sdtPr>
          <w:tag w:val="goog_rdk_12"/>
          <w:id w:val="-1675950706"/>
          <w:showingPlcHdr/>
        </w:sdtPr>
        <w:sdtEndPr/>
        <w:sdtContent>
          <w:r>
            <w:t xml:space="preserve">     </w:t>
          </w:r>
        </w:sdtContent>
      </w:sdt>
      <w:r>
        <w:rPr>
          <w:rFonts w:ascii="Times New Roman" w:eastAsia="Times New Roman" w:hAnsi="Times New Roman" w:cs="Times New Roman"/>
          <w:sz w:val="28"/>
          <w:szCs w:val="28"/>
        </w:rPr>
        <w:t>ведомственных интересов, без учета интегрированного подхода по сохранению биоразнообразия.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Нашла подтверждение и вторая гипотеза исследования – в настоящее время существуют препятствия на пути внедрения экосистемного подхода в государственном управлении. В числе таких препятствий: отсутствие стратегического экологического видения в государственной политике; индикаторы государственных отраслевых программ не согласованы и зачастую противоречат целям устойчивого развития; отсутствие механизма эффективного взаимодействия органов государственного управления природными ресурсами; отсутствие доступной Единой информационной системы, где формализованы </w:t>
      </w:r>
      <w:r>
        <w:rPr>
          <w:rFonts w:ascii="Times New Roman" w:eastAsia="Times New Roman" w:hAnsi="Times New Roman" w:cs="Times New Roman"/>
          <w:sz w:val="28"/>
          <w:szCs w:val="28"/>
        </w:rPr>
        <w:lastRenderedPageBreak/>
        <w:t>все параметры состояния природных ресурсов; отсутствие преемственности между уровнями государственного управления; слабое использование потенциала местных знаний в процессе государственного планирования и принятия решений; отсутствие внешних стейкхолдеров, которые будут являться как источником, так и получателем экологической информации.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мнению автора, необходима дальнейшая институционализация механизмов взаимодействия для взаимного принятия решений по управлению природными ресурсами с привлечением всех заинтересованных субъектов.</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Имплементация экосистемного подхода предполагает использование партисипаторного (совместного) подхода. Совместное исследование направлено на поиск баланса между развитием достоверных </w:t>
      </w:r>
      <w:sdt>
        <w:sdtPr>
          <w:tag w:val="goog_rdk_13"/>
          <w:id w:val="1903955322"/>
        </w:sdtPr>
        <w:sdtEndPr/>
        <w:sdtContent>
          <w:r>
            <w:rPr>
              <w:rFonts w:ascii="Times New Roman" w:eastAsia="Times New Roman" w:hAnsi="Times New Roman" w:cs="Times New Roman"/>
              <w:sz w:val="28"/>
              <w:szCs w:val="28"/>
            </w:rPr>
            <w:t>обобщенных</w:t>
          </w:r>
        </w:sdtContent>
      </w:sdt>
      <w:sdt>
        <w:sdtPr>
          <w:tag w:val="goog_rdk_14"/>
          <w:id w:val="1032925298"/>
        </w:sdtPr>
        <w:sdtEndPr/>
        <w:sdtContent>
          <w:r>
            <w:t xml:space="preserve"> </w:t>
          </w:r>
        </w:sdtContent>
      </w:sdt>
      <w:r>
        <w:rPr>
          <w:rFonts w:ascii="Times New Roman" w:eastAsia="Times New Roman" w:hAnsi="Times New Roman" w:cs="Times New Roman"/>
          <w:sz w:val="28"/>
          <w:szCs w:val="28"/>
        </w:rPr>
        <w:t>знаний и пользой для общества, а также для улучшения протоколов исследований путем включения знаний и опыта членов сообщества.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Основные три составляющие партисипаторного подхода в исследовании это - сотрудничество, образование и действие, подчеркивают отношения между исследователем и сообществом, непосредственную пользу для сообщества как потенциальный результат исследования и участие сообщества как полезное само по себе. Участие автора непосредственно в деятельности и развитии сообщества позволило, во-первых, понять и разделить интересы, инициативной группы, во-вторых, посредством обмена информации о ценности экосистемы способствовать распространению и развитию экосистемных знаний, в-третьих, определить основные принципы установления партнерства – взаимоуважительные отношения, основанные на разделении ответственности, затрат и выгод, ведущих к результатам, которые удовлетворяют всех партнеров.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Обсуждение всех результатов с сообществом позволяет совместно интерпретировать данные. Это повышает этическую, культурную и внутреннюю достоверность результатов таким образом, укрепляя науку.  </w:t>
      </w:r>
    </w:p>
    <w:p w:rsidR="00EA72C7" w:rsidRDefault="00EA72C7" w:rsidP="00EA72C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из важных факторов успешности внедрения экосистемного подхода в систему государственного управления отраслями и регионами является оценка эффективности принимаемых государственными органами мер в контексте устойчивого развития (экологической эффективности). Оценка эффективности экологической деятельности должна складываться из комплексного индикатора экологического здоровья и жизнеспособности экосистем формирование которого осуществляется посредством мониторинга показателей несколькими государственными органами.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мнению автора, для полного запуска всех параметров устойчивого развития Казахстана, позволяющего оказаться в тридцатке самых развитых стран мира, и отдельных территорий страны, в частности, необходимы реальные шаги по полноценному внедрению экосистемного подхода в практику публичного управления. В их числе: полная инвентаризация и интеграция всех данных ведомственных систем учета с использованием новых технологий BIG DATA, экосистемные услуги необходимо включить в системы национальных счетов для отражения их вклада в экономику; обеспечение лиц, принимающих решения, объективной и полной информацией о состоянии экосистем и экологической </w:t>
      </w:r>
      <w:r>
        <w:rPr>
          <w:rFonts w:ascii="Times New Roman" w:eastAsia="Times New Roman" w:hAnsi="Times New Roman" w:cs="Times New Roman"/>
          <w:sz w:val="28"/>
          <w:szCs w:val="28"/>
        </w:rPr>
        <w:lastRenderedPageBreak/>
        <w:t>безопасности, что повлияет на качество принятия решений в системе госуправления; обеспечение лиц, принимающих решения, эффективными методами интерпретации научной информации для принятия обоснованных решений; переоценка процесса принятия управленческих решений в период перехода на цифровую модель и принципам экосистемного подхода в госуправлении; пересмотр действующих моделей агрострахования в Казахстане, поскольку некоторые из них вместо пользы и выгод наносят ущерб окружающей среде; разработка комплекса мер по поддержке бизнеса по внедрению экосистемного подхода в различных отраслях экономики и сельском хозяйстве в особенности.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обеспечения максимальной вовлеченности и сотрудничества между всеми государственными органами, образовательными и научными учреждениями, НПО, населением и бизнесом предлагается внедрение информационно-коммуникативной модели взаимодействия.</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Вертикальная межведомственная связь обеспечивается между целевым сегментом (государственными органами), которые получают доступ и используют данные и информацию об окружающей среде, чтобы обеспечить непрерывность процесса управления информацией и надлежащее функционирование системы. </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Горизонтальная связь обеспечивается обмен и доступ экологической информацией среди других заинтересованных сторон (НПО, академический сектор и граждане, СМИ).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Учитывая широкое разнообразие человеческих потребностей, необходимо усовершенствовать процессы принятия управленческих эко-решений, которые предусматривают переговоры и компромиссы, необходимые для установления широко приемлемых целей для управления конкретными территориями и их биоресурсами.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Ключевыми рекомендациями по внедрению экосистемного подхода является также необходимость формирования экологической культуры в обществе предполагающее адаптацию системы подготовки и переподготовки лиц, принимающих решения к инновационным методам интегрированного управления, повышение уровня экологической культуры населения, а также систему управления знаниями.</w:t>
      </w: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Управление знаниями в области экосистемных услуг, предполагает правильное объединение и интерпретация знаний, основанных на собственном опыте и наблюдениях, посредством базы знаний реализованной через цифровую платформу, включающей интеграцию данных знаний из различных источников: исследования, полевые, обновление я учетов извлеченных уроков, интеграция с международными базами знаний (ESVD, ITree, и др.).</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rPr>
          <w:rFonts w:ascii="Times New Roman" w:eastAsia="Times New Roman" w:hAnsi="Times New Roman" w:cs="Times New Roman"/>
          <w:b/>
          <w:sz w:val="28"/>
          <w:szCs w:val="28"/>
        </w:rPr>
      </w:pPr>
      <w:r>
        <w:br w:type="page"/>
      </w:r>
    </w:p>
    <w:p w:rsidR="00EA72C7" w:rsidRDefault="00EA72C7" w:rsidP="00EA72C7">
      <w:pPr>
        <w:pStyle w:val="1"/>
        <w:spacing w:before="0" w:line="240" w:lineRule="auto"/>
        <w:jc w:val="center"/>
        <w:rPr>
          <w:rFonts w:ascii="Times New Roman" w:eastAsia="Times New Roman" w:hAnsi="Times New Roman" w:cs="Times New Roman"/>
          <w:color w:val="000000"/>
        </w:rPr>
      </w:pPr>
      <w:bookmarkStart w:id="25" w:name="_heading=h.3whwml4" w:colFirst="0" w:colLast="0"/>
      <w:bookmarkEnd w:id="25"/>
      <w:r>
        <w:rPr>
          <w:rFonts w:ascii="Times New Roman" w:eastAsia="Times New Roman" w:hAnsi="Times New Roman" w:cs="Times New Roman"/>
          <w:color w:val="000000"/>
        </w:rPr>
        <w:lastRenderedPageBreak/>
        <w:t>СПИСОК ИСПОЛЬЗОВАННЫХ ИСТОЧНИКОВ</w:t>
      </w:r>
    </w:p>
    <w:p w:rsidR="00EA72C7" w:rsidRDefault="00EA72C7" w:rsidP="00EA72C7">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8"/>
          <w:szCs w:val="28"/>
        </w:rPr>
      </w:pPr>
    </w:p>
    <w:p w:rsidR="00EA72C7" w:rsidRDefault="00EA72C7" w:rsidP="00EA72C7">
      <w:pPr>
        <w:numPr>
          <w:ilvl w:val="0"/>
          <w:numId w:val="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Программа Организации Объединенных Наций по окружающей среде // </w:t>
      </w:r>
      <w:hyperlink r:id="rId33">
        <w:r>
          <w:rPr>
            <w:rFonts w:ascii="Times New Roman" w:eastAsia="Times New Roman" w:hAnsi="Times New Roman" w:cs="Times New Roman"/>
            <w:color w:val="000000"/>
            <w:sz w:val="28"/>
            <w:szCs w:val="28"/>
          </w:rPr>
          <w:t>https://www.un.org/ru/ga/unep/</w:t>
        </w:r>
      </w:hyperlink>
      <w:r>
        <w:rPr>
          <w:rFonts w:ascii="Times New Roman" w:eastAsia="Times New Roman" w:hAnsi="Times New Roman" w:cs="Times New Roman"/>
          <w:color w:val="000000"/>
          <w:sz w:val="28"/>
          <w:szCs w:val="28"/>
        </w:rPr>
        <w:t>. 10.01.2020.</w:t>
      </w:r>
    </w:p>
    <w:p w:rsidR="00EA72C7" w:rsidRDefault="00EA72C7" w:rsidP="00EA72C7">
      <w:pPr>
        <w:numPr>
          <w:ilvl w:val="0"/>
          <w:numId w:val="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Конвенция о биологическом разнообразии: принята 5 июня 1992 года // https://www.un.org/ru/documents/decl_conv/conventions/biodiv.shtml. 11.01.2020.</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Декларация Конференции ООН по окружающей среде: принята 3 июня 1992 года // </w:t>
      </w:r>
      <w:hyperlink r:id="rId34">
        <w:r>
          <w:rPr>
            <w:rFonts w:ascii="Times New Roman" w:eastAsia="Times New Roman" w:hAnsi="Times New Roman" w:cs="Times New Roman"/>
            <w:color w:val="000000"/>
            <w:sz w:val="28"/>
            <w:szCs w:val="28"/>
          </w:rPr>
          <w:t>https://www.un.org/ru/documents/decl_conv.</w:t>
        </w:r>
      </w:hyperlink>
      <w:r>
        <w:rPr>
          <w:rFonts w:ascii="Times New Roman" w:eastAsia="Times New Roman" w:hAnsi="Times New Roman" w:cs="Times New Roman"/>
          <w:color w:val="000000"/>
          <w:sz w:val="28"/>
          <w:szCs w:val="28"/>
        </w:rPr>
        <w:t xml:space="preserve"> 11.01.2020.</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sidRPr="009531DE">
        <w:rPr>
          <w:rFonts w:ascii="Times New Roman" w:eastAsia="Times New Roman" w:hAnsi="Times New Roman" w:cs="Times New Roman"/>
          <w:color w:val="000000"/>
          <w:sz w:val="28"/>
          <w:szCs w:val="28"/>
          <w:lang w:val="en-US"/>
        </w:rPr>
        <w:t xml:space="preserve">Ecosystems and Human Well-being: a framework for assessment // </w:t>
      </w:r>
      <w:hyperlink r:id="rId35">
        <w:r w:rsidRPr="009531DE">
          <w:rPr>
            <w:rFonts w:ascii="Times New Roman" w:eastAsia="Times New Roman" w:hAnsi="Times New Roman" w:cs="Times New Roman"/>
            <w:color w:val="000000"/>
            <w:sz w:val="28"/>
            <w:szCs w:val="28"/>
            <w:lang w:val="en-US"/>
          </w:rPr>
          <w:t>http://pdf.wri.org/ecosystems_human_wellbeing.pdf</w:t>
        </w:r>
      </w:hyperlink>
      <w:r w:rsidRPr="009531D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11.01.2020.</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Преобразование нашего мира: повестка дня в области устойчивого развития на период до 2030 года // </w:t>
      </w:r>
      <w:hyperlink r:id="rId36">
        <w:r>
          <w:rPr>
            <w:rFonts w:ascii="Times New Roman" w:eastAsia="Times New Roman" w:hAnsi="Times New Roman" w:cs="Times New Roman"/>
            <w:color w:val="000000"/>
            <w:sz w:val="28"/>
            <w:szCs w:val="28"/>
          </w:rPr>
          <w:t>https://unctad.org/meetings/en.</w:t>
        </w:r>
      </w:hyperlink>
      <w:r>
        <w:rPr>
          <w:rFonts w:ascii="Times New Roman" w:eastAsia="Times New Roman" w:hAnsi="Times New Roman" w:cs="Times New Roman"/>
          <w:color w:val="000000"/>
          <w:sz w:val="28"/>
          <w:szCs w:val="28"/>
        </w:rPr>
        <w:t xml:space="preserve"> 11.01.2020.</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Отчет по анализу отрасли / АО «Казахский институт нефти и газа. – Нур-Султан, 2019. – 52 с.</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Парижское соглашение по климату: утв. 21-й сессией конф. Сторон Рамочной конвенции ООН об изменении климата 12 декабря 2015 года // http://docs.cntd.ru/document/542655698. 11.01.2020.</w:t>
      </w:r>
    </w:p>
    <w:p w:rsidR="00EA72C7" w:rsidRPr="0035597C"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Экологический кодекс Республики Казахстан: принят 2 января 2021 года, №400-VI // </w:t>
      </w:r>
      <w:hyperlink r:id="rId37">
        <w:r>
          <w:rPr>
            <w:rFonts w:ascii="Times New Roman" w:eastAsia="Times New Roman" w:hAnsi="Times New Roman" w:cs="Times New Roman"/>
            <w:color w:val="000000"/>
            <w:sz w:val="28"/>
            <w:szCs w:val="28"/>
          </w:rPr>
          <w:t>https://adilet.zan.kz/rus/docs/K2100000400</w:t>
        </w:r>
      </w:hyperlink>
      <w:r>
        <w:rPr>
          <w:rFonts w:ascii="Times New Roman" w:eastAsia="Times New Roman" w:hAnsi="Times New Roman" w:cs="Times New Roman"/>
          <w:color w:val="000000"/>
          <w:sz w:val="28"/>
          <w:szCs w:val="28"/>
        </w:rPr>
        <w:t>. 11.08.2022.</w:t>
      </w:r>
    </w:p>
    <w:p w:rsidR="00EA72C7" w:rsidRPr="0035597C" w:rsidRDefault="00EA72C7" w:rsidP="00EA72C7">
      <w:pPr>
        <w:pStyle w:val="af1"/>
        <w:numPr>
          <w:ilvl w:val="0"/>
          <w:numId w:val="3"/>
        </w:numPr>
        <w:pBdr>
          <w:top w:val="nil"/>
          <w:left w:val="nil"/>
          <w:bottom w:val="nil"/>
          <w:right w:val="nil"/>
          <w:between w:val="nil"/>
        </w:pBd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lang w:val="en-US"/>
        </w:rPr>
      </w:pPr>
      <w:r w:rsidRPr="0035597C">
        <w:rPr>
          <w:rFonts w:ascii="Times New Roman" w:eastAsia="Times New Roman" w:hAnsi="Times New Roman" w:cs="Times New Roman"/>
          <w:sz w:val="28"/>
          <w:szCs w:val="28"/>
          <w:lang w:val="en-US"/>
        </w:rPr>
        <w:t>Xu</w:t>
      </w:r>
      <w:r w:rsidRPr="00CB1F31">
        <w:rPr>
          <w:rFonts w:ascii="Times New Roman" w:eastAsia="Times New Roman" w:hAnsi="Times New Roman" w:cs="Times New Roman"/>
          <w:sz w:val="28"/>
          <w:szCs w:val="28"/>
          <w:lang w:val="en-US"/>
        </w:rPr>
        <w:t xml:space="preserve"> </w:t>
      </w:r>
      <w:r w:rsidRPr="0035597C">
        <w:rPr>
          <w:rFonts w:ascii="Times New Roman" w:eastAsia="Times New Roman" w:hAnsi="Times New Roman" w:cs="Times New Roman"/>
          <w:sz w:val="28"/>
          <w:szCs w:val="28"/>
          <w:lang w:val="en-US"/>
        </w:rPr>
        <w:t>Z</w:t>
      </w:r>
      <w:r w:rsidRPr="00CB1F31">
        <w:rPr>
          <w:rFonts w:ascii="Times New Roman" w:eastAsia="Times New Roman" w:hAnsi="Times New Roman" w:cs="Times New Roman"/>
          <w:sz w:val="28"/>
          <w:szCs w:val="28"/>
          <w:lang w:val="en-US"/>
        </w:rPr>
        <w:t>.,</w:t>
      </w:r>
      <w:r w:rsidRPr="0035597C">
        <w:rPr>
          <w:rFonts w:ascii="Times New Roman" w:eastAsia="Times New Roman" w:hAnsi="Times New Roman" w:cs="Times New Roman"/>
          <w:sz w:val="28"/>
          <w:szCs w:val="28"/>
          <w:lang w:val="en-US"/>
        </w:rPr>
        <w:t xml:space="preserve"> Pengab</w:t>
      </w:r>
      <w:r w:rsidRPr="00CB1F31">
        <w:rPr>
          <w:rFonts w:ascii="Times New Roman" w:eastAsia="Times New Roman" w:hAnsi="Times New Roman" w:cs="Times New Roman"/>
          <w:sz w:val="28"/>
          <w:szCs w:val="28"/>
          <w:lang w:val="en-US"/>
        </w:rPr>
        <w:t xml:space="preserve"> </w:t>
      </w:r>
      <w:r w:rsidRPr="0035597C">
        <w:rPr>
          <w:rFonts w:ascii="Times New Roman" w:eastAsia="Times New Roman" w:hAnsi="Times New Roman" w:cs="Times New Roman"/>
          <w:sz w:val="28"/>
          <w:szCs w:val="28"/>
          <w:lang w:val="en-US"/>
        </w:rPr>
        <w:t>J. Ecosystem services-based decision-making: A bridge from science to practice</w:t>
      </w:r>
      <w:r w:rsidRPr="00CB1F31">
        <w:rPr>
          <w:rFonts w:ascii="Times New Roman" w:eastAsia="Times New Roman" w:hAnsi="Times New Roman" w:cs="Times New Roman"/>
          <w:sz w:val="28"/>
          <w:szCs w:val="28"/>
          <w:lang w:val="en-US"/>
        </w:rPr>
        <w:t xml:space="preserve"> //</w:t>
      </w:r>
      <w:r w:rsidRPr="0035597C">
        <w:rPr>
          <w:rFonts w:ascii="Times New Roman" w:eastAsia="Times New Roman" w:hAnsi="Times New Roman" w:cs="Times New Roman"/>
          <w:sz w:val="28"/>
          <w:szCs w:val="28"/>
          <w:lang w:val="en-US"/>
        </w:rPr>
        <w:t xml:space="preserve"> Environmental Science &amp; Policy</w:t>
      </w:r>
      <w:r>
        <w:rPr>
          <w:rFonts w:ascii="Times New Roman" w:eastAsia="Times New Roman" w:hAnsi="Times New Roman" w:cs="Times New Roman"/>
          <w:sz w:val="28"/>
          <w:szCs w:val="28"/>
          <w:lang w:val="en-US"/>
        </w:rPr>
        <w:t>.</w:t>
      </w:r>
      <w:r w:rsidRPr="0035597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 2022. – </w:t>
      </w:r>
      <w:r w:rsidRPr="0035597C">
        <w:rPr>
          <w:rFonts w:ascii="Times New Roman" w:eastAsia="Times New Roman" w:hAnsi="Times New Roman" w:cs="Times New Roman"/>
          <w:sz w:val="28"/>
          <w:szCs w:val="28"/>
          <w:lang w:val="en-US"/>
        </w:rPr>
        <w:t>Vol</w:t>
      </w:r>
      <w:r>
        <w:rPr>
          <w:rFonts w:ascii="Times New Roman" w:eastAsia="Times New Roman" w:hAnsi="Times New Roman" w:cs="Times New Roman"/>
          <w:sz w:val="28"/>
          <w:szCs w:val="28"/>
          <w:lang w:val="en-US"/>
        </w:rPr>
        <w:t>.</w:t>
      </w:r>
      <w:r w:rsidRPr="0035597C">
        <w:rPr>
          <w:rFonts w:ascii="Times New Roman" w:eastAsia="Times New Roman" w:hAnsi="Times New Roman" w:cs="Times New Roman"/>
          <w:sz w:val="28"/>
          <w:szCs w:val="28"/>
          <w:lang w:val="en-US"/>
        </w:rPr>
        <w:t xml:space="preserve"> 135</w:t>
      </w:r>
      <w:r>
        <w:rPr>
          <w:rFonts w:ascii="Times New Roman" w:eastAsia="Times New Roman" w:hAnsi="Times New Roman" w:cs="Times New Roman"/>
          <w:sz w:val="28"/>
          <w:szCs w:val="28"/>
          <w:lang w:val="en-US"/>
        </w:rPr>
        <w:t>. – P. </w:t>
      </w:r>
      <w:r w:rsidRPr="0035597C">
        <w:rPr>
          <w:rFonts w:ascii="Times New Roman" w:eastAsia="Times New Roman" w:hAnsi="Times New Roman" w:cs="Times New Roman"/>
          <w:sz w:val="28"/>
          <w:szCs w:val="28"/>
          <w:lang w:val="en-US"/>
        </w:rPr>
        <w:t>6-15</w:t>
      </w:r>
      <w:r>
        <w:rPr>
          <w:rFonts w:ascii="Times New Roman" w:eastAsia="Times New Roman" w:hAnsi="Times New Roman" w:cs="Times New Roman"/>
          <w:sz w:val="28"/>
          <w:szCs w:val="28"/>
          <w:lang w:val="en-US"/>
        </w:rPr>
        <w:t>.</w:t>
      </w:r>
    </w:p>
    <w:p w:rsidR="00EA72C7" w:rsidRPr="0035597C" w:rsidRDefault="00EA72C7" w:rsidP="00EA72C7">
      <w:pPr>
        <w:pStyle w:val="af1"/>
        <w:numPr>
          <w:ilvl w:val="0"/>
          <w:numId w:val="3"/>
        </w:numPr>
        <w:pBdr>
          <w:top w:val="nil"/>
          <w:left w:val="nil"/>
          <w:bottom w:val="nil"/>
          <w:right w:val="nil"/>
          <w:between w:val="nil"/>
        </w:pBd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lang w:val="en-US"/>
        </w:rPr>
      </w:pPr>
      <w:r w:rsidRPr="0035597C">
        <w:rPr>
          <w:rFonts w:ascii="Times New Roman" w:eastAsia="Times New Roman" w:hAnsi="Times New Roman" w:cs="Times New Roman"/>
          <w:sz w:val="28"/>
          <w:szCs w:val="28"/>
          <w:lang w:val="en-US"/>
        </w:rPr>
        <w:t>Garcia-Blanco</w:t>
      </w:r>
      <w:r>
        <w:rPr>
          <w:rFonts w:ascii="Times New Roman" w:eastAsia="Times New Roman" w:hAnsi="Times New Roman" w:cs="Times New Roman"/>
          <w:sz w:val="28"/>
          <w:szCs w:val="28"/>
          <w:lang w:val="en-US"/>
        </w:rPr>
        <w:t xml:space="preserve"> G.,</w:t>
      </w:r>
      <w:r w:rsidRPr="0035597C">
        <w:rPr>
          <w:rFonts w:ascii="Times New Roman" w:eastAsia="Times New Roman" w:hAnsi="Times New Roman" w:cs="Times New Roman"/>
          <w:sz w:val="28"/>
          <w:szCs w:val="28"/>
          <w:lang w:val="en-US"/>
        </w:rPr>
        <w:t xml:space="preserve"> Grizzettid</w:t>
      </w:r>
      <w:r>
        <w:rPr>
          <w:rFonts w:ascii="Times New Roman" w:eastAsia="Times New Roman" w:hAnsi="Times New Roman" w:cs="Times New Roman"/>
          <w:sz w:val="28"/>
          <w:szCs w:val="28"/>
          <w:lang w:val="en-US"/>
        </w:rPr>
        <w:t xml:space="preserve"> B.</w:t>
      </w:r>
      <w:r w:rsidRPr="0035597C">
        <w:rPr>
          <w:rFonts w:ascii="Times New Roman" w:eastAsia="Times New Roman" w:hAnsi="Times New Roman" w:cs="Times New Roman"/>
          <w:sz w:val="28"/>
          <w:szCs w:val="28"/>
          <w:lang w:val="en-US"/>
        </w:rPr>
        <w:t>, Hauckej</w:t>
      </w:r>
      <w:r w:rsidRPr="00455EDD">
        <w:rPr>
          <w:rFonts w:ascii="Times New Roman" w:eastAsia="Times New Roman" w:hAnsi="Times New Roman" w:cs="Times New Roman"/>
          <w:sz w:val="28"/>
          <w:szCs w:val="28"/>
          <w:lang w:val="en-US"/>
        </w:rPr>
        <w:t xml:space="preserve"> </w:t>
      </w:r>
      <w:r w:rsidRPr="0035597C">
        <w:rPr>
          <w:rFonts w:ascii="Times New Roman" w:eastAsia="Times New Roman" w:hAnsi="Times New Roman" w:cs="Times New Roman"/>
          <w:sz w:val="28"/>
          <w:szCs w:val="28"/>
          <w:lang w:val="en-US"/>
        </w:rPr>
        <w:t>J</w:t>
      </w:r>
      <w:r>
        <w:rPr>
          <w:rFonts w:ascii="Times New Roman" w:eastAsia="Times New Roman" w:hAnsi="Times New Roman" w:cs="Times New Roman"/>
          <w:sz w:val="28"/>
          <w:szCs w:val="28"/>
          <w:lang w:val="en-US"/>
        </w:rPr>
        <w:t>. et al.</w:t>
      </w:r>
      <w:r w:rsidRPr="0035597C">
        <w:rPr>
          <w:rFonts w:ascii="Times New Roman" w:eastAsia="Times New Roman" w:hAnsi="Times New Roman" w:cs="Times New Roman"/>
          <w:sz w:val="28"/>
          <w:szCs w:val="28"/>
          <w:lang w:val="en-US"/>
        </w:rPr>
        <w:t xml:space="preserve"> Knowledge needs for the operationalisation of the concept of ecosystem services</w:t>
      </w:r>
      <w:r>
        <w:rPr>
          <w:rFonts w:ascii="Times New Roman" w:eastAsia="Times New Roman" w:hAnsi="Times New Roman" w:cs="Times New Roman"/>
          <w:sz w:val="28"/>
          <w:szCs w:val="28"/>
          <w:lang w:val="en-US"/>
        </w:rPr>
        <w:t xml:space="preserve"> //</w:t>
      </w:r>
      <w:r w:rsidRPr="0035597C">
        <w:rPr>
          <w:rFonts w:ascii="Times New Roman" w:eastAsia="Times New Roman" w:hAnsi="Times New Roman" w:cs="Times New Roman"/>
          <w:sz w:val="28"/>
          <w:szCs w:val="28"/>
          <w:lang w:val="en-US"/>
        </w:rPr>
        <w:t xml:space="preserve"> Ecosystem Services</w:t>
      </w:r>
      <w:r>
        <w:rPr>
          <w:rFonts w:ascii="Times New Roman" w:eastAsia="Times New Roman" w:hAnsi="Times New Roman" w:cs="Times New Roman"/>
          <w:sz w:val="28"/>
          <w:szCs w:val="28"/>
          <w:lang w:val="en-US"/>
        </w:rPr>
        <w:t>. – 2018. –</w:t>
      </w:r>
      <w:r w:rsidRPr="0035597C">
        <w:rPr>
          <w:rFonts w:ascii="Times New Roman" w:eastAsia="Times New Roman" w:hAnsi="Times New Roman" w:cs="Times New Roman"/>
          <w:sz w:val="28"/>
          <w:szCs w:val="28"/>
          <w:lang w:val="en-US"/>
        </w:rPr>
        <w:t xml:space="preserve"> Vol</w:t>
      </w:r>
      <w:r>
        <w:rPr>
          <w:rFonts w:ascii="Times New Roman" w:eastAsia="Times New Roman" w:hAnsi="Times New Roman" w:cs="Times New Roman"/>
          <w:sz w:val="28"/>
          <w:szCs w:val="28"/>
          <w:lang w:val="en-US"/>
        </w:rPr>
        <w:t>.</w:t>
      </w:r>
      <w:r w:rsidRPr="0035597C">
        <w:rPr>
          <w:rFonts w:ascii="Times New Roman" w:eastAsia="Times New Roman" w:hAnsi="Times New Roman" w:cs="Times New Roman"/>
          <w:sz w:val="28"/>
          <w:szCs w:val="28"/>
          <w:lang w:val="en-US"/>
        </w:rPr>
        <w:t xml:space="preserve"> 29, Part C</w:t>
      </w:r>
      <w:r>
        <w:rPr>
          <w:rFonts w:ascii="Times New Roman" w:eastAsia="Times New Roman" w:hAnsi="Times New Roman" w:cs="Times New Roman"/>
          <w:sz w:val="28"/>
          <w:szCs w:val="28"/>
          <w:lang w:val="en-US"/>
        </w:rPr>
        <w:t xml:space="preserve">. – P. </w:t>
      </w:r>
      <w:r w:rsidRPr="0035597C">
        <w:rPr>
          <w:rFonts w:ascii="Times New Roman" w:eastAsia="Times New Roman" w:hAnsi="Times New Roman" w:cs="Times New Roman"/>
          <w:sz w:val="28"/>
          <w:szCs w:val="28"/>
          <w:lang w:val="en-US"/>
        </w:rPr>
        <w:t>441-451</w:t>
      </w:r>
      <w:r>
        <w:rPr>
          <w:rFonts w:ascii="Times New Roman" w:eastAsia="Times New Roman" w:hAnsi="Times New Roman" w:cs="Times New Roman"/>
          <w:sz w:val="28"/>
          <w:szCs w:val="28"/>
          <w:lang w:val="en-US"/>
        </w:rPr>
        <w:t>.</w:t>
      </w:r>
    </w:p>
    <w:p w:rsidR="00EA72C7" w:rsidRPr="00455EDD" w:rsidRDefault="00EA72C7" w:rsidP="00EA72C7">
      <w:pPr>
        <w:pStyle w:val="af1"/>
        <w:numPr>
          <w:ilvl w:val="0"/>
          <w:numId w:val="3"/>
        </w:numPr>
        <w:pBdr>
          <w:top w:val="nil"/>
          <w:left w:val="nil"/>
          <w:bottom w:val="nil"/>
          <w:right w:val="nil"/>
          <w:between w:val="nil"/>
        </w:pBd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lang w:val="en-US"/>
        </w:rPr>
      </w:pPr>
      <w:r w:rsidRPr="00455EDD">
        <w:rPr>
          <w:rFonts w:ascii="Times New Roman" w:eastAsia="Times New Roman" w:hAnsi="Times New Roman" w:cs="Times New Roman"/>
          <w:sz w:val="28"/>
          <w:szCs w:val="28"/>
          <w:lang w:val="en-US"/>
        </w:rPr>
        <w:t xml:space="preserve">Allan J.I., Auld G., Cadman T. et al. Comparative Fortunes of Ecosystem Services as an International Governance Concept // </w:t>
      </w:r>
      <w:hyperlink r:id="rId38" w:history="1">
        <w:r w:rsidRPr="00455EDD">
          <w:rPr>
            <w:rStyle w:val="aa"/>
            <w:rFonts w:ascii="Times New Roman" w:hAnsi="Times New Roman" w:cs="Times New Roman"/>
            <w:sz w:val="28"/>
            <w:szCs w:val="28"/>
            <w:lang w:val="en-US"/>
          </w:rPr>
          <w:t>Global Policy</w:t>
        </w:r>
      </w:hyperlink>
      <w:r>
        <w:rPr>
          <w:rFonts w:ascii="Times New Roman" w:hAnsi="Times New Roman" w:cs="Times New Roman"/>
          <w:sz w:val="28"/>
          <w:szCs w:val="28"/>
          <w:lang w:val="en-US"/>
        </w:rPr>
        <w:t>.</w:t>
      </w:r>
      <w:r w:rsidRPr="00455ED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455EDD">
        <w:rPr>
          <w:rFonts w:ascii="Times New Roman" w:hAnsi="Times New Roman" w:cs="Times New Roman"/>
          <w:sz w:val="28"/>
          <w:szCs w:val="28"/>
          <w:lang w:val="en-US"/>
        </w:rPr>
        <w:t xml:space="preserve"> 2022. </w:t>
      </w:r>
      <w:r>
        <w:rPr>
          <w:rFonts w:ascii="Times New Roman" w:hAnsi="Times New Roman" w:cs="Times New Roman"/>
          <w:sz w:val="28"/>
          <w:szCs w:val="28"/>
          <w:lang w:val="en-US"/>
        </w:rPr>
        <w:t xml:space="preserve">– Vol. 13. </w:t>
      </w:r>
      <w:r w:rsidRPr="00455EDD">
        <w:rPr>
          <w:rFonts w:ascii="Times New Roman" w:hAnsi="Times New Roman" w:cs="Times New Roman"/>
          <w:sz w:val="28"/>
          <w:szCs w:val="28"/>
          <w:lang w:val="en-US"/>
        </w:rPr>
        <w:t>– P. 62-75.</w:t>
      </w:r>
      <w:r w:rsidRPr="00455EDD">
        <w:rPr>
          <w:rFonts w:ascii="Times New Roman" w:eastAsia="Times New Roman" w:hAnsi="Times New Roman" w:cs="Times New Roman"/>
          <w:sz w:val="28"/>
          <w:szCs w:val="28"/>
          <w:lang w:val="en-US"/>
        </w:rPr>
        <w:t xml:space="preserve"> </w:t>
      </w:r>
    </w:p>
    <w:p w:rsidR="00EA72C7" w:rsidRPr="00455EDD" w:rsidRDefault="00EA72C7" w:rsidP="00EA72C7">
      <w:pPr>
        <w:pStyle w:val="af1"/>
        <w:numPr>
          <w:ilvl w:val="0"/>
          <w:numId w:val="3"/>
        </w:numPr>
        <w:pBdr>
          <w:top w:val="nil"/>
          <w:left w:val="nil"/>
          <w:bottom w:val="nil"/>
          <w:right w:val="nil"/>
          <w:between w:val="nil"/>
        </w:pBd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lang w:val="en-US"/>
        </w:rPr>
      </w:pPr>
      <w:r w:rsidRPr="00455EDD">
        <w:rPr>
          <w:rFonts w:ascii="Times New Roman" w:eastAsia="Times New Roman" w:hAnsi="Times New Roman" w:cs="Times New Roman"/>
          <w:sz w:val="28"/>
          <w:szCs w:val="28"/>
          <w:lang w:val="en-US"/>
        </w:rPr>
        <w:t xml:space="preserve">Li W.D., Ashlagi I., Lo I. Simple and Approximately Optimal Contracts for Payment for Ecosystem Services // </w:t>
      </w:r>
      <w:hyperlink r:id="rId39" w:history="1">
        <w:r w:rsidRPr="00455EDD">
          <w:rPr>
            <w:rStyle w:val="aa"/>
            <w:rFonts w:ascii="Times New Roman" w:hAnsi="Times New Roman" w:cs="Times New Roman"/>
            <w:sz w:val="28"/>
            <w:szCs w:val="28"/>
            <w:lang w:val="en-US"/>
          </w:rPr>
          <w:t>https://web.stanford.edu</w:t>
        </w:r>
      </w:hyperlink>
      <w:r w:rsidRPr="00455EDD">
        <w:rPr>
          <w:rFonts w:ascii="Times New Roman" w:hAnsi="Times New Roman" w:cs="Times New Roman"/>
          <w:sz w:val="28"/>
          <w:szCs w:val="28"/>
          <w:lang w:val="en-US"/>
        </w:rPr>
        <w:t xml:space="preserve">. 07.09.2021. </w:t>
      </w:r>
    </w:p>
    <w:p w:rsidR="00EA72C7" w:rsidRPr="00455EDD" w:rsidRDefault="00EA72C7" w:rsidP="00EA72C7">
      <w:pPr>
        <w:pStyle w:val="af1"/>
        <w:numPr>
          <w:ilvl w:val="0"/>
          <w:numId w:val="3"/>
        </w:numPr>
        <w:pBdr>
          <w:top w:val="nil"/>
          <w:left w:val="nil"/>
          <w:bottom w:val="nil"/>
          <w:right w:val="nil"/>
          <w:between w:val="nil"/>
        </w:pBd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lang w:val="en-US"/>
        </w:rPr>
      </w:pPr>
      <w:r w:rsidRPr="00455EDD">
        <w:rPr>
          <w:rFonts w:ascii="Times New Roman" w:eastAsia="Times New Roman" w:hAnsi="Times New Roman" w:cs="Times New Roman"/>
          <w:sz w:val="28"/>
          <w:szCs w:val="28"/>
          <w:lang w:val="en-US"/>
        </w:rPr>
        <w:t>Grunewalda K., Bastian O.,</w:t>
      </w:r>
      <w:r>
        <w:rPr>
          <w:rFonts w:ascii="Times New Roman" w:eastAsia="Times New Roman" w:hAnsi="Times New Roman" w:cs="Times New Roman"/>
          <w:sz w:val="28"/>
          <w:szCs w:val="28"/>
          <w:lang w:val="en-US"/>
        </w:rPr>
        <w:t xml:space="preserve"> </w:t>
      </w:r>
      <w:r w:rsidRPr="00455EDD">
        <w:rPr>
          <w:rFonts w:ascii="Times New Roman" w:eastAsia="Times New Roman" w:hAnsi="Times New Roman" w:cs="Times New Roman"/>
          <w:sz w:val="28"/>
          <w:szCs w:val="28"/>
          <w:lang w:val="en-US"/>
        </w:rPr>
        <w:t>Loudac J.</w:t>
      </w:r>
      <w:r>
        <w:rPr>
          <w:rFonts w:ascii="Times New Roman" w:eastAsia="Times New Roman" w:hAnsi="Times New Roman" w:cs="Times New Roman"/>
          <w:sz w:val="28"/>
          <w:szCs w:val="28"/>
          <w:lang w:val="en-US"/>
        </w:rPr>
        <w:t xml:space="preserve"> et al. </w:t>
      </w:r>
      <w:r w:rsidRPr="00455EDD">
        <w:rPr>
          <w:rFonts w:ascii="Times New Roman" w:eastAsia="Times New Roman" w:hAnsi="Times New Roman" w:cs="Times New Roman"/>
          <w:sz w:val="28"/>
          <w:szCs w:val="28"/>
          <w:lang w:val="en-US"/>
        </w:rPr>
        <w:t xml:space="preserve">Lessons learned from implementing the ecosystem services concept in urban planning </w:t>
      </w:r>
      <w:r>
        <w:rPr>
          <w:rFonts w:ascii="Times New Roman" w:eastAsia="Times New Roman" w:hAnsi="Times New Roman" w:cs="Times New Roman"/>
          <w:sz w:val="28"/>
          <w:szCs w:val="28"/>
          <w:lang w:val="en-US"/>
        </w:rPr>
        <w:t xml:space="preserve">// </w:t>
      </w:r>
      <w:r w:rsidRPr="00455EDD">
        <w:rPr>
          <w:rFonts w:ascii="Times New Roman" w:eastAsia="Times New Roman" w:hAnsi="Times New Roman" w:cs="Times New Roman"/>
          <w:sz w:val="28"/>
          <w:szCs w:val="28"/>
          <w:lang w:val="en-US"/>
        </w:rPr>
        <w:t>Ecosystem Services.</w:t>
      </w:r>
      <w:r>
        <w:rPr>
          <w:rFonts w:ascii="Times New Roman" w:eastAsia="Times New Roman" w:hAnsi="Times New Roman" w:cs="Times New Roman"/>
          <w:sz w:val="28"/>
          <w:szCs w:val="28"/>
          <w:lang w:val="en-US"/>
        </w:rPr>
        <w:t xml:space="preserve"> – 2021. – </w:t>
      </w:r>
      <w:r w:rsidRPr="00455EDD">
        <w:rPr>
          <w:rFonts w:ascii="Times New Roman" w:eastAsia="Times New Roman" w:hAnsi="Times New Roman" w:cs="Times New Roman"/>
          <w:sz w:val="28"/>
          <w:szCs w:val="28"/>
          <w:lang w:val="en-US"/>
        </w:rPr>
        <w:t>Vol</w:t>
      </w:r>
      <w:r>
        <w:rPr>
          <w:rFonts w:ascii="Times New Roman" w:eastAsia="Times New Roman" w:hAnsi="Times New Roman" w:cs="Times New Roman"/>
          <w:sz w:val="28"/>
          <w:szCs w:val="28"/>
          <w:lang w:val="en-US"/>
        </w:rPr>
        <w:t>.</w:t>
      </w:r>
      <w:r w:rsidRPr="00455EDD">
        <w:rPr>
          <w:rFonts w:ascii="Times New Roman" w:eastAsia="Times New Roman" w:hAnsi="Times New Roman" w:cs="Times New Roman"/>
          <w:sz w:val="28"/>
          <w:szCs w:val="28"/>
          <w:lang w:val="en-US"/>
        </w:rPr>
        <w:t xml:space="preserve"> 49</w:t>
      </w:r>
      <w:r>
        <w:rPr>
          <w:rFonts w:ascii="Times New Roman" w:eastAsia="Times New Roman" w:hAnsi="Times New Roman" w:cs="Times New Roman"/>
          <w:sz w:val="28"/>
          <w:szCs w:val="28"/>
          <w:lang w:val="en-US"/>
        </w:rPr>
        <w:t>. – P.</w:t>
      </w:r>
      <w:r w:rsidRPr="00455EDD">
        <w:rPr>
          <w:rFonts w:ascii="Times New Roman" w:eastAsia="Times New Roman" w:hAnsi="Times New Roman" w:cs="Times New Roman"/>
          <w:sz w:val="28"/>
          <w:szCs w:val="28"/>
          <w:lang w:val="en-US"/>
        </w:rPr>
        <w:t xml:space="preserve"> 101273</w:t>
      </w:r>
      <w:r>
        <w:rPr>
          <w:rFonts w:ascii="Times New Roman" w:eastAsia="Times New Roman" w:hAnsi="Times New Roman" w:cs="Times New Roman"/>
          <w:sz w:val="28"/>
          <w:szCs w:val="28"/>
          <w:lang w:val="en-US"/>
        </w:rPr>
        <w:t>.</w:t>
      </w:r>
      <w:r w:rsidRPr="00455EDD">
        <w:rPr>
          <w:rFonts w:ascii="Times New Roman" w:eastAsia="Times New Roman" w:hAnsi="Times New Roman" w:cs="Times New Roman"/>
          <w:sz w:val="28"/>
          <w:szCs w:val="28"/>
          <w:lang w:val="en-US"/>
        </w:rPr>
        <w:t xml:space="preserve"> </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 xml:space="preserve">Our Common Future / World Commission on Environment and Development. – Oxford, UK: Oxford University Press, 1987. – 300 </w:t>
      </w:r>
      <w:r>
        <w:rPr>
          <w:rFonts w:ascii="Times New Roman" w:eastAsia="Times New Roman" w:hAnsi="Times New Roman" w:cs="Times New Roman"/>
          <w:color w:val="000000"/>
          <w:sz w:val="28"/>
          <w:szCs w:val="28"/>
        </w:rPr>
        <w:t>р</w:t>
      </w:r>
      <w:r w:rsidRPr="009531DE">
        <w:rPr>
          <w:rFonts w:ascii="Times New Roman" w:eastAsia="Times New Roman" w:hAnsi="Times New Roman" w:cs="Times New Roman"/>
          <w:color w:val="000000"/>
          <w:sz w:val="28"/>
          <w:szCs w:val="28"/>
          <w:lang w:val="en-US"/>
        </w:rPr>
        <w:t>.</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Утепов А., Джунусбекова Г. Влияние экосистемного фактора на эффективность принятия управленческих решений в Казахстане // Экономика и статистика. – 2019. – №3. – С. 55-62.</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Tansley A.G. The use and abuse of vegetational concepts and terms // Ecology. – 1935. – Vol. 16, №3. – P. 284-307.</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Берталанфи фон Л. Общая теория систем – критический обзор // Исследования по общей теории систем: сб. пер. – М.: Прогресс, 1969. –                               С. 23-82.</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Эшби У.Р. Конструкция мозга. – М., 1962. – 398 с. </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Сукачев В.Н. Соотношение понятий «биогеоценоз», «экосистема» и «фация» // Почвоведение. – 1960. – №6. – С. 1-10.</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Мошаров С.А. Биогеоценоз // В кн.: Экологическая энциклопедия: в 6 т. – М.: Энциклопедия, 2008. – Т. 1. – С. 156-157.</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Биосфера // Экологическая энциклопедия: в 6 т. / под ред. В.И. Данилов-Данильян, К.С. Лосев и др. – М., 2008. – Т. 1. – С. 186-189.</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Whittaker R.H. Classification of natural of natural communities // Botanical Review. – 1962. – Vol. 28. – P. 1-239.</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Вилли К. Биология / пер. с англ. – М.: Мир, 1964. – 678 с.</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Дювиньо П. Биосфера и место в ней человека: экологические системы и биосфера / пер. с фр. – М.: Прогресс, 1968. – 254 с.</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Вернадский В.И. О пределах биосферы // Известия АН. – 1937. – №1. – С. 3-24.</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Вернадский В.И. Химическое строение биосферы Земли и ее окружения. – М.: Наука, 1987. – 340 с.</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Moore J.F. The Death of Competition: Leadership &amp; Strategy in the Age of Business Ecosystems. – NY.: Harper Business, 1996. – 297 p.</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 xml:space="preserve">Moore J.F. The Rise of a New Corporate Form // </w:t>
      </w:r>
      <w:r>
        <w:rPr>
          <w:rFonts w:ascii="Times New Roman" w:eastAsia="Times New Roman" w:hAnsi="Times New Roman" w:cs="Times New Roman"/>
          <w:color w:val="000000"/>
          <w:sz w:val="28"/>
          <w:szCs w:val="28"/>
          <w:lang w:val="en-US"/>
        </w:rPr>
        <w:t xml:space="preserve">The </w:t>
      </w:r>
      <w:r w:rsidRPr="009531DE">
        <w:rPr>
          <w:rFonts w:ascii="Times New Roman" w:eastAsia="Times New Roman" w:hAnsi="Times New Roman" w:cs="Times New Roman"/>
          <w:color w:val="000000"/>
          <w:sz w:val="28"/>
          <w:szCs w:val="28"/>
          <w:lang w:val="en-US"/>
        </w:rPr>
        <w:t xml:space="preserve">Washington Quarterly. – 1998. – Vol. 21, Issue 1. – P. 167-181. </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Moore J.F. Business ecosystems and the view from the firm // The Antitrust Bulletin. – 2006. – Vol. 51, Issue 1. – P. 31-75.</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Копылов М.Н., Нгуен К.Т. Современные подходы к экосистемному управлению // Евразийский юридический журнал. – 2013. – №4(59). – С. 82-86.</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Титова Г.Д. Оценка услуг морских экосистем как комплексная междисциплинарная проблема: на пути к решению // Вестник Санкт-Петербургского университета. – 2014. – №3. – С. 46-57.</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Титова Г.Д. Экосистема как объект управления // Вестник Санкт-Петербургского университета. – 2016. – №1. – С. 59-72.</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sidRPr="009531DE">
        <w:rPr>
          <w:rFonts w:ascii="Times New Roman" w:eastAsia="Times New Roman" w:hAnsi="Times New Roman" w:cs="Times New Roman"/>
          <w:color w:val="000000"/>
          <w:sz w:val="28"/>
          <w:szCs w:val="28"/>
          <w:lang w:val="en-US"/>
        </w:rPr>
        <w:t xml:space="preserve">Sustainable Land Management contribution to successful land-based climate change adaptation and mitigation: A Report of the Science-Policy Interface, 2017 // </w:t>
      </w:r>
      <w:hyperlink r:id="rId40">
        <w:r w:rsidRPr="009531DE">
          <w:rPr>
            <w:rFonts w:ascii="Times New Roman" w:eastAsia="Times New Roman" w:hAnsi="Times New Roman" w:cs="Times New Roman"/>
            <w:color w:val="000000"/>
            <w:sz w:val="28"/>
            <w:szCs w:val="28"/>
            <w:lang w:val="en-US"/>
          </w:rPr>
          <w:t>https://www.unccd.int/sites/default/files/documents/2017.</w:t>
        </w:r>
      </w:hyperlink>
      <w:r w:rsidRPr="009531D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15.05.2020.</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Daily G.C. et al. Nature's Services: Societal Dependence on Natural Ecosystems. – Washington, DC: Island Press, DC, 1997. – 392 p.</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Gomez-Baggethun E. et al. The history of ecosystem services in economic theory and practice: from early notions to markets and payment schemes // Ecological Economics. – 2010. – Vol. 69, Issue 6. – P. 1209-1219.</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sidRPr="009531DE">
        <w:rPr>
          <w:rFonts w:ascii="Times New Roman" w:eastAsia="Times New Roman" w:hAnsi="Times New Roman" w:cs="Times New Roman"/>
          <w:color w:val="000000"/>
          <w:sz w:val="28"/>
          <w:szCs w:val="28"/>
          <w:lang w:val="en-US"/>
        </w:rPr>
        <w:t xml:space="preserve">European Environment Agency, Common International Classification of Ecosystem Services (CICES V4): Consultation Briefing Note, 2012 // </w:t>
      </w:r>
      <w:hyperlink r:id="rId41">
        <w:r w:rsidRPr="009531DE">
          <w:rPr>
            <w:rFonts w:ascii="Times New Roman" w:eastAsia="Times New Roman" w:hAnsi="Times New Roman" w:cs="Times New Roman"/>
            <w:color w:val="000000"/>
            <w:sz w:val="28"/>
            <w:szCs w:val="28"/>
            <w:lang w:val="en-US"/>
          </w:rPr>
          <w:t>https://cices.eu/content/uploads/sites/8/2012/07/CICES-v-4.</w:t>
        </w:r>
      </w:hyperlink>
      <w:r w:rsidRPr="009531D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05.03.2020.</w:t>
      </w:r>
    </w:p>
    <w:p w:rsidR="00EA72C7" w:rsidRPr="00AF51A5"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AF51A5">
        <w:rPr>
          <w:rFonts w:ascii="Times New Roman" w:eastAsia="Times New Roman" w:hAnsi="Times New Roman" w:cs="Times New Roman"/>
          <w:color w:val="000000"/>
          <w:sz w:val="28"/>
          <w:szCs w:val="28"/>
          <w:lang w:val="en-US"/>
        </w:rPr>
        <w:t xml:space="preserve">Ecosystems and Human Well-being: a framework for assessment / Millennium Ecosystem Assessment. – </w:t>
      </w:r>
      <w:r w:rsidRPr="00AF51A5">
        <w:rPr>
          <w:rFonts w:ascii="Times New Roman" w:hAnsi="Times New Roman" w:cs="Times New Roman"/>
          <w:sz w:val="28"/>
          <w:szCs w:val="28"/>
          <w:lang w:val="en-US"/>
        </w:rPr>
        <w:t>Washington</w:t>
      </w:r>
      <w:r>
        <w:rPr>
          <w:rFonts w:ascii="Times New Roman" w:eastAsia="Times New Roman" w:hAnsi="Times New Roman" w:cs="Times New Roman"/>
          <w:color w:val="000000"/>
          <w:sz w:val="28"/>
          <w:szCs w:val="28"/>
          <w:lang w:val="en-US"/>
        </w:rPr>
        <w:t xml:space="preserve"> 2003</w:t>
      </w:r>
      <w:r w:rsidRPr="00AF51A5">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lang w:val="en-US"/>
        </w:rPr>
        <w:t xml:space="preserve"> – 266 p.</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sidRPr="009531DE">
        <w:rPr>
          <w:rFonts w:ascii="Times New Roman" w:eastAsia="Times New Roman" w:hAnsi="Times New Roman" w:cs="Times New Roman"/>
          <w:color w:val="000000"/>
          <w:sz w:val="28"/>
          <w:szCs w:val="28"/>
          <w:lang w:val="en-US"/>
        </w:rPr>
        <w:t xml:space="preserve">Natural Capital Accounting, 2016 // </w:t>
      </w:r>
      <w:hyperlink r:id="rId42">
        <w:r w:rsidRPr="009531DE">
          <w:rPr>
            <w:rFonts w:ascii="Times New Roman" w:eastAsia="Times New Roman" w:hAnsi="Times New Roman" w:cs="Times New Roman"/>
            <w:color w:val="000000"/>
            <w:sz w:val="28"/>
            <w:szCs w:val="28"/>
            <w:lang w:val="en-US"/>
          </w:rPr>
          <w:t>http://www.worldbank.org/en/topic/</w:t>
        </w:r>
      </w:hyperlink>
      <w:r w:rsidRPr="009531DE">
        <w:rPr>
          <w:rFonts w:ascii="Times New Roman" w:eastAsia="Times New Roman" w:hAnsi="Times New Roman" w:cs="Times New Roman"/>
          <w:color w:val="000000"/>
          <w:sz w:val="28"/>
          <w:szCs w:val="28"/>
          <w:lang w:val="en-US"/>
        </w:rPr>
        <w:t xml:space="preserve"> environment/brief/environmental-economics-natural-capital-accounting. </w:t>
      </w:r>
      <w:r>
        <w:rPr>
          <w:rFonts w:ascii="Times New Roman" w:eastAsia="Times New Roman" w:hAnsi="Times New Roman" w:cs="Times New Roman"/>
          <w:color w:val="000000"/>
          <w:sz w:val="28"/>
          <w:szCs w:val="28"/>
        </w:rPr>
        <w:t>05.03.2020.</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Розенберг А.Г. Истоки современной истории экосистемных услуг // Самарская Лука: проблемы региональной и глобальной экологии. – 2017. – №1. – С. 5-14.</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Бобылев С.Н., Горячева А.А. Идентификация и оценка экосистемных услуг: международный контекст // Вестник международных организаций. – 2019. – Т. 14, №1. – С. 225-236.</w:t>
      </w:r>
    </w:p>
    <w:p w:rsidR="00EA72C7" w:rsidRDefault="00EA72C7" w:rsidP="00EA72C7">
      <w:pPr>
        <w:numPr>
          <w:ilvl w:val="0"/>
          <w:numId w:val="3"/>
        </w:numPr>
        <w:pBdr>
          <w:top w:val="nil"/>
          <w:left w:val="nil"/>
          <w:bottom w:val="nil"/>
          <w:right w:val="nil"/>
          <w:between w:val="nil"/>
        </w:pBdr>
        <w:tabs>
          <w:tab w:val="left" w:pos="0"/>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sidRPr="009531DE">
        <w:rPr>
          <w:rFonts w:ascii="Times New Roman" w:eastAsia="Times New Roman" w:hAnsi="Times New Roman" w:cs="Times New Roman"/>
          <w:color w:val="000000"/>
          <w:sz w:val="28"/>
          <w:szCs w:val="28"/>
          <w:lang w:val="en-US"/>
        </w:rPr>
        <w:t xml:space="preserve">Guide to Corporate Ecosystem Valuation // https://www.researchgate. net/publication/356427693_. </w:t>
      </w:r>
      <w:r>
        <w:rPr>
          <w:rFonts w:ascii="Times New Roman" w:eastAsia="Times New Roman" w:hAnsi="Times New Roman" w:cs="Times New Roman"/>
          <w:color w:val="000000"/>
          <w:sz w:val="28"/>
          <w:szCs w:val="28"/>
        </w:rPr>
        <w:t>05.03.2020.</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Costanza R., et al., Changes in the global value of ecosystem services // Global Environmental Change. – 2014. – Vol. 26. – P. 152-158.</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Costanza R. The value of natural and social capital in our currentfull world and in a sustainable and desirable future // In book: Sustain-ability Science: The Emerging Paradigm and the Urban Environment. – NY.: Springer, 2012. – P. 99-109.</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Wallace K.J. Classification of Ecosystem Services: Problems and Solutions // Biological Conservation. – 2007. – Vol. 139. – P. 235-246.</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Горшков В.В., Горшков В.Г. и др. Биотическая регуляция окружающей среды // Экология. – 1999. – №2. – С. 105-113.</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Научные основы сохранения биоразнообразия России. Основные результаты: программа фундаментальных исследований / Президиум РАН. – М.: КМК, 2006. – 138 с.</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sidRPr="009531DE">
        <w:rPr>
          <w:rFonts w:ascii="Times New Roman" w:eastAsia="Times New Roman" w:hAnsi="Times New Roman" w:cs="Times New Roman"/>
          <w:color w:val="000000"/>
          <w:sz w:val="28"/>
          <w:szCs w:val="28"/>
          <w:lang w:val="en-US"/>
        </w:rPr>
        <w:t xml:space="preserve">Organization for Economic Co-Operation and Development // </w:t>
      </w:r>
      <w:hyperlink r:id="rId43">
        <w:r w:rsidRPr="009531DE">
          <w:rPr>
            <w:rFonts w:ascii="Times New Roman" w:eastAsia="Times New Roman" w:hAnsi="Times New Roman" w:cs="Times New Roman"/>
            <w:color w:val="000000"/>
            <w:sz w:val="28"/>
            <w:szCs w:val="28"/>
            <w:lang w:val="en-US"/>
          </w:rPr>
          <w:t>https://www.sciencedirect.com/topics/economics-econometrics-and</w:t>
        </w:r>
      </w:hyperlink>
      <w:r w:rsidRPr="009531D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10.05.2020.</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Ruckelshaus M. et al. Notes from the field: Lessons learned from using ecosystem service approaches to inform real-world decisions // Ecological Economics. – 2015. – Vol. 115. – P. 11-21.</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 xml:space="preserve">Krasnya M.E. et al. Civic ecology practices: Participatory approaches to generating and measuring ecosystem services in cities // Ecosystem Services. – 2014. – Vol. 7. – </w:t>
      </w:r>
      <w:r>
        <w:rPr>
          <w:rFonts w:ascii="Times New Roman" w:eastAsia="Times New Roman" w:hAnsi="Times New Roman" w:cs="Times New Roman"/>
          <w:color w:val="000000"/>
          <w:sz w:val="28"/>
          <w:szCs w:val="28"/>
        </w:rPr>
        <w:t>Р</w:t>
      </w:r>
      <w:r w:rsidRPr="009531DE">
        <w:rPr>
          <w:rFonts w:ascii="Times New Roman" w:eastAsia="Times New Roman" w:hAnsi="Times New Roman" w:cs="Times New Roman"/>
          <w:color w:val="000000"/>
          <w:sz w:val="28"/>
          <w:szCs w:val="28"/>
          <w:lang w:val="en-US"/>
        </w:rPr>
        <w:t>. 177-186.</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sidRPr="009531DE">
        <w:rPr>
          <w:rFonts w:ascii="Times New Roman" w:eastAsia="Times New Roman" w:hAnsi="Times New Roman" w:cs="Times New Roman"/>
          <w:color w:val="000000"/>
          <w:sz w:val="28"/>
          <w:szCs w:val="28"/>
          <w:lang w:val="en-US"/>
        </w:rPr>
        <w:t xml:space="preserve">WMO: The Global Climate in 2015-2019 // </w:t>
      </w:r>
      <w:hyperlink r:id="rId44">
        <w:r w:rsidRPr="009531DE">
          <w:rPr>
            <w:rFonts w:ascii="Times New Roman" w:eastAsia="Times New Roman" w:hAnsi="Times New Roman" w:cs="Times New Roman"/>
            <w:color w:val="000000"/>
            <w:sz w:val="28"/>
            <w:szCs w:val="28"/>
            <w:lang w:val="en-US"/>
          </w:rPr>
          <w:t>https://library.wmo.int/ doc_num.php?explnum_id=10211</w:t>
        </w:r>
      </w:hyperlink>
      <w:r w:rsidRPr="009531DE">
        <w:rPr>
          <w:rFonts w:ascii="Times New Roman" w:eastAsia="Times New Roman" w:hAnsi="Times New Roman" w:cs="Times New Roman"/>
          <w:color w:val="0563C1"/>
          <w:sz w:val="28"/>
          <w:szCs w:val="28"/>
          <w:u w:val="single"/>
          <w:lang w:val="en-US"/>
        </w:rPr>
        <w:t>.</w:t>
      </w:r>
      <w:r w:rsidRPr="009531D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10.05.2020.</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Gattuso J-P. et al. Oceanography</w:t>
      </w:r>
      <w:r>
        <w:rPr>
          <w:rFonts w:ascii="Times New Roman" w:eastAsia="Times New Roman" w:hAnsi="Times New Roman" w:cs="Times New Roman"/>
          <w:color w:val="000000"/>
          <w:sz w:val="28"/>
          <w:szCs w:val="28"/>
          <w:lang w:val="en-US"/>
        </w:rPr>
        <w:t>:</w:t>
      </w:r>
      <w:r w:rsidRPr="009531DE">
        <w:rPr>
          <w:rFonts w:ascii="Times New Roman" w:eastAsia="Times New Roman" w:hAnsi="Times New Roman" w:cs="Times New Roman"/>
          <w:color w:val="000000"/>
          <w:sz w:val="28"/>
          <w:szCs w:val="28"/>
          <w:lang w:val="en-US"/>
        </w:rPr>
        <w:t xml:space="preserve"> Contrasting futures for ocean and society from different anthropogenic CO</w:t>
      </w:r>
      <w:r w:rsidRPr="009531DE">
        <w:rPr>
          <w:rFonts w:ascii="Cambria Math" w:eastAsia="Cambria Math" w:hAnsi="Cambria Math" w:cs="Cambria Math"/>
          <w:color w:val="000000"/>
          <w:sz w:val="28"/>
          <w:szCs w:val="28"/>
          <w:lang w:val="en-US"/>
        </w:rPr>
        <w:t>₂</w:t>
      </w:r>
      <w:r w:rsidRPr="009531DE">
        <w:rPr>
          <w:rFonts w:ascii="Times New Roman" w:eastAsia="Times New Roman" w:hAnsi="Times New Roman" w:cs="Times New Roman"/>
          <w:color w:val="000000"/>
          <w:sz w:val="28"/>
          <w:szCs w:val="28"/>
          <w:lang w:val="en-US"/>
        </w:rPr>
        <w:t xml:space="preserve"> emissions scenarios // Science. – 2015. – Vol. 349, Issue 6243. – P. 4722-1-4722. </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Molinos J.G. et al. Climate velocity and the future global redistribution of marine biodiversity // Nature Climate Change. – 2016. – Vol. 6. – P. 83-88.</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Маркова В.Д., Кузнецова С.А. Стратегический менеджмент: понятия, концепции, инструменты принятия решений: справоч. пос. – М.: ИНФРА-М, 2012. – 320 c.</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Диев В.С. Проблема выбора и принятия решений в междисциплинарном контексте // Вестник Томского государственного университета. – 2013. – №2(22). – С. 41-51.</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Ларичев О. И. Теория и методы принятия решений. – Изд. 2-е, перер. и доп. – М.: Логос, 2002. – 392 с.</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Мескон М., Альберт М., Хедоури Ф. Основы менеджмента / пер. с англ. – М.: Дело, 1992. – 701 с.</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Саймон Г. Теория принятия решений в экономической теории и науке о поведении // В кн.: Вехи экономической мысли. – СПб.: Экономическая школа. 1999. – Т. 1. – С. 54-72.</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Томпсон А.А., Стрикленд А.Д. Стратегический менеджмент: концепции и ситуации для анализа / пер. с англ. – М.: Вильямс, 2013. – 928 c.</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Фон Нейман Дж., Моргенштерн О. Теория игр и экономическое поведение / пер. с англ. – М.: Наука, 1970. – 707 с.</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Оуэн Г. Теория игр / пер. с англ. – М.: Мир, 1971. – 230 с.</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Сорина Г.В. Принятие решений как интеллектуальная деятельность: монография. – М., 2009. – 272 с.</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Hansson S.O. Decision Theory: A Brief Introduction. – Stockholm, 1994. – 94 p.</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Сорина Г.В. Коммуникативное пространство принятия решений: теория и практика // https://cyberleninka.ru/article/n/kommunikativnoe. 13.02.2020.</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 xml:space="preserve">Kahneman D., Tversky A. Prospect Theory: An Analysis of Decision under Risk // Econometrica. – 1979. – Vol. 47, №2. – </w:t>
      </w:r>
      <w:r>
        <w:rPr>
          <w:rFonts w:ascii="Times New Roman" w:eastAsia="Times New Roman" w:hAnsi="Times New Roman" w:cs="Times New Roman"/>
          <w:color w:val="000000"/>
          <w:sz w:val="28"/>
          <w:szCs w:val="28"/>
        </w:rPr>
        <w:t>Р</w:t>
      </w:r>
      <w:r w:rsidRPr="009531DE">
        <w:rPr>
          <w:rFonts w:ascii="Times New Roman" w:eastAsia="Times New Roman" w:hAnsi="Times New Roman" w:cs="Times New Roman"/>
          <w:color w:val="000000"/>
          <w:sz w:val="28"/>
          <w:szCs w:val="28"/>
          <w:lang w:val="en-US"/>
        </w:rPr>
        <w:t>. 263-292.</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 xml:space="preserve">Kahneman D., Tversky A. Advances in Prospect Theory: Cumulative Representation of Uncertainty // Journal of Risk and Uncertainty. – 1992. – №5. – </w:t>
      </w:r>
      <w:r>
        <w:rPr>
          <w:rFonts w:ascii="Times New Roman" w:eastAsia="Times New Roman" w:hAnsi="Times New Roman" w:cs="Times New Roman"/>
          <w:color w:val="000000"/>
          <w:sz w:val="28"/>
          <w:szCs w:val="28"/>
        </w:rPr>
        <w:t>Р</w:t>
      </w:r>
      <w:r w:rsidRPr="009531DE">
        <w:rPr>
          <w:rFonts w:ascii="Times New Roman" w:eastAsia="Times New Roman" w:hAnsi="Times New Roman" w:cs="Times New Roman"/>
          <w:color w:val="000000"/>
          <w:sz w:val="28"/>
          <w:szCs w:val="28"/>
          <w:lang w:val="en-US"/>
        </w:rPr>
        <w:t>. 297-323.</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Власов Д.А. Реализация метода дерева в моделировании процесса принятия решений // Вопросы экономики и управления. – 2016. – №2. –                                             С. 34-37.</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Кузнецова Н.В. Анализ подготовки и принятия управленческих решений в практике: к вопросу выбора оптимального метода // Молодой ученый. – 2016. – №27. – С. 425-433.</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Федяев В.К., Омельяновский В.В., Реброва О.Ю. Многокритериальный анализ как инструмент поддержки принятия решений: обзор методов и возможностей их применения в оценке технологий здравоохранения // Медицинские технологии. Оценка и выбор. – 2014. – №2. – С. 30-35.</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Bero L.A., Jadad A.R. How consumers and policymakers can use systematic reviews for decision making // Ann Intern Med. – 1998. – Vol. 127. – P. 37-42.</w:t>
      </w:r>
    </w:p>
    <w:p w:rsidR="00EA72C7" w:rsidRPr="00AF51A5"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 xml:space="preserve">Multiple Criteria Decision Analysis for Health Care Decision Making – An Introduction: report 1 of the ISPOR MCDA Emerging Good Practices Task Force // </w:t>
      </w:r>
      <w:hyperlink r:id="rId45">
        <w:r w:rsidRPr="009531DE">
          <w:rPr>
            <w:rFonts w:ascii="Times New Roman" w:eastAsia="Times New Roman" w:hAnsi="Times New Roman" w:cs="Times New Roman"/>
            <w:color w:val="000000"/>
            <w:sz w:val="28"/>
            <w:szCs w:val="28"/>
            <w:lang w:val="en-US"/>
          </w:rPr>
          <w:t>https://www.ispor.org/Multi-Criteria-Decision-Analysis-guideline.pdf</w:t>
        </w:r>
      </w:hyperlink>
      <w:r w:rsidRPr="009531DE">
        <w:rPr>
          <w:rFonts w:ascii="Times New Roman" w:eastAsia="Times New Roman" w:hAnsi="Times New Roman" w:cs="Times New Roman"/>
          <w:color w:val="000000"/>
          <w:sz w:val="28"/>
          <w:szCs w:val="28"/>
          <w:lang w:val="en-US"/>
        </w:rPr>
        <w:t xml:space="preserve">. </w:t>
      </w:r>
      <w:r w:rsidRPr="00AF51A5">
        <w:rPr>
          <w:rFonts w:ascii="Times New Roman" w:eastAsia="Times New Roman" w:hAnsi="Times New Roman" w:cs="Times New Roman"/>
          <w:color w:val="000000"/>
          <w:sz w:val="28"/>
          <w:szCs w:val="28"/>
          <w:lang w:val="en-US"/>
        </w:rPr>
        <w:t>15.03.2020.</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Поспелов Д.А. Ситуационное управление: теория и практика. – М.: Наука, 1986. – 288 с.</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Филиппович А.Ю. Интеграция систем ситуационного, имитационного и экспертного моделирования. – М.: ООО Эликс+, 2003. – 300 с.</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Грачев В.В., Силич В.А., Силич М.П. Методология проектирования ситуационных центров принятия решений // Докл. Томского государст. универ. систем управления и радиоэлектроники. – 2013. – №1(27). – С. 114-118.</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Соколов М.А., Кулипанова А.Ю., Ашавский И.Г. Роль информационных технологий в процессе поддержки принятия управленческих решений // Молодой ученый. – 2014. – №15.1. – С. 129-131.</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Harrison P. et al. Selecting methods for ecosystem service assessment: A decision tree approach // Ecosystem Services. – 2018. – Vol. 29(C). – P. 481-498.</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Saarikoski H. et al. Institutional challenges in putting ecosystem service knowledge in practice // Ecological Economics. – 2015. – Vol. 115(</w:t>
      </w:r>
      <w:r>
        <w:rPr>
          <w:rFonts w:ascii="Times New Roman" w:eastAsia="Times New Roman" w:hAnsi="Times New Roman" w:cs="Times New Roman"/>
          <w:color w:val="000000"/>
          <w:sz w:val="28"/>
          <w:szCs w:val="28"/>
        </w:rPr>
        <w:t>С</w:t>
      </w:r>
      <w:r w:rsidRPr="009531DE">
        <w:rPr>
          <w:rFonts w:ascii="Times New Roman" w:eastAsia="Times New Roman" w:hAnsi="Times New Roman" w:cs="Times New Roman"/>
          <w:color w:val="000000"/>
          <w:sz w:val="28"/>
          <w:szCs w:val="28"/>
          <w:lang w:val="en-US"/>
        </w:rPr>
        <w:t>). – P. 11-21.</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Saarikoski H. et al., Institutional challenges in putting ecosystem service knowledge in practice // Ecosystem Services. – 2018. – Vol. 29. – P. 579-598.</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DeFries R.S. et al., Analytical Approaches for Assessing Ecosystem Condition and Huma</w:t>
      </w:r>
      <w:r>
        <w:rPr>
          <w:rFonts w:ascii="Times New Roman" w:eastAsia="Times New Roman" w:hAnsi="Times New Roman" w:cs="Times New Roman"/>
          <w:color w:val="000000"/>
          <w:sz w:val="28"/>
          <w:szCs w:val="28"/>
          <w:lang w:val="en-US"/>
        </w:rPr>
        <w:t xml:space="preserve">n Well-being Coordinating Lead. – 2006. – </w:t>
      </w:r>
      <w:r w:rsidRPr="009531DE">
        <w:rPr>
          <w:rFonts w:ascii="Times New Roman" w:eastAsia="Times New Roman" w:hAnsi="Times New Roman" w:cs="Times New Roman"/>
          <w:color w:val="000000"/>
          <w:sz w:val="28"/>
          <w:szCs w:val="28"/>
          <w:lang w:val="en-US"/>
        </w:rPr>
        <w:t>Ch</w:t>
      </w:r>
      <w:r>
        <w:rPr>
          <w:rFonts w:ascii="Times New Roman" w:eastAsia="Times New Roman" w:hAnsi="Times New Roman" w:cs="Times New Roman"/>
          <w:color w:val="000000"/>
          <w:sz w:val="28"/>
          <w:szCs w:val="28"/>
          <w:lang w:val="en-US"/>
        </w:rPr>
        <w:t>.</w:t>
      </w:r>
      <w:r w:rsidRPr="009531DE">
        <w:rPr>
          <w:rFonts w:ascii="Times New Roman" w:eastAsia="Times New Roman" w:hAnsi="Times New Roman" w:cs="Times New Roman"/>
          <w:color w:val="000000"/>
          <w:sz w:val="28"/>
          <w:szCs w:val="28"/>
          <w:lang w:val="en-US"/>
        </w:rPr>
        <w:t xml:space="preserve"> 2 // https://www.millenniumassessment.org/documents/document.271.aspx. 20.03.2020.</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Wiggering H., Müller F. Umweltziele und Indikatoren. – NY.; Berlin: Heidelberg, 2004. – 670 p.</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Potschin M., Haines-Young R., Fish R. et al. Indicators for ecosystem services // In book: Routledge Handbook of Ecosystem Services. – NY.; London: Routledge, 2016. – P. 157-169.</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Environmental Priority Strategies in product design (EPS)</w:t>
      </w:r>
      <w:r>
        <w:rPr>
          <w:rFonts w:ascii="Times New Roman" w:eastAsia="Times New Roman" w:hAnsi="Times New Roman" w:cs="Times New Roman"/>
          <w:color w:val="000000"/>
          <w:sz w:val="28"/>
          <w:szCs w:val="28"/>
          <w:lang w:val="en-US"/>
        </w:rPr>
        <w:t xml:space="preserve"> //</w:t>
      </w:r>
      <w:r w:rsidRPr="009531DE">
        <w:rPr>
          <w:rFonts w:ascii="Times New Roman" w:eastAsia="Times New Roman" w:hAnsi="Times New Roman" w:cs="Times New Roman"/>
          <w:color w:val="000000"/>
          <w:sz w:val="28"/>
          <w:szCs w:val="28"/>
          <w:lang w:val="en-US"/>
        </w:rPr>
        <w:t xml:space="preserve"> https://www.lifecyclecenter.se/projects/environmental-priority-strategies</w:t>
      </w:r>
      <w:r>
        <w:rPr>
          <w:rFonts w:ascii="Times New Roman" w:eastAsia="Times New Roman" w:hAnsi="Times New Roman" w:cs="Times New Roman"/>
          <w:color w:val="000000"/>
          <w:sz w:val="28"/>
          <w:szCs w:val="28"/>
          <w:lang w:val="en-US"/>
        </w:rPr>
        <w:t>.</w:t>
      </w:r>
      <w:r w:rsidRPr="009531DE">
        <w:rPr>
          <w:rFonts w:ascii="Times New Roman" w:eastAsia="Times New Roman" w:hAnsi="Times New Roman" w:cs="Times New Roman"/>
          <w:color w:val="000000"/>
          <w:sz w:val="28"/>
          <w:szCs w:val="28"/>
          <w:lang w:val="en-US"/>
        </w:rPr>
        <w:t xml:space="preserve"> 05.05.2020.</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sidRPr="009531DE">
        <w:rPr>
          <w:rFonts w:ascii="Times New Roman" w:eastAsia="Times New Roman" w:hAnsi="Times New Roman" w:cs="Times New Roman"/>
          <w:color w:val="000000"/>
          <w:sz w:val="28"/>
          <w:szCs w:val="28"/>
          <w:lang w:val="en-US"/>
        </w:rPr>
        <w:t>Boyd J.W., Krupnick A. Using ecological production theory to de</w:t>
      </w:r>
      <w:r>
        <w:rPr>
          <w:rFonts w:ascii="Times New Roman" w:eastAsia="Times New Roman" w:hAnsi="Times New Roman" w:cs="Times New Roman"/>
          <w:color w:val="000000"/>
          <w:sz w:val="28"/>
          <w:szCs w:val="28"/>
        </w:rPr>
        <w:t>ﬁ</w:t>
      </w:r>
      <w:r w:rsidRPr="009531DE">
        <w:rPr>
          <w:rFonts w:ascii="Times New Roman" w:eastAsia="Times New Roman" w:hAnsi="Times New Roman" w:cs="Times New Roman"/>
          <w:color w:val="000000"/>
          <w:sz w:val="28"/>
          <w:szCs w:val="28"/>
          <w:lang w:val="en-US"/>
        </w:rPr>
        <w:t xml:space="preserve">ne and selectenvironmental commodities for nonmarket valuation // Agric. </w:t>
      </w:r>
      <w:r>
        <w:rPr>
          <w:rFonts w:ascii="Times New Roman" w:eastAsia="Times New Roman" w:hAnsi="Times New Roman" w:cs="Times New Roman"/>
          <w:color w:val="000000"/>
          <w:sz w:val="28"/>
          <w:szCs w:val="28"/>
        </w:rPr>
        <w:t>Resour. Econ. Rev. – 2013. – Vol. 42, Issue 1. – P. 1-32.</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sidRPr="009531DE">
        <w:rPr>
          <w:rFonts w:ascii="Times New Roman" w:eastAsia="Times New Roman" w:hAnsi="Times New Roman" w:cs="Times New Roman"/>
          <w:color w:val="000000"/>
          <w:sz w:val="28"/>
          <w:szCs w:val="28"/>
          <w:lang w:val="en-US"/>
        </w:rPr>
        <w:t xml:space="preserve">Boyd J., Ringold P., Krupnick A. et al. Ecosystemservices indicators: improving the linkage between biophysical and economic ana-lyses // Int. </w:t>
      </w:r>
      <w:r>
        <w:rPr>
          <w:rFonts w:ascii="Times New Roman" w:eastAsia="Times New Roman" w:hAnsi="Times New Roman" w:cs="Times New Roman"/>
          <w:color w:val="000000"/>
          <w:sz w:val="28"/>
          <w:szCs w:val="28"/>
        </w:rPr>
        <w:t>Rev. Environ. Resour. Econ. – 2016. – Vol. 8. – P. 359-443.</w:t>
      </w:r>
    </w:p>
    <w:p w:rsidR="00EA72C7" w:rsidRPr="00B64701"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 xml:space="preserve">Olander L. et al. Best Practices for Integrating Ecosystem Servicesinto Federal Decision Making // https://drum.lib.umd.edu/handle/1903/16751. </w:t>
      </w:r>
      <w:r w:rsidRPr="00B64701">
        <w:rPr>
          <w:rFonts w:ascii="Times New Roman" w:eastAsia="Times New Roman" w:hAnsi="Times New Roman" w:cs="Times New Roman"/>
          <w:color w:val="000000"/>
          <w:sz w:val="28"/>
          <w:szCs w:val="28"/>
          <w:lang w:val="en-US"/>
        </w:rPr>
        <w:t>05.02.2020.</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Olander L., Polasky S., Kagan J.S. et al. So you want your research to be relevant? Building the bridge between ecosystem services research and practice // Ecosystem Services. – 2017. – Vol. 26. – P. 170-182.</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sidRPr="009531DE">
        <w:rPr>
          <w:rFonts w:ascii="Times New Roman" w:eastAsia="Times New Roman" w:hAnsi="Times New Roman" w:cs="Times New Roman"/>
          <w:color w:val="000000"/>
          <w:sz w:val="28"/>
          <w:szCs w:val="28"/>
          <w:lang w:val="en-US"/>
        </w:rPr>
        <w:t>Zhu D.J., Qiu S.F. Eco-ef</w:t>
      </w:r>
      <w:r>
        <w:rPr>
          <w:rFonts w:ascii="Times New Roman" w:eastAsia="Times New Roman" w:hAnsi="Times New Roman" w:cs="Times New Roman"/>
          <w:color w:val="000000"/>
          <w:sz w:val="28"/>
          <w:szCs w:val="28"/>
        </w:rPr>
        <w:t>ﬁ</w:t>
      </w:r>
      <w:r w:rsidRPr="009531DE">
        <w:rPr>
          <w:rFonts w:ascii="Times New Roman" w:eastAsia="Times New Roman" w:hAnsi="Times New Roman" w:cs="Times New Roman"/>
          <w:color w:val="000000"/>
          <w:sz w:val="28"/>
          <w:szCs w:val="28"/>
          <w:lang w:val="en-US"/>
        </w:rPr>
        <w:t xml:space="preserve">ciency indicators and their demonstration as the circular economy measurementin China // Resour. </w:t>
      </w:r>
      <w:r>
        <w:rPr>
          <w:rFonts w:ascii="Times New Roman" w:eastAsia="Times New Roman" w:hAnsi="Times New Roman" w:cs="Times New Roman"/>
          <w:color w:val="000000"/>
          <w:sz w:val="28"/>
          <w:szCs w:val="28"/>
        </w:rPr>
        <w:t>Environ. Yangtze Basin. – 2008. – Vol. 17. – P. 1-5.</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sidRPr="009531DE">
        <w:rPr>
          <w:rFonts w:ascii="Times New Roman" w:eastAsia="Times New Roman" w:hAnsi="Times New Roman" w:cs="Times New Roman"/>
          <w:color w:val="000000"/>
          <w:sz w:val="28"/>
          <w:szCs w:val="28"/>
          <w:lang w:val="en-US"/>
        </w:rPr>
        <w:t>Tian J., Wang C.R., Lu G.F. Application of analytic hierarchy process in eco-ef</w:t>
      </w:r>
      <w:r>
        <w:rPr>
          <w:rFonts w:ascii="Times New Roman" w:eastAsia="Times New Roman" w:hAnsi="Times New Roman" w:cs="Times New Roman"/>
          <w:color w:val="000000"/>
          <w:sz w:val="28"/>
          <w:szCs w:val="28"/>
        </w:rPr>
        <w:t>ﬁ</w:t>
      </w:r>
      <w:r w:rsidRPr="009531DE">
        <w:rPr>
          <w:rFonts w:ascii="Times New Roman" w:eastAsia="Times New Roman" w:hAnsi="Times New Roman" w:cs="Times New Roman"/>
          <w:color w:val="000000"/>
          <w:sz w:val="28"/>
          <w:szCs w:val="28"/>
          <w:lang w:val="en-US"/>
        </w:rPr>
        <w:t xml:space="preserve">ciency assessment // Chin. </w:t>
      </w:r>
      <w:r>
        <w:rPr>
          <w:rFonts w:ascii="Times New Roman" w:eastAsia="Times New Roman" w:hAnsi="Times New Roman" w:cs="Times New Roman"/>
          <w:color w:val="000000"/>
          <w:sz w:val="28"/>
          <w:szCs w:val="28"/>
        </w:rPr>
        <w:t>Environ. Prot. Sci. – 2009. – Vol. 35. – P. 118-120.</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sidRPr="009531DE">
        <w:rPr>
          <w:rFonts w:ascii="Times New Roman" w:eastAsia="Times New Roman" w:hAnsi="Times New Roman" w:cs="Times New Roman"/>
          <w:color w:val="000000"/>
          <w:sz w:val="28"/>
          <w:szCs w:val="28"/>
          <w:lang w:val="en-US"/>
        </w:rPr>
        <w:t>Han R.L., Tong L.J., Song Y.N. Analysis of circular economy of Liaoning province based on eco-ef</w:t>
      </w:r>
      <w:r>
        <w:rPr>
          <w:rFonts w:ascii="Times New Roman" w:eastAsia="Times New Roman" w:hAnsi="Times New Roman" w:cs="Times New Roman"/>
          <w:color w:val="000000"/>
          <w:sz w:val="28"/>
          <w:szCs w:val="28"/>
        </w:rPr>
        <w:t>ﬁ</w:t>
      </w:r>
      <w:r w:rsidRPr="009531DE">
        <w:rPr>
          <w:rFonts w:ascii="Times New Roman" w:eastAsia="Times New Roman" w:hAnsi="Times New Roman" w:cs="Times New Roman"/>
          <w:color w:val="000000"/>
          <w:sz w:val="28"/>
          <w:szCs w:val="28"/>
          <w:lang w:val="en-US"/>
        </w:rPr>
        <w:t xml:space="preserve">ciency // Chin. </w:t>
      </w:r>
      <w:r>
        <w:rPr>
          <w:rFonts w:ascii="Times New Roman" w:eastAsia="Times New Roman" w:hAnsi="Times New Roman" w:cs="Times New Roman"/>
          <w:color w:val="000000"/>
          <w:sz w:val="28"/>
          <w:szCs w:val="28"/>
        </w:rPr>
        <w:t>Acta Ecol. Sin. – 2011. – Vol. 31. – P. 4732-4740.</w:t>
      </w:r>
    </w:p>
    <w:p w:rsidR="00EA72C7"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sidRPr="009531DE">
        <w:rPr>
          <w:rFonts w:ascii="Times New Roman" w:eastAsia="Times New Roman" w:hAnsi="Times New Roman" w:cs="Times New Roman"/>
          <w:color w:val="000000"/>
          <w:sz w:val="28"/>
          <w:szCs w:val="28"/>
          <w:lang w:val="en-US"/>
        </w:rPr>
        <w:t>Pan X.X., He Y.Q., Hu X.F. Evaluation and spatial econometric analysis on regional ecological ef</w:t>
      </w:r>
      <w:r>
        <w:rPr>
          <w:rFonts w:ascii="Times New Roman" w:eastAsia="Times New Roman" w:hAnsi="Times New Roman" w:cs="Times New Roman"/>
          <w:color w:val="000000"/>
          <w:sz w:val="28"/>
          <w:szCs w:val="28"/>
        </w:rPr>
        <w:t>ﬁ</w:t>
      </w:r>
      <w:r w:rsidRPr="009531DE">
        <w:rPr>
          <w:rFonts w:ascii="Times New Roman" w:eastAsia="Times New Roman" w:hAnsi="Times New Roman" w:cs="Times New Roman"/>
          <w:color w:val="000000"/>
          <w:sz w:val="28"/>
          <w:szCs w:val="28"/>
          <w:lang w:val="en-US"/>
        </w:rPr>
        <w:t xml:space="preserve">ciency // Chin. </w:t>
      </w:r>
      <w:r>
        <w:rPr>
          <w:rFonts w:ascii="Times New Roman" w:eastAsia="Times New Roman" w:hAnsi="Times New Roman" w:cs="Times New Roman"/>
          <w:color w:val="000000"/>
          <w:sz w:val="28"/>
          <w:szCs w:val="28"/>
        </w:rPr>
        <w:t>Resour. Environ. Yangtze Basin. – 2013. – Vol. 22. – P. 640-646.</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Korhonen P.J., Luptacik M. Eco-ef</w:t>
      </w:r>
      <w:r>
        <w:rPr>
          <w:rFonts w:ascii="Times New Roman" w:eastAsia="Times New Roman" w:hAnsi="Times New Roman" w:cs="Times New Roman"/>
          <w:color w:val="000000"/>
          <w:sz w:val="28"/>
          <w:szCs w:val="28"/>
        </w:rPr>
        <w:t>ﬁ</w:t>
      </w:r>
      <w:r w:rsidRPr="009531DE">
        <w:rPr>
          <w:rFonts w:ascii="Times New Roman" w:eastAsia="Times New Roman" w:hAnsi="Times New Roman" w:cs="Times New Roman"/>
          <w:color w:val="000000"/>
          <w:sz w:val="28"/>
          <w:szCs w:val="28"/>
          <w:lang w:val="en-US"/>
        </w:rPr>
        <w:t>ciency analysis of power plants: An extension of data envelopmentanalysis // Eur. J. Oper. Res. – 2004. – Vol. 154. – P. 437-446.</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lastRenderedPageBreak/>
        <w:t>Picazo-Tadeo A.J. Beltran-Esteve M. Gomez-Limon J.A. Assessing eco-ef</w:t>
      </w:r>
      <w:r>
        <w:rPr>
          <w:rFonts w:ascii="Times New Roman" w:eastAsia="Times New Roman" w:hAnsi="Times New Roman" w:cs="Times New Roman"/>
          <w:color w:val="000000"/>
          <w:sz w:val="28"/>
          <w:szCs w:val="28"/>
        </w:rPr>
        <w:t>ﬁ</w:t>
      </w:r>
      <w:r w:rsidRPr="009531DE">
        <w:rPr>
          <w:rFonts w:ascii="Times New Roman" w:eastAsia="Times New Roman" w:hAnsi="Times New Roman" w:cs="Times New Roman"/>
          <w:color w:val="000000"/>
          <w:sz w:val="28"/>
          <w:szCs w:val="28"/>
          <w:lang w:val="en-US"/>
        </w:rPr>
        <w:t>ciency with directional distancefunctions // Eur. J. Oper. Res. – 2012. – Vol. 220. – P. 798-809.</w:t>
      </w:r>
    </w:p>
    <w:p w:rsidR="00EA72C7" w:rsidRPr="009531DE" w:rsidRDefault="00EA72C7" w:rsidP="00EA72C7">
      <w:pPr>
        <w:numPr>
          <w:ilvl w:val="0"/>
          <w:numId w:val="3"/>
        </w:numPr>
        <w:pBdr>
          <w:top w:val="nil"/>
          <w:left w:val="nil"/>
          <w:bottom w:val="nil"/>
          <w:right w:val="nil"/>
          <w:between w:val="nil"/>
        </w:pBd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Wu J., Yin P.Z., Sun J.S. et al. Evaluating the environmental ef</w:t>
      </w:r>
      <w:r>
        <w:rPr>
          <w:rFonts w:ascii="Times New Roman" w:eastAsia="Times New Roman" w:hAnsi="Times New Roman" w:cs="Times New Roman"/>
          <w:color w:val="000000"/>
          <w:sz w:val="28"/>
          <w:szCs w:val="28"/>
        </w:rPr>
        <w:t>ﬁ</w:t>
      </w:r>
      <w:r w:rsidRPr="009531DE">
        <w:rPr>
          <w:rFonts w:ascii="Times New Roman" w:eastAsia="Times New Roman" w:hAnsi="Times New Roman" w:cs="Times New Roman"/>
          <w:color w:val="000000"/>
          <w:sz w:val="28"/>
          <w:szCs w:val="28"/>
          <w:lang w:val="en-US"/>
        </w:rPr>
        <w:t>ciency of a two-stage system with undesirable outputs by a DEA approach: An interest preference perspective // Eur. J. Oper. Res. – 2016. – Vol. 254. – P. 1047-1062.</w:t>
      </w:r>
    </w:p>
    <w:p w:rsidR="00EA72C7" w:rsidRPr="009531DE" w:rsidRDefault="00EA72C7" w:rsidP="00EA72C7">
      <w:pPr>
        <w:numPr>
          <w:ilvl w:val="0"/>
          <w:numId w:val="3"/>
        </w:numPr>
        <w:pBdr>
          <w:top w:val="nil"/>
          <w:left w:val="nil"/>
          <w:bottom w:val="nil"/>
          <w:right w:val="nil"/>
          <w:between w:val="nil"/>
        </w:pBdr>
        <w:tabs>
          <w:tab w:val="left" w:pos="1276"/>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Duzakin E., Duzakin H. Measuring the Performance of Manufacturing firms with Super Slack Based Model of DEA // European Journal of Operational Research. – 2007. – Vol. 182. – P. 1414-1415.</w:t>
      </w:r>
    </w:p>
    <w:p w:rsidR="00EA72C7" w:rsidRPr="009531DE" w:rsidRDefault="00EA72C7" w:rsidP="00EA72C7">
      <w:pPr>
        <w:numPr>
          <w:ilvl w:val="0"/>
          <w:numId w:val="3"/>
        </w:numPr>
        <w:pBdr>
          <w:top w:val="nil"/>
          <w:left w:val="nil"/>
          <w:bottom w:val="nil"/>
          <w:right w:val="nil"/>
          <w:between w:val="nil"/>
        </w:pBdr>
        <w:tabs>
          <w:tab w:val="left" w:pos="1276"/>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Wu D.X., Wu D.D. Performance evaluation and risk analysis of online banking service // Kybernetes. – 2010. – Vol. 39. – P. 723-734.</w:t>
      </w:r>
    </w:p>
    <w:p w:rsidR="00EA72C7" w:rsidRDefault="00EA72C7" w:rsidP="00EA72C7">
      <w:pPr>
        <w:numPr>
          <w:ilvl w:val="0"/>
          <w:numId w:val="3"/>
        </w:numPr>
        <w:pBdr>
          <w:top w:val="nil"/>
          <w:left w:val="nil"/>
          <w:bottom w:val="nil"/>
          <w:right w:val="nil"/>
          <w:between w:val="nil"/>
        </w:pBdr>
        <w:tabs>
          <w:tab w:val="left" w:pos="1276"/>
          <w:tab w:val="left" w:pos="1418"/>
        </w:tabs>
        <w:spacing w:after="0" w:line="240" w:lineRule="auto"/>
        <w:ind w:left="0" w:firstLine="709"/>
        <w:jc w:val="both"/>
        <w:rPr>
          <w:rFonts w:ascii="Times New Roman" w:eastAsia="Times New Roman" w:hAnsi="Times New Roman" w:cs="Times New Roman"/>
          <w:color w:val="000000"/>
          <w:sz w:val="28"/>
          <w:szCs w:val="28"/>
        </w:rPr>
      </w:pPr>
      <w:r w:rsidRPr="009531DE">
        <w:rPr>
          <w:rFonts w:ascii="Times New Roman" w:eastAsia="Times New Roman" w:hAnsi="Times New Roman" w:cs="Times New Roman"/>
          <w:color w:val="000000"/>
          <w:sz w:val="28"/>
          <w:szCs w:val="28"/>
          <w:lang w:val="en-US"/>
        </w:rPr>
        <w:t>Chen H., Chen P., Luo Y. Eco-ef</w:t>
      </w:r>
      <w:r>
        <w:rPr>
          <w:rFonts w:ascii="Times New Roman" w:eastAsia="Times New Roman" w:hAnsi="Times New Roman" w:cs="Times New Roman"/>
          <w:color w:val="000000"/>
          <w:sz w:val="28"/>
          <w:szCs w:val="28"/>
        </w:rPr>
        <w:t>ﬁ</w:t>
      </w:r>
      <w:r w:rsidRPr="009531DE">
        <w:rPr>
          <w:rFonts w:ascii="Times New Roman" w:eastAsia="Times New Roman" w:hAnsi="Times New Roman" w:cs="Times New Roman"/>
          <w:color w:val="000000"/>
          <w:sz w:val="28"/>
          <w:szCs w:val="28"/>
          <w:lang w:val="en-US"/>
        </w:rPr>
        <w:t>ciency assessment of resource-based cities of China based onsuper-ef</w:t>
      </w:r>
      <w:r>
        <w:rPr>
          <w:rFonts w:ascii="Times New Roman" w:eastAsia="Times New Roman" w:hAnsi="Times New Roman" w:cs="Times New Roman"/>
          <w:color w:val="000000"/>
          <w:sz w:val="28"/>
          <w:szCs w:val="28"/>
        </w:rPr>
        <w:t>ﬁ</w:t>
      </w:r>
      <w:r w:rsidRPr="009531DE">
        <w:rPr>
          <w:rFonts w:ascii="Times New Roman" w:eastAsia="Times New Roman" w:hAnsi="Times New Roman" w:cs="Times New Roman"/>
          <w:color w:val="000000"/>
          <w:sz w:val="28"/>
          <w:szCs w:val="28"/>
          <w:lang w:val="en-US"/>
        </w:rPr>
        <w:t xml:space="preserve">ciency DEA model. </w:t>
      </w:r>
      <w:r>
        <w:rPr>
          <w:rFonts w:ascii="Times New Roman" w:eastAsia="Times New Roman" w:hAnsi="Times New Roman" w:cs="Times New Roman"/>
          <w:color w:val="000000"/>
          <w:sz w:val="28"/>
          <w:szCs w:val="28"/>
        </w:rPr>
        <w:t>J. // Dalian Univ. Technol. – 2015. – Vol. 36. – P. 34-40.</w:t>
      </w:r>
    </w:p>
    <w:p w:rsidR="00EA72C7" w:rsidRPr="009531DE" w:rsidRDefault="00EA72C7" w:rsidP="00EA72C7">
      <w:pPr>
        <w:numPr>
          <w:ilvl w:val="0"/>
          <w:numId w:val="3"/>
        </w:numPr>
        <w:pBdr>
          <w:top w:val="nil"/>
          <w:left w:val="nil"/>
          <w:bottom w:val="nil"/>
          <w:right w:val="nil"/>
          <w:between w:val="nil"/>
        </w:pBdr>
        <w:tabs>
          <w:tab w:val="left" w:pos="1276"/>
          <w:tab w:val="left" w:pos="1418"/>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Silva Portela M.C.A., Thanassoulis E., Simpson G. Negative data in DEA: A directional distance approachapplied to bank branches // J. Oper. Res. Soc. – 2004. – Vol. 55. – P. 1111-1121.</w:t>
      </w:r>
    </w:p>
    <w:p w:rsidR="00EA72C7" w:rsidRDefault="00EA72C7" w:rsidP="00EA72C7">
      <w:pPr>
        <w:numPr>
          <w:ilvl w:val="0"/>
          <w:numId w:val="3"/>
        </w:numPr>
        <w:pBdr>
          <w:top w:val="nil"/>
          <w:left w:val="nil"/>
          <w:bottom w:val="nil"/>
          <w:right w:val="nil"/>
          <w:between w:val="nil"/>
        </w:pBdr>
        <w:tabs>
          <w:tab w:val="left" w:pos="1276"/>
          <w:tab w:val="left" w:pos="1418"/>
        </w:tabs>
        <w:spacing w:after="0" w:line="240" w:lineRule="auto"/>
        <w:ind w:left="0" w:firstLine="709"/>
        <w:jc w:val="both"/>
        <w:rPr>
          <w:rFonts w:ascii="Times New Roman" w:eastAsia="Times New Roman" w:hAnsi="Times New Roman" w:cs="Times New Roman"/>
          <w:color w:val="000000"/>
          <w:sz w:val="28"/>
          <w:szCs w:val="28"/>
        </w:rPr>
      </w:pPr>
      <w:r w:rsidRPr="009531DE">
        <w:rPr>
          <w:rFonts w:ascii="Times New Roman" w:eastAsia="Times New Roman" w:hAnsi="Times New Roman" w:cs="Times New Roman"/>
          <w:color w:val="000000"/>
          <w:sz w:val="28"/>
          <w:szCs w:val="28"/>
          <w:lang w:val="en-US"/>
        </w:rPr>
        <w:t xml:space="preserve">Picazo-Tadeo A.J., Reig-Martinez E., Hernandez-Sancho F. Directional distance functions andenvironmental regulation // Resour. </w:t>
      </w:r>
      <w:r>
        <w:rPr>
          <w:rFonts w:ascii="Times New Roman" w:eastAsia="Times New Roman" w:hAnsi="Times New Roman" w:cs="Times New Roman"/>
          <w:color w:val="000000"/>
          <w:sz w:val="28"/>
          <w:szCs w:val="28"/>
        </w:rPr>
        <w:t>Energy Econ. – 2005. – Vol. 27. – P. 131-142.</w:t>
      </w:r>
    </w:p>
    <w:p w:rsidR="00EA72C7" w:rsidRPr="009531DE"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Pastor J.T., Ruiz J.L., Sirvent I. An enhanced Russell graph ef</w:t>
      </w:r>
      <w:r>
        <w:rPr>
          <w:rFonts w:ascii="Times New Roman" w:eastAsia="Times New Roman" w:hAnsi="Times New Roman" w:cs="Times New Roman"/>
          <w:color w:val="000000"/>
          <w:sz w:val="28"/>
          <w:szCs w:val="28"/>
        </w:rPr>
        <w:t>ﬁ</w:t>
      </w:r>
      <w:r w:rsidRPr="009531DE">
        <w:rPr>
          <w:rFonts w:ascii="Times New Roman" w:eastAsia="Times New Roman" w:hAnsi="Times New Roman" w:cs="Times New Roman"/>
          <w:color w:val="000000"/>
          <w:sz w:val="28"/>
          <w:szCs w:val="28"/>
          <w:lang w:val="en-US"/>
        </w:rPr>
        <w:t>ciency measure // Eur. J. Oper. Res. – 1999. – Vol. 115. – P. 596-607.</w:t>
      </w:r>
    </w:p>
    <w:p w:rsidR="00EA72C7" w:rsidRPr="009531DE"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Tone K.A Slack-based Measure of Efficiency in DEA // European Journal of Operational Research. – 2001. – Vol. 130. – P. 498-509.</w:t>
      </w:r>
    </w:p>
    <w:p w:rsidR="00EA72C7" w:rsidRPr="009531DE"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Avadí A., Vázquez-Rowe I., Fréon P. Eco-efficiency assessment of the Peruvian anchoveta steel and wooden fleets using the LCA+DEA framework // Journal of Cleaner Production. – 2014. – Vol. 70. – P. 118-131.</w:t>
      </w:r>
    </w:p>
    <w:p w:rsidR="00EA72C7" w:rsidRPr="009531DE"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 xml:space="preserve">Robaina-Alves M., Moutinho V., Macedo P. A new frontier approach to model the eco-efficiency in European countries // Journal of Cleaner Production. – 2015. – Vol. 103. – P. 562-573. </w:t>
      </w:r>
    </w:p>
    <w:p w:rsidR="00EA72C7" w:rsidRPr="009531DE"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Charnes A., Cooper W.W., Golany B. et al. Foundations of data envelopment analysis forPareto-Koopmans ef</w:t>
      </w:r>
      <w:r>
        <w:rPr>
          <w:rFonts w:ascii="Times New Roman" w:eastAsia="Times New Roman" w:hAnsi="Times New Roman" w:cs="Times New Roman"/>
          <w:color w:val="000000"/>
          <w:sz w:val="28"/>
          <w:szCs w:val="28"/>
        </w:rPr>
        <w:t>ﬁ</w:t>
      </w:r>
      <w:r w:rsidRPr="009531DE">
        <w:rPr>
          <w:rFonts w:ascii="Times New Roman" w:eastAsia="Times New Roman" w:hAnsi="Times New Roman" w:cs="Times New Roman"/>
          <w:color w:val="000000"/>
          <w:sz w:val="28"/>
          <w:szCs w:val="28"/>
          <w:lang w:val="en-US"/>
        </w:rPr>
        <w:t>cient empirical production functions // J. Econom. – 1985. – Vol. 30. – P. 91-107.</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sidRPr="009531DE">
        <w:rPr>
          <w:rFonts w:ascii="Times New Roman" w:eastAsia="Times New Roman" w:hAnsi="Times New Roman" w:cs="Times New Roman"/>
          <w:color w:val="000000"/>
          <w:sz w:val="28"/>
          <w:szCs w:val="28"/>
          <w:lang w:val="en-US"/>
        </w:rPr>
        <w:t>Cooper W.W., Park K.S., Pastor J.T. RAM: A range adjusted measure of inef</w:t>
      </w:r>
      <w:r>
        <w:rPr>
          <w:rFonts w:ascii="Times New Roman" w:eastAsia="Times New Roman" w:hAnsi="Times New Roman" w:cs="Times New Roman"/>
          <w:color w:val="000000"/>
          <w:sz w:val="28"/>
          <w:szCs w:val="28"/>
        </w:rPr>
        <w:t>ﬁ</w:t>
      </w:r>
      <w:r w:rsidRPr="009531DE">
        <w:rPr>
          <w:rFonts w:ascii="Times New Roman" w:eastAsia="Times New Roman" w:hAnsi="Times New Roman" w:cs="Times New Roman"/>
          <w:color w:val="000000"/>
          <w:sz w:val="28"/>
          <w:szCs w:val="28"/>
          <w:lang w:val="en-US"/>
        </w:rPr>
        <w:t xml:space="preserve">ciency for use with additivemodels and relations to other models and measures in DEA // J. Prod. </w:t>
      </w:r>
      <w:r>
        <w:rPr>
          <w:rFonts w:ascii="Times New Roman" w:eastAsia="Times New Roman" w:hAnsi="Times New Roman" w:cs="Times New Roman"/>
          <w:color w:val="000000"/>
          <w:sz w:val="28"/>
          <w:szCs w:val="28"/>
        </w:rPr>
        <w:t>Anal. – 1999. – Vol. 11. – P. 5-42.</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sidRPr="009531DE">
        <w:rPr>
          <w:rFonts w:ascii="Times New Roman" w:eastAsia="Times New Roman" w:hAnsi="Times New Roman" w:cs="Times New Roman"/>
          <w:color w:val="000000"/>
          <w:sz w:val="28"/>
          <w:szCs w:val="28"/>
          <w:lang w:val="en-US"/>
        </w:rPr>
        <w:t>Fukuyama H., Weber W.L. A directional slacks-based measure of technical inef</w:t>
      </w:r>
      <w:r>
        <w:rPr>
          <w:rFonts w:ascii="Times New Roman" w:eastAsia="Times New Roman" w:hAnsi="Times New Roman" w:cs="Times New Roman"/>
          <w:color w:val="000000"/>
          <w:sz w:val="28"/>
          <w:szCs w:val="28"/>
        </w:rPr>
        <w:t>ﬁ</w:t>
      </w:r>
      <w:r w:rsidRPr="009531DE">
        <w:rPr>
          <w:rFonts w:ascii="Times New Roman" w:eastAsia="Times New Roman" w:hAnsi="Times New Roman" w:cs="Times New Roman"/>
          <w:color w:val="000000"/>
          <w:sz w:val="28"/>
          <w:szCs w:val="28"/>
          <w:lang w:val="en-US"/>
        </w:rPr>
        <w:t xml:space="preserve">ciency // Socio-Econ. </w:t>
      </w:r>
      <w:r>
        <w:rPr>
          <w:rFonts w:ascii="Times New Roman" w:eastAsia="Times New Roman" w:hAnsi="Times New Roman" w:cs="Times New Roman"/>
          <w:color w:val="000000"/>
          <w:sz w:val="28"/>
          <w:szCs w:val="28"/>
        </w:rPr>
        <w:t>Plan. Sci. – 2009. – Vol. 43. – P. 274-287.</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sidRPr="009531DE">
        <w:rPr>
          <w:rFonts w:ascii="Times New Roman" w:eastAsia="Times New Roman" w:hAnsi="Times New Roman" w:cs="Times New Roman"/>
          <w:color w:val="000000"/>
          <w:sz w:val="28"/>
          <w:szCs w:val="28"/>
          <w:lang w:val="en-US"/>
        </w:rPr>
        <w:t xml:space="preserve">Atienza-Sahuquillo C., Barba-Sanchez V. Design of a measurement model for environmental performance: Application to the food sector // Environ. </w:t>
      </w:r>
      <w:r>
        <w:rPr>
          <w:rFonts w:ascii="Times New Roman" w:eastAsia="Times New Roman" w:hAnsi="Times New Roman" w:cs="Times New Roman"/>
          <w:color w:val="000000"/>
          <w:sz w:val="28"/>
          <w:szCs w:val="28"/>
        </w:rPr>
        <w:t>Eng. Manag. J. – 2014. – Vol. 13. – P. 1463-1472.</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Кадомцева М.Е. Возможные экологические риски и последствия агрострахования // Матер.</w:t>
      </w:r>
      <w:r w:rsidRPr="00AF51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1-й национ. науч.-практ. конф. с междунар. уч. </w:t>
      </w:r>
      <w:r>
        <w:rPr>
          <w:rFonts w:ascii="Times New Roman" w:eastAsia="Times New Roman" w:hAnsi="Times New Roman" w:cs="Times New Roman"/>
          <w:color w:val="000000"/>
          <w:sz w:val="28"/>
          <w:szCs w:val="28"/>
        </w:rPr>
        <w:lastRenderedPageBreak/>
        <w:t>«Инновации природообустройства и защиты окружающей среды». – Саратов: ООО «КУБиК», 2019. – С. 188-191.</w:t>
      </w:r>
    </w:p>
    <w:p w:rsidR="00EA72C7" w:rsidRPr="009531DE"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 xml:space="preserve">The 2020 Environmental Performance Index (EPI) // </w:t>
      </w:r>
      <w:hyperlink r:id="rId46">
        <w:r w:rsidRPr="009531DE">
          <w:rPr>
            <w:rFonts w:ascii="Times New Roman" w:eastAsia="Times New Roman" w:hAnsi="Times New Roman" w:cs="Times New Roman"/>
            <w:color w:val="000000"/>
            <w:sz w:val="28"/>
            <w:szCs w:val="28"/>
            <w:lang w:val="en-US"/>
          </w:rPr>
          <w:t>https://epi.yale.edu/epi-results/2020/component/epi</w:t>
        </w:r>
      </w:hyperlink>
      <w:r w:rsidRPr="009531DE">
        <w:rPr>
          <w:rFonts w:ascii="Times New Roman" w:eastAsia="Times New Roman" w:hAnsi="Times New Roman" w:cs="Times New Roman"/>
          <w:color w:val="000000"/>
          <w:sz w:val="28"/>
          <w:szCs w:val="28"/>
          <w:lang w:val="en-US"/>
        </w:rPr>
        <w:t>. 05.06.2020.</w:t>
      </w:r>
    </w:p>
    <w:p w:rsidR="00EA72C7" w:rsidRPr="00602B4F"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 xml:space="preserve">Wendling Z.A., Emerson J.W., de Sherbinin A. et al. Environmental Performance Index 2020 // </w:t>
      </w:r>
      <w:hyperlink r:id="rId47">
        <w:r w:rsidRPr="009531DE">
          <w:rPr>
            <w:rFonts w:ascii="Times New Roman" w:eastAsia="Times New Roman" w:hAnsi="Times New Roman" w:cs="Times New Roman"/>
            <w:color w:val="000000"/>
            <w:sz w:val="28"/>
            <w:szCs w:val="28"/>
            <w:lang w:val="en-US"/>
          </w:rPr>
          <w:t>https://www.researchgate.net/publication</w:t>
        </w:r>
      </w:hyperlink>
      <w:r w:rsidRPr="009531DE">
        <w:rPr>
          <w:rFonts w:ascii="Times New Roman" w:eastAsia="Times New Roman" w:hAnsi="Times New Roman" w:cs="Times New Roman"/>
          <w:color w:val="000000"/>
          <w:sz w:val="28"/>
          <w:szCs w:val="28"/>
          <w:lang w:val="en-US"/>
        </w:rPr>
        <w:t xml:space="preserve">. </w:t>
      </w:r>
      <w:r w:rsidRPr="00602B4F">
        <w:rPr>
          <w:rFonts w:ascii="Times New Roman" w:eastAsia="Times New Roman" w:hAnsi="Times New Roman" w:cs="Times New Roman"/>
          <w:color w:val="000000"/>
          <w:sz w:val="28"/>
          <w:szCs w:val="28"/>
          <w:lang w:val="en-US"/>
        </w:rPr>
        <w:t>05.06.2020..</w:t>
      </w:r>
    </w:p>
    <w:p w:rsidR="00EA72C7" w:rsidRPr="009531DE"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Ecosystems and human well-being: Synthesis: A Report of the Millennium Ecosystem Assessment / World Resources Institute. – Washington, 2005. – 156 p.</w:t>
      </w:r>
    </w:p>
    <w:p w:rsidR="00EA72C7" w:rsidRPr="009531DE"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Hradi P., Zdan T. Assessing Sustainable Development: Principles in Practice. – Winnipeg: International Institute for Sustainable Development, 1997. – 175 p.</w:t>
      </w:r>
    </w:p>
    <w:p w:rsidR="00EA72C7" w:rsidRPr="009531DE"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Prescott-Allen R. The Wellbeing of Nations: A Country-by-Country Index of Quality of Life and the Environment. – Washington: Island Press, 2001. – 342 p.</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Титова Г.Д. Оценка экосистемных услуг: потенциал применения на практике // Вестник ЗабГУ. – 2015. – №3(118). – С. 179-191.</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Тихонова Т.В. Экосистемные услуги: пути практического использования // Проблемы развития территории. – 2019. – №1(99). – С. 25-39.</w:t>
      </w:r>
    </w:p>
    <w:p w:rsidR="00EA72C7" w:rsidRPr="009531DE"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Halkos G.E., Tzeremes N.G. A conditional directional distance function approach for measuring regional environmental efficiency: evidence from UK regions // Eur. J. Oper. Res. – 2013. – Vol. 227, Issue 1. – P. 182-189</w:t>
      </w:r>
      <w:r w:rsidRPr="009531DE">
        <w:rPr>
          <w:rFonts w:ascii="Times New Roman" w:eastAsia="Times New Roman" w:hAnsi="Times New Roman" w:cs="Times New Roman"/>
          <w:color w:val="000000"/>
          <w:lang w:val="en-US"/>
        </w:rPr>
        <w:t>.</w:t>
      </w:r>
    </w:p>
    <w:p w:rsidR="00EA72C7" w:rsidRPr="009531DE"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Song M., Song Y. et al. Review of environmental efficiency and its influencing factors in China: 1998-2009 // Renewable and Sustainable Energy Reviews, Elsevier. – 2013. – Vol. 20. – P. 8-14.</w:t>
      </w:r>
    </w:p>
    <w:p w:rsidR="00EA72C7" w:rsidRPr="009531DE"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Matzek V., Wilson K.A., Kragt M. Mainstreaming of ecosystem services as a rationale for ecological restoration in Australia // Ecosystem Services, Elsevier. – 2019. – Vol. 35(C). – P. 79-86.</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sidRPr="009531DE">
        <w:rPr>
          <w:rFonts w:ascii="Times New Roman" w:eastAsia="Times New Roman" w:hAnsi="Times New Roman" w:cs="Times New Roman"/>
          <w:color w:val="000000"/>
          <w:sz w:val="28"/>
          <w:szCs w:val="28"/>
          <w:lang w:val="en-US"/>
        </w:rPr>
        <w:t>Guidance report on a multi-tiered flexible methodology for integrating social, economic and biophysical methods, 2018 // http://esmeralda-project.eu/news/15247</w:t>
      </w:r>
      <w:r w:rsidRPr="009531DE">
        <w:rPr>
          <w:color w:val="000000"/>
          <w:lang w:val="en-US"/>
        </w:rPr>
        <w:t xml:space="preserve"> </w:t>
      </w:r>
      <w:r w:rsidRPr="009531DE">
        <w:rPr>
          <w:rFonts w:ascii="Times New Roman" w:eastAsia="Times New Roman" w:hAnsi="Times New Roman" w:cs="Times New Roman"/>
          <w:color w:val="000000"/>
          <w:sz w:val="28"/>
          <w:szCs w:val="28"/>
          <w:lang w:val="en-US"/>
        </w:rPr>
        <w:t xml:space="preserve">http://esmeralda-project.eu/news/15247. </w:t>
      </w:r>
      <w:r>
        <w:rPr>
          <w:rFonts w:ascii="Times New Roman" w:eastAsia="Times New Roman" w:hAnsi="Times New Roman" w:cs="Times New Roman"/>
          <w:color w:val="000000"/>
          <w:sz w:val="28"/>
          <w:szCs w:val="28"/>
        </w:rPr>
        <w:t>20.05.2020.</w:t>
      </w:r>
    </w:p>
    <w:p w:rsidR="00EA72C7" w:rsidRPr="009531DE"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Martín-López B. et al. Uncovering ecosystem service bundles through social preferences // PLoS ONE. – 2012. – Vol. 7, Issue 6. – P. e38970.</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Бухт Р., Хикс Р. Определение, концепция и измерение цифровой экономики // Вестник международных организаций. – 2018. – Т. 13, №2. – С. 143-172.</w:t>
      </w:r>
    </w:p>
    <w:p w:rsidR="00EA72C7" w:rsidRPr="009531DE"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Wright W.C.C. et al. Are ecosystem service studies presenting the right information for decision making? // Ecosystem Services. – 2017. – Vol. 25. –                                 P. 128-139.</w:t>
      </w:r>
    </w:p>
    <w:p w:rsidR="00EA72C7" w:rsidRPr="009531DE"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Raum S. The ecosystem approach, ecosystem services and established forestry policy approaches in the United Kingdom // Land Use Policy. – 2017. – Vol. 64. – P. 282-291.</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Лаверов Н.П., Богоявленский В.И., Богоявленский И.В. Фундаментальные аспекты рационального освоения ресурсов нефти и газа Арктики и шельфа России: стратегия, перспективы и проблемы // Арктика: экология и экономика. – 2016. – №2(22). – С. 4-13.</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Павленко В.И., Муангу Ж., Лохов А.С. Актуальные проблемы предотвращения, ликвидации разливов нефти в Арктике и методы оценки экологического ущерба прибрежным территориям // Арктика: экология и экономика. – 2015. – №3(19). – С. 4-11.</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Картамышева Н.С. и др. Проблемы добычи нефти и газа в условиях Крайнего Севера // Молодой ученый. – 2015. – №13. – С. 845-848.</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Молчанов В.П., Акимов В.А., Соколов Ю.И. Риски чрезвычайных ситуаций в Арктической зоне Российской Федерации. – М., 2011. – 300 c.</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Ратнер С.В. Задачи оптимизации траекторий развития региональных социоэкономических систем по экологическим параметрам // Друкеровский вестник. – 2016. – №2. – С. 30-41.</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Ратнер С.В. Динамические задачи оценки эколого-экономической эффективности регионов на основе базовых моделей анализы среды функционирования // Управление большими системами: сборник трудов. – 2017. – №67. – С. 81-106.</w:t>
      </w:r>
    </w:p>
    <w:p w:rsidR="00EA72C7" w:rsidRPr="009531DE"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Charnes A., Clark C., Cooper W. et al. A development study of DEA in measuring the effect of maintenance units in the U.S. Air Force // Annals of Operation Research. – 1985. – Vol. 2. – P. 95-112.</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Ратнер С.В. Динамические модели экологического анализа среды функционирования с переменными запаса и потока // Управление большими системами: сборник трудов. – 2018. – №76. – С. 69-93.</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 экологическом развитии РФ в интересах будущих поколений: </w:t>
      </w:r>
      <w:r w:rsidRPr="006E1AC8">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 xml:space="preserve">16 // </w:t>
      </w:r>
      <w:hyperlink r:id="rId48">
        <w:r>
          <w:rPr>
            <w:rFonts w:ascii="Times New Roman" w:eastAsia="Times New Roman" w:hAnsi="Times New Roman" w:cs="Times New Roman"/>
            <w:color w:val="000000"/>
            <w:sz w:val="28"/>
            <w:szCs w:val="28"/>
          </w:rPr>
          <w:t>http://www.kremlin.ru/events/president/news/53602</w:t>
        </w:r>
      </w:hyperlink>
      <w:r>
        <w:rPr>
          <w:rFonts w:ascii="Times New Roman" w:eastAsia="Times New Roman" w:hAnsi="Times New Roman" w:cs="Times New Roman"/>
          <w:color w:val="000000"/>
          <w:sz w:val="28"/>
          <w:szCs w:val="28"/>
        </w:rPr>
        <w:t>. 02.05.2020.</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sidRPr="009531DE">
        <w:rPr>
          <w:rFonts w:ascii="Times New Roman" w:eastAsia="Times New Roman" w:hAnsi="Times New Roman" w:cs="Times New Roman"/>
          <w:color w:val="000000"/>
          <w:sz w:val="28"/>
          <w:szCs w:val="28"/>
          <w:lang w:val="en-US"/>
        </w:rPr>
        <w:t xml:space="preserve">Technical Assistance to Support the Development of Green Economy in Belarus // </w:t>
      </w:r>
      <w:hyperlink r:id="rId49">
        <w:r w:rsidRPr="009531DE">
          <w:rPr>
            <w:rFonts w:ascii="Times New Roman" w:eastAsia="Times New Roman" w:hAnsi="Times New Roman" w:cs="Times New Roman"/>
            <w:color w:val="000000"/>
            <w:sz w:val="28"/>
            <w:szCs w:val="28"/>
            <w:lang w:val="en-US"/>
          </w:rPr>
          <w:t>http://greeneconomy.minpriroda.gov.by/uploads/files/A5.3.</w:t>
        </w:r>
      </w:hyperlink>
      <w:r w:rsidRPr="009531D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10.05.2020.</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Груммо Д.Г., Зеленкевич Н.А., Созинов О.В. и др. Эколого-экономическая оценка экосистемных услуг при оптимизации гидрологического режима верховного болота «Ельня» (Беларусь) // Социально-экологические технологии. – 2016. – №1. – С. 57-66.</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ТКП 17.02-10-2013 (02120). Охрана окружающей среды и природопользование. Порядок определения стоимостной оценки экосистемных услуг и биологического разнообразия. – Введ. 2013-03-15. – Минск, 2013. – 28 с.</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Конституция Республики Казахстан: принята на республиканском референдуме 30 августа 1995 года // </w:t>
      </w:r>
      <w:hyperlink r:id="rId50">
        <w:r>
          <w:rPr>
            <w:rFonts w:ascii="Times New Roman" w:eastAsia="Times New Roman" w:hAnsi="Times New Roman" w:cs="Times New Roman"/>
            <w:color w:val="000000"/>
            <w:sz w:val="28"/>
            <w:szCs w:val="28"/>
          </w:rPr>
          <w:t>http://www.akorda.kz/ru</w:t>
        </w:r>
      </w:hyperlink>
      <w:r>
        <w:rPr>
          <w:rFonts w:ascii="Times New Roman" w:eastAsia="Times New Roman" w:hAnsi="Times New Roman" w:cs="Times New Roman"/>
          <w:color w:val="000000"/>
          <w:sz w:val="28"/>
          <w:szCs w:val="28"/>
        </w:rPr>
        <w:t>. 15.01.2020.</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Конституционный закон Республики Казахстан. О Правительстве Республики Казахстан: принят 18 декабря 1995 года, №2688 // </w:t>
      </w:r>
      <w:hyperlink r:id="rId51">
        <w:r>
          <w:rPr>
            <w:rFonts w:ascii="Times New Roman" w:eastAsia="Times New Roman" w:hAnsi="Times New Roman" w:cs="Times New Roman"/>
            <w:color w:val="000000"/>
            <w:sz w:val="28"/>
            <w:szCs w:val="28"/>
          </w:rPr>
          <w:t>https://adilet.zan.kz/rus/docs/Z950002688_</w:t>
        </w:r>
      </w:hyperlink>
      <w:r>
        <w:rPr>
          <w:rFonts w:ascii="Times New Roman" w:eastAsia="Times New Roman" w:hAnsi="Times New Roman" w:cs="Times New Roman"/>
          <w:color w:val="000000"/>
          <w:sz w:val="28"/>
          <w:szCs w:val="28"/>
        </w:rPr>
        <w:t>. 15.01.2020.</w:t>
      </w:r>
    </w:p>
    <w:p w:rsidR="00EA72C7" w:rsidRPr="006E1AC8"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Постановление Правительства Республика Казахстан. Об </w:t>
      </w:r>
      <w:r w:rsidRPr="006E1AC8">
        <w:rPr>
          <w:rFonts w:ascii="Times New Roman" w:eastAsia="Times New Roman" w:hAnsi="Times New Roman" w:cs="Times New Roman"/>
          <w:sz w:val="28"/>
          <w:szCs w:val="28"/>
        </w:rPr>
        <w:t xml:space="preserve">утверждении Правил ведения Государственного фонда экологической информации: утв. 13 октября 2016 года, №589 // </w:t>
      </w:r>
      <w:hyperlink r:id="rId52" w:history="1">
        <w:r w:rsidRPr="006E1AC8">
          <w:rPr>
            <w:rStyle w:val="aa"/>
            <w:rFonts w:ascii="Times New Roman" w:eastAsia="Times New Roman" w:hAnsi="Times New Roman" w:cs="Times New Roman"/>
            <w:sz w:val="28"/>
            <w:szCs w:val="28"/>
          </w:rPr>
          <w:t>https://adilet.zan.kz</w:t>
        </w:r>
      </w:hyperlink>
      <w:r w:rsidRPr="006E1AC8">
        <w:rPr>
          <w:rFonts w:ascii="Times New Roman" w:eastAsia="Times New Roman" w:hAnsi="Times New Roman" w:cs="Times New Roman"/>
          <w:sz w:val="28"/>
          <w:szCs w:val="28"/>
        </w:rPr>
        <w:t>. 10.05.2020.</w:t>
      </w:r>
    </w:p>
    <w:p w:rsidR="00EA72C7" w:rsidRPr="006E1AC8"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sidRPr="006E1AC8">
        <w:rPr>
          <w:rFonts w:ascii="Times New Roman" w:eastAsia="Times New Roman" w:hAnsi="Times New Roman" w:cs="Times New Roman"/>
          <w:sz w:val="28"/>
          <w:szCs w:val="28"/>
        </w:rPr>
        <w:t xml:space="preserve">Кодекс Республики Казахстан. О недрах и недропользовании: принят 27 декабря 2017 года // </w:t>
      </w:r>
      <w:hyperlink r:id="rId53">
        <w:r w:rsidRPr="006E1AC8">
          <w:rPr>
            <w:rFonts w:ascii="Times New Roman" w:eastAsia="Times New Roman" w:hAnsi="Times New Roman" w:cs="Times New Roman"/>
            <w:sz w:val="28"/>
            <w:szCs w:val="28"/>
          </w:rPr>
          <w:t>https://adilet.zan.kz/rus/docs/K1700000125</w:t>
        </w:r>
      </w:hyperlink>
      <w:r w:rsidRPr="006E1AC8">
        <w:rPr>
          <w:rFonts w:ascii="Times New Roman" w:eastAsia="Times New Roman" w:hAnsi="Times New Roman" w:cs="Times New Roman"/>
          <w:sz w:val="28"/>
          <w:szCs w:val="28"/>
        </w:rPr>
        <w:t>. 10.05.2020.</w:t>
      </w:r>
    </w:p>
    <w:p w:rsidR="00EA72C7" w:rsidRPr="006E1AC8"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sidRPr="006E1AC8">
        <w:rPr>
          <w:rFonts w:ascii="Times New Roman" w:eastAsia="Times New Roman" w:hAnsi="Times New Roman" w:cs="Times New Roman"/>
          <w:sz w:val="28"/>
          <w:szCs w:val="28"/>
        </w:rPr>
        <w:t xml:space="preserve">Кодекс Республики Казахстан. Водный кодекс Республики Казахстан: принят 9 июля, 2003 года, №481 // </w:t>
      </w:r>
      <w:hyperlink r:id="rId54">
        <w:r w:rsidRPr="006E1AC8">
          <w:rPr>
            <w:rFonts w:ascii="Times New Roman" w:eastAsia="Times New Roman" w:hAnsi="Times New Roman" w:cs="Times New Roman"/>
            <w:sz w:val="28"/>
            <w:szCs w:val="28"/>
          </w:rPr>
          <w:t>https://adilet.zan.kz/rus</w:t>
        </w:r>
      </w:hyperlink>
      <w:r w:rsidRPr="006E1AC8">
        <w:rPr>
          <w:rFonts w:ascii="Times New Roman" w:eastAsia="Times New Roman" w:hAnsi="Times New Roman" w:cs="Times New Roman"/>
          <w:sz w:val="28"/>
          <w:szCs w:val="28"/>
        </w:rPr>
        <w:t xml:space="preserve">. 10.05.2020. </w:t>
      </w:r>
    </w:p>
    <w:p w:rsidR="00EA72C7" w:rsidRPr="006E1AC8"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sidRPr="006E1AC8">
        <w:rPr>
          <w:rFonts w:ascii="Times New Roman" w:eastAsia="Times New Roman" w:hAnsi="Times New Roman" w:cs="Times New Roman"/>
          <w:sz w:val="28"/>
          <w:szCs w:val="28"/>
        </w:rPr>
        <w:lastRenderedPageBreak/>
        <w:t xml:space="preserve">Кодекс Республики Казахстан. Земельный кодекс Республики Казахстан: принят 20 июня 2003 года, №442 // </w:t>
      </w:r>
      <w:hyperlink r:id="rId55" w:history="1">
        <w:r w:rsidRPr="006E1AC8">
          <w:rPr>
            <w:rStyle w:val="aa"/>
            <w:rFonts w:ascii="Times New Roman" w:eastAsia="Times New Roman" w:hAnsi="Times New Roman" w:cs="Times New Roman"/>
            <w:sz w:val="28"/>
            <w:szCs w:val="28"/>
          </w:rPr>
          <w:t>https://adilet.zan.kz</w:t>
        </w:r>
      </w:hyperlink>
      <w:r w:rsidRPr="006E1AC8">
        <w:rPr>
          <w:rFonts w:ascii="Times New Roman" w:eastAsia="Times New Roman" w:hAnsi="Times New Roman" w:cs="Times New Roman"/>
          <w:sz w:val="28"/>
          <w:szCs w:val="28"/>
        </w:rPr>
        <w:t>. 10.05.2020.</w:t>
      </w:r>
    </w:p>
    <w:p w:rsidR="00EA72C7" w:rsidRPr="006E1AC8"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sidRPr="006E1AC8">
        <w:rPr>
          <w:rFonts w:ascii="Times New Roman" w:eastAsia="Times New Roman" w:hAnsi="Times New Roman" w:cs="Times New Roman"/>
          <w:sz w:val="28"/>
          <w:szCs w:val="28"/>
        </w:rPr>
        <w:t xml:space="preserve">Кодекс Республики Казахстан. Лесной кодекс Республики Казахстан: принят 8 июля 2003 года, №477 // </w:t>
      </w:r>
      <w:hyperlink r:id="rId56">
        <w:r w:rsidRPr="006E1AC8">
          <w:rPr>
            <w:rFonts w:ascii="Times New Roman" w:eastAsia="Times New Roman" w:hAnsi="Times New Roman" w:cs="Times New Roman"/>
            <w:sz w:val="28"/>
            <w:szCs w:val="28"/>
          </w:rPr>
          <w:t>https://adilet.zan.kz/rus/docs</w:t>
        </w:r>
      </w:hyperlink>
      <w:r w:rsidRPr="006E1AC8">
        <w:rPr>
          <w:rFonts w:ascii="Times New Roman" w:eastAsia="Times New Roman" w:hAnsi="Times New Roman" w:cs="Times New Roman"/>
          <w:sz w:val="28"/>
          <w:szCs w:val="28"/>
        </w:rPr>
        <w:t>. 10.05.2020.</w:t>
      </w:r>
    </w:p>
    <w:p w:rsidR="00EA72C7" w:rsidRPr="006E1AC8"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lang w:val="en-US"/>
        </w:rPr>
      </w:pPr>
      <w:r w:rsidRPr="006E1AC8">
        <w:rPr>
          <w:rFonts w:ascii="Times New Roman" w:eastAsia="Times New Roman" w:hAnsi="Times New Roman" w:cs="Times New Roman"/>
          <w:sz w:val="28"/>
          <w:szCs w:val="28"/>
          <w:lang w:val="en-US"/>
        </w:rPr>
        <w:t xml:space="preserve">KAZENERGY 2019: </w:t>
      </w:r>
      <w:r w:rsidRPr="006E1AC8">
        <w:rPr>
          <w:rFonts w:ascii="Times New Roman" w:eastAsia="Times New Roman" w:hAnsi="Times New Roman" w:cs="Times New Roman"/>
          <w:sz w:val="28"/>
          <w:szCs w:val="28"/>
        </w:rPr>
        <w:t>национ</w:t>
      </w:r>
      <w:r w:rsidRPr="006E1AC8">
        <w:rPr>
          <w:rFonts w:ascii="Times New Roman" w:eastAsia="Times New Roman" w:hAnsi="Times New Roman" w:cs="Times New Roman"/>
          <w:sz w:val="28"/>
          <w:szCs w:val="28"/>
          <w:lang w:val="en-US"/>
        </w:rPr>
        <w:t xml:space="preserve">. </w:t>
      </w:r>
      <w:r w:rsidRPr="006E1AC8">
        <w:rPr>
          <w:rFonts w:ascii="Times New Roman" w:eastAsia="Times New Roman" w:hAnsi="Times New Roman" w:cs="Times New Roman"/>
          <w:sz w:val="28"/>
          <w:szCs w:val="28"/>
        </w:rPr>
        <w:t>энергет</w:t>
      </w:r>
      <w:r w:rsidRPr="006E1AC8">
        <w:rPr>
          <w:rFonts w:ascii="Times New Roman" w:eastAsia="Times New Roman" w:hAnsi="Times New Roman" w:cs="Times New Roman"/>
          <w:sz w:val="28"/>
          <w:szCs w:val="28"/>
          <w:lang w:val="en-US"/>
        </w:rPr>
        <w:t xml:space="preserve">. </w:t>
      </w:r>
      <w:r w:rsidRPr="006E1AC8">
        <w:rPr>
          <w:rFonts w:ascii="Times New Roman" w:eastAsia="Times New Roman" w:hAnsi="Times New Roman" w:cs="Times New Roman"/>
          <w:sz w:val="28"/>
          <w:szCs w:val="28"/>
        </w:rPr>
        <w:t>докл</w:t>
      </w:r>
      <w:r w:rsidRPr="006E1AC8">
        <w:rPr>
          <w:rFonts w:ascii="Times New Roman" w:eastAsia="Times New Roman" w:hAnsi="Times New Roman" w:cs="Times New Roman"/>
          <w:sz w:val="28"/>
          <w:szCs w:val="28"/>
          <w:lang w:val="en-US"/>
        </w:rPr>
        <w:t>. // https://www.kazenergy. com/upload/document/energy-report/NationalReport19_ru.pdf. 10.05.2020.</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Смирнов С. Казахстан и мировой рынок нефти. 21.02.2018 // </w:t>
      </w:r>
      <w:hyperlink r:id="rId57">
        <w:r>
          <w:rPr>
            <w:rFonts w:ascii="Times New Roman" w:eastAsia="Times New Roman" w:hAnsi="Times New Roman" w:cs="Times New Roman"/>
            <w:color w:val="000000"/>
            <w:sz w:val="28"/>
            <w:szCs w:val="28"/>
          </w:rPr>
          <w:t>https://www.ritmeurasia.org/news--2018-02-21--kazahstan-i-mirovoj.</w:t>
        </w:r>
      </w:hyperlink>
      <w:r>
        <w:rPr>
          <w:rFonts w:ascii="Times New Roman" w:eastAsia="Times New Roman" w:hAnsi="Times New Roman" w:cs="Times New Roman"/>
          <w:color w:val="000000"/>
          <w:sz w:val="28"/>
          <w:szCs w:val="28"/>
        </w:rPr>
        <w:t xml:space="preserve"> 10.05.2020. </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Джумадилова Ш.Г. Управление финансово-экономическим состоянием нефтегазового предприятия на основе динамического норматива (на примере АО «Разведка Добыча «КазМунайГаз»): дис. … док. PhD. – Алматы, 2013. – 174 с.</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Постановление Правительства Республики Казахстан. Об утверждении Концепции развития топливно-энергетического комплекса Республики Казахстан до 2030 года: утв. 28 июня 2014 года, №724 // </w:t>
      </w:r>
      <w:hyperlink r:id="rId58">
        <w:r>
          <w:rPr>
            <w:rFonts w:ascii="Times New Roman" w:eastAsia="Times New Roman" w:hAnsi="Times New Roman" w:cs="Times New Roman"/>
            <w:color w:val="000000"/>
            <w:sz w:val="28"/>
            <w:szCs w:val="28"/>
          </w:rPr>
          <w:t>http://adilet.zan.kz/rus/docs/P1400000724</w:t>
        </w:r>
      </w:hyperlink>
      <w:r>
        <w:rPr>
          <w:rFonts w:ascii="Times New Roman" w:eastAsia="Times New Roman" w:hAnsi="Times New Roman" w:cs="Times New Roman"/>
          <w:color w:val="000000"/>
          <w:sz w:val="28"/>
          <w:szCs w:val="28"/>
        </w:rPr>
        <w:t>. 12.05.2020.</w:t>
      </w:r>
    </w:p>
    <w:p w:rsidR="00EA72C7" w:rsidRPr="005C64BA"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Объем производства нефти по регионам РК, 2016-2021 гг. // </w:t>
      </w:r>
      <w:hyperlink r:id="rId59" w:history="1">
        <w:r w:rsidRPr="005C64BA">
          <w:rPr>
            <w:rStyle w:val="aa"/>
            <w:rFonts w:ascii="Times New Roman" w:hAnsi="Times New Roman" w:cs="Times New Roman"/>
            <w:sz w:val="28"/>
            <w:szCs w:val="28"/>
          </w:rPr>
          <w:t>https://www.stat.gov.kz/official/industry/151/publication</w:t>
        </w:r>
      </w:hyperlink>
      <w:r w:rsidRPr="005C64BA">
        <w:rPr>
          <w:rFonts w:ascii="Times New Roman" w:hAnsi="Times New Roman" w:cs="Times New Roman"/>
          <w:sz w:val="28"/>
          <w:szCs w:val="28"/>
        </w:rPr>
        <w:t>. 12.09.2021.</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Каренов Р.С. Приоритеты стратегии индустриально-инновационного развития горнодобывающей промышленности Казахстана. – Астана: КазУЭФМТ, 2010. – 539 с.</w:t>
      </w:r>
    </w:p>
    <w:p w:rsidR="00EA72C7" w:rsidRPr="005C64BA"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Валовый выпуск продукции сельского хозяйства Республики </w:t>
      </w:r>
      <w:r w:rsidRPr="005C64BA">
        <w:rPr>
          <w:rFonts w:ascii="Times New Roman" w:eastAsia="Times New Roman" w:hAnsi="Times New Roman" w:cs="Times New Roman"/>
          <w:sz w:val="28"/>
          <w:szCs w:val="28"/>
        </w:rPr>
        <w:t xml:space="preserve">Казахстан, 2010-2021 гг. // </w:t>
      </w:r>
      <w:hyperlink r:id="rId60" w:history="1">
        <w:r w:rsidRPr="005C64BA">
          <w:rPr>
            <w:rStyle w:val="aa"/>
            <w:rFonts w:ascii="Times New Roman" w:hAnsi="Times New Roman" w:cs="Times New Roman"/>
            <w:sz w:val="28"/>
            <w:szCs w:val="28"/>
          </w:rPr>
          <w:t>https://www.stat.gov.kz/official/industry/14. 05.06.2021.</w:t>
        </w:r>
      </w:hyperlink>
    </w:p>
    <w:p w:rsidR="00EA72C7" w:rsidRPr="00E7410A"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 xml:space="preserve">Global Food Security Index-2019 // </w:t>
      </w:r>
      <w:hyperlink r:id="rId61">
        <w:r w:rsidRPr="009531DE">
          <w:rPr>
            <w:rFonts w:ascii="Times New Roman" w:eastAsia="Times New Roman" w:hAnsi="Times New Roman" w:cs="Times New Roman"/>
            <w:color w:val="000000"/>
            <w:sz w:val="28"/>
            <w:szCs w:val="28"/>
            <w:lang w:val="en-US"/>
          </w:rPr>
          <w:t>https://foodsecurityindex.eiu</w:t>
        </w:r>
      </w:hyperlink>
      <w:r w:rsidRPr="009531DE">
        <w:rPr>
          <w:rFonts w:ascii="Times New Roman" w:eastAsia="Times New Roman" w:hAnsi="Times New Roman" w:cs="Times New Roman"/>
          <w:color w:val="000000"/>
          <w:sz w:val="28"/>
          <w:szCs w:val="28"/>
          <w:lang w:val="en-US"/>
        </w:rPr>
        <w:t xml:space="preserve">. com/Country/Details#Kazakhstan. </w:t>
      </w:r>
      <w:r w:rsidRPr="00E7410A">
        <w:rPr>
          <w:rFonts w:ascii="Times New Roman" w:eastAsia="Times New Roman" w:hAnsi="Times New Roman" w:cs="Times New Roman"/>
          <w:color w:val="000000"/>
          <w:sz w:val="28"/>
          <w:szCs w:val="28"/>
          <w:lang w:val="en-US"/>
        </w:rPr>
        <w:t>05.06.2020.</w:t>
      </w:r>
    </w:p>
    <w:p w:rsidR="00EA72C7" w:rsidRPr="00E7410A"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Постановление Правительства Республики Казахстан. Об утверждении Государственной программы развития агропромышленного комплекса Республики Казахстан: утв7 12 июля 2018 года, №423 // </w:t>
      </w:r>
      <w:hyperlink r:id="rId62" w:history="1">
        <w:r w:rsidRPr="00E7410A">
          <w:rPr>
            <w:rStyle w:val="aa"/>
            <w:rFonts w:ascii="Times New Roman" w:eastAsia="Times New Roman" w:hAnsi="Times New Roman" w:cs="Times New Roman"/>
            <w:sz w:val="28"/>
            <w:szCs w:val="28"/>
          </w:rPr>
          <w:t>https://adilet.zan.kz/rus/docs/P1800000423</w:t>
        </w:r>
      </w:hyperlink>
      <w:r w:rsidRPr="00E7410A">
        <w:rPr>
          <w:rFonts w:ascii="Times New Roman" w:eastAsia="Times New Roman" w:hAnsi="Times New Roman" w:cs="Times New Roman"/>
          <w:sz w:val="28"/>
          <w:szCs w:val="28"/>
        </w:rPr>
        <w:t>. 05.06.2020.</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Постановление Правительства Республики Казахстан. Об утверждении Государственной программы «Цифровой Казахстан»: утв. 12 декабря 2017 года, №827 // </w:t>
      </w:r>
      <w:hyperlink r:id="rId63">
        <w:r>
          <w:rPr>
            <w:rFonts w:ascii="Times New Roman" w:eastAsia="Times New Roman" w:hAnsi="Times New Roman" w:cs="Times New Roman"/>
            <w:color w:val="000000"/>
            <w:sz w:val="28"/>
            <w:szCs w:val="28"/>
          </w:rPr>
          <w:t>http://adilet.zan.kz/rus/docs/P1700000827</w:t>
        </w:r>
      </w:hyperlink>
      <w:r>
        <w:rPr>
          <w:rFonts w:ascii="Times New Roman" w:eastAsia="Times New Roman" w:hAnsi="Times New Roman" w:cs="Times New Roman"/>
          <w:color w:val="000000"/>
          <w:sz w:val="28"/>
          <w:szCs w:val="28"/>
        </w:rPr>
        <w:t>. 03.06.2020.</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Цифровизация сельского хозяйства: умные фермы // </w:t>
      </w:r>
      <w:hyperlink r:id="rId64">
        <w:r>
          <w:rPr>
            <w:rFonts w:ascii="Times New Roman" w:eastAsia="Times New Roman" w:hAnsi="Times New Roman" w:cs="Times New Roman"/>
            <w:color w:val="000000"/>
            <w:sz w:val="28"/>
            <w:szCs w:val="28"/>
          </w:rPr>
          <w:t>https://www.inform.kz/ru/cifrovizaciya-sel-skogo-hozyaystva-umnye.</w:t>
        </w:r>
      </w:hyperlink>
      <w:r>
        <w:rPr>
          <w:rFonts w:ascii="Times New Roman" w:eastAsia="Times New Roman" w:hAnsi="Times New Roman" w:cs="Times New Roman"/>
          <w:color w:val="000000"/>
          <w:sz w:val="28"/>
          <w:szCs w:val="28"/>
        </w:rPr>
        <w:t xml:space="preserve"> 03.06.2020.</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Постановление Правительства Республики Казахстан. Об утверждении Программы «Национальная экспортная стратегия»: утв. 26 августа 2017 года, №511 // </w:t>
      </w:r>
      <w:hyperlink r:id="rId65">
        <w:r>
          <w:rPr>
            <w:rFonts w:ascii="Times New Roman" w:eastAsia="Times New Roman" w:hAnsi="Times New Roman" w:cs="Times New Roman"/>
            <w:color w:val="000000"/>
            <w:sz w:val="28"/>
            <w:szCs w:val="28"/>
          </w:rPr>
          <w:t>https://adilet.zan.kz/rus/docs/P1700000511</w:t>
        </w:r>
      </w:hyperlink>
      <w:r>
        <w:rPr>
          <w:rFonts w:ascii="Times New Roman" w:eastAsia="Times New Roman" w:hAnsi="Times New Roman" w:cs="Times New Roman"/>
          <w:color w:val="000000"/>
          <w:sz w:val="28"/>
          <w:szCs w:val="28"/>
        </w:rPr>
        <w:t>. 03.06.2020.</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Указ Президента Республики Казахстан. Об утверждении Стратегического плана развития Республики Казахстан до 2025 года: утв. 15 февраля 2018 года, №636 //</w:t>
      </w:r>
      <w:hyperlink r:id="rId66">
        <w:r>
          <w:rPr>
            <w:rFonts w:ascii="Times New Roman" w:eastAsia="Times New Roman" w:hAnsi="Times New Roman" w:cs="Times New Roman"/>
            <w:color w:val="000000"/>
            <w:sz w:val="28"/>
            <w:szCs w:val="28"/>
          </w:rPr>
          <w:t xml:space="preserve"> http://adilet.zan.kz/rus/docs/U1800000636</w:t>
        </w:r>
      </w:hyperlink>
      <w:r>
        <w:rPr>
          <w:rFonts w:ascii="Times New Roman" w:eastAsia="Times New Roman" w:hAnsi="Times New Roman" w:cs="Times New Roman"/>
          <w:color w:val="000000"/>
          <w:sz w:val="28"/>
          <w:szCs w:val="28"/>
        </w:rPr>
        <w:t>. 03.06.2020.</w:t>
      </w:r>
    </w:p>
    <w:p w:rsidR="00EA72C7" w:rsidRPr="009531DE"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Ecosystems and human well-being: Synthesis: A Report of the Millennium Ecosystem Assessment / World Resources Institute. – Washington, 2005. – 156 p.</w:t>
      </w:r>
    </w:p>
    <w:p w:rsidR="00EA72C7" w:rsidRPr="009531DE"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lastRenderedPageBreak/>
        <w:t xml:space="preserve">De Groot R. at. al. Global estimates of the value of ecosystems and their services in monetary units // Ecosystem Services. – 2012. – Vol. 1, Issue 1. –                                    P. 50-61. </w:t>
      </w:r>
    </w:p>
    <w:p w:rsidR="00EA72C7" w:rsidRPr="009531DE"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Kieslich</w:t>
      </w:r>
      <w:r w:rsidRPr="006E1AC8">
        <w:rPr>
          <w:rFonts w:ascii="Times New Roman" w:eastAsia="Times New Roman" w:hAnsi="Times New Roman" w:cs="Times New Roman"/>
          <w:color w:val="000000"/>
          <w:sz w:val="28"/>
          <w:szCs w:val="28"/>
          <w:lang w:val="en-US"/>
        </w:rPr>
        <w:t xml:space="preserve"> </w:t>
      </w:r>
      <w:r w:rsidRPr="009531D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lang w:val="en-US"/>
        </w:rPr>
        <w:t>.</w:t>
      </w:r>
      <w:r w:rsidRPr="009531DE">
        <w:rPr>
          <w:rFonts w:ascii="Times New Roman" w:eastAsia="Times New Roman" w:hAnsi="Times New Roman" w:cs="Times New Roman"/>
          <w:color w:val="000000"/>
          <w:sz w:val="28"/>
          <w:szCs w:val="28"/>
          <w:lang w:val="en-US"/>
        </w:rPr>
        <w:t>, Salles</w:t>
      </w:r>
      <w:r w:rsidRPr="006E1AC8">
        <w:rPr>
          <w:rFonts w:ascii="Times New Roman" w:eastAsia="Times New Roman" w:hAnsi="Times New Roman" w:cs="Times New Roman"/>
          <w:color w:val="000000"/>
          <w:sz w:val="28"/>
          <w:szCs w:val="28"/>
          <w:lang w:val="en-US"/>
        </w:rPr>
        <w:t xml:space="preserve"> </w:t>
      </w:r>
      <w:r w:rsidRPr="009531DE">
        <w:rPr>
          <w:rFonts w:ascii="Times New Roman" w:eastAsia="Times New Roman" w:hAnsi="Times New Roman" w:cs="Times New Roman"/>
          <w:color w:val="000000"/>
          <w:sz w:val="28"/>
          <w:szCs w:val="28"/>
          <w:lang w:val="en-US"/>
        </w:rPr>
        <w:t>J</w:t>
      </w:r>
      <w:r>
        <w:rPr>
          <w:rFonts w:ascii="Times New Roman" w:eastAsia="Times New Roman" w:hAnsi="Times New Roman" w:cs="Times New Roman"/>
          <w:color w:val="000000"/>
          <w:sz w:val="28"/>
          <w:szCs w:val="28"/>
          <w:lang w:val="en-US"/>
        </w:rPr>
        <w:t>.</w:t>
      </w:r>
      <w:r w:rsidRPr="009531DE">
        <w:rPr>
          <w:rFonts w:ascii="Times New Roman" w:eastAsia="Times New Roman" w:hAnsi="Times New Roman" w:cs="Times New Roman"/>
          <w:color w:val="000000"/>
          <w:sz w:val="28"/>
          <w:szCs w:val="28"/>
          <w:lang w:val="en-US"/>
        </w:rPr>
        <w:t>-M</w:t>
      </w:r>
      <w:r>
        <w:rPr>
          <w:rFonts w:ascii="Times New Roman" w:eastAsia="Times New Roman" w:hAnsi="Times New Roman" w:cs="Times New Roman"/>
          <w:color w:val="000000"/>
          <w:sz w:val="28"/>
          <w:szCs w:val="28"/>
          <w:lang w:val="en-US"/>
        </w:rPr>
        <w:t>.</w:t>
      </w:r>
      <w:r w:rsidRPr="009531DE">
        <w:rPr>
          <w:rFonts w:ascii="Times New Roman" w:eastAsia="Times New Roman" w:hAnsi="Times New Roman" w:cs="Times New Roman"/>
          <w:color w:val="000000"/>
          <w:sz w:val="28"/>
          <w:szCs w:val="28"/>
          <w:lang w:val="en-US"/>
        </w:rPr>
        <w:t>, Implementation context and science-policy interfaces: Implications for the economic valuation of ecosystem services</w:t>
      </w:r>
      <w:r>
        <w:rPr>
          <w:rFonts w:ascii="Times New Roman" w:eastAsia="Times New Roman" w:hAnsi="Times New Roman" w:cs="Times New Roman"/>
          <w:color w:val="000000"/>
          <w:sz w:val="28"/>
          <w:szCs w:val="28"/>
          <w:lang w:val="en-US"/>
        </w:rPr>
        <w:t xml:space="preserve"> //</w:t>
      </w:r>
      <w:r w:rsidRPr="009531DE">
        <w:rPr>
          <w:rFonts w:ascii="Times New Roman" w:eastAsia="Times New Roman" w:hAnsi="Times New Roman" w:cs="Times New Roman"/>
          <w:color w:val="000000"/>
          <w:sz w:val="28"/>
          <w:szCs w:val="28"/>
          <w:lang w:val="en-US"/>
        </w:rPr>
        <w:t xml:space="preserve"> Ecological Economics</w:t>
      </w:r>
      <w:r>
        <w:rPr>
          <w:rFonts w:ascii="Times New Roman" w:eastAsia="Times New Roman" w:hAnsi="Times New Roman" w:cs="Times New Roman"/>
          <w:color w:val="000000"/>
          <w:sz w:val="28"/>
          <w:szCs w:val="28"/>
          <w:lang w:val="en-US"/>
        </w:rPr>
        <w:t xml:space="preserve">. – 2021. – </w:t>
      </w:r>
      <w:r w:rsidRPr="009531DE">
        <w:rPr>
          <w:rFonts w:ascii="Times New Roman" w:eastAsia="Times New Roman" w:hAnsi="Times New Roman" w:cs="Times New Roman"/>
          <w:color w:val="000000"/>
          <w:sz w:val="28"/>
          <w:szCs w:val="28"/>
          <w:lang w:val="en-US"/>
        </w:rPr>
        <w:t>Vol</w:t>
      </w:r>
      <w:r>
        <w:rPr>
          <w:rFonts w:ascii="Times New Roman" w:eastAsia="Times New Roman" w:hAnsi="Times New Roman" w:cs="Times New Roman"/>
          <w:color w:val="000000"/>
          <w:sz w:val="28"/>
          <w:szCs w:val="28"/>
          <w:lang w:val="en-US"/>
        </w:rPr>
        <w:t>.</w:t>
      </w:r>
      <w:r w:rsidRPr="009531DE">
        <w:rPr>
          <w:rFonts w:ascii="Times New Roman" w:eastAsia="Times New Roman" w:hAnsi="Times New Roman" w:cs="Times New Roman"/>
          <w:color w:val="000000"/>
          <w:sz w:val="28"/>
          <w:szCs w:val="28"/>
          <w:lang w:val="en-US"/>
        </w:rPr>
        <w:t xml:space="preserve"> 179</w:t>
      </w:r>
      <w:r>
        <w:rPr>
          <w:rFonts w:ascii="Times New Roman" w:eastAsia="Times New Roman" w:hAnsi="Times New Roman" w:cs="Times New Roman"/>
          <w:color w:val="000000"/>
          <w:sz w:val="28"/>
          <w:szCs w:val="28"/>
          <w:lang w:val="en-US"/>
        </w:rPr>
        <w:t>. – P.</w:t>
      </w:r>
      <w:r w:rsidRPr="009531DE">
        <w:rPr>
          <w:rFonts w:ascii="Times New Roman" w:eastAsia="Times New Roman" w:hAnsi="Times New Roman" w:cs="Times New Roman"/>
          <w:color w:val="000000"/>
          <w:sz w:val="28"/>
          <w:szCs w:val="28"/>
          <w:lang w:val="en-US"/>
        </w:rPr>
        <w:t xml:space="preserve"> 106857.</w:t>
      </w:r>
    </w:p>
    <w:p w:rsidR="00EA72C7" w:rsidRPr="009531DE"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 xml:space="preserve">Osúchová J. at. al. Integrated assessment of ecosystem services in the Czech Republic // Ecosystem Services. – 2014. – Vol. 8. – P. 110-117. </w:t>
      </w:r>
    </w:p>
    <w:p w:rsidR="00EA72C7" w:rsidRPr="00B64701"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lang w:val="en-US"/>
        </w:rPr>
      </w:pPr>
      <w:r w:rsidRPr="009531DE">
        <w:rPr>
          <w:rFonts w:ascii="Times New Roman" w:eastAsia="Times New Roman" w:hAnsi="Times New Roman" w:cs="Times New Roman"/>
          <w:color w:val="000000"/>
          <w:sz w:val="28"/>
          <w:szCs w:val="28"/>
          <w:lang w:val="en-US"/>
        </w:rPr>
        <w:t xml:space="preserve">Liu S., Costanza R., Troy A. et al. Valuing New Jersey's ecosystem services and natural capital: a spatially explicit benefit transfer approach // Environ. </w:t>
      </w:r>
      <w:r w:rsidRPr="00B64701">
        <w:rPr>
          <w:rFonts w:ascii="Times New Roman" w:eastAsia="Times New Roman" w:hAnsi="Times New Roman" w:cs="Times New Roman"/>
          <w:color w:val="000000"/>
          <w:sz w:val="28"/>
          <w:szCs w:val="28"/>
          <w:lang w:val="en-US"/>
        </w:rPr>
        <w:t>Manag. – 2010. – Vol. 45. – P. 1271-1285.</w:t>
      </w:r>
    </w:p>
    <w:p w:rsidR="00EA72C7" w:rsidRPr="00E1602A"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lang w:val="en-US"/>
        </w:rPr>
      </w:pPr>
      <w:r w:rsidRPr="00E1602A">
        <w:rPr>
          <w:rFonts w:ascii="Times New Roman" w:eastAsia="Times New Roman" w:hAnsi="Times New Roman" w:cs="Times New Roman"/>
          <w:sz w:val="28"/>
          <w:szCs w:val="28"/>
          <w:lang w:val="en-US"/>
        </w:rPr>
        <w:t xml:space="preserve">Chaikumbung M., Doucouliagoset H., Scarborough H. The economic value of wetlands in developing countries: A meta-regression analysis // Ecological Economics. – 2016. – Vol. 124. – P. 164-174. </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sidRPr="00E1602A">
        <w:rPr>
          <w:rFonts w:ascii="Times New Roman" w:eastAsia="Times New Roman" w:hAnsi="Times New Roman" w:cs="Times New Roman"/>
          <w:sz w:val="28"/>
          <w:szCs w:val="28"/>
        </w:rPr>
        <w:t xml:space="preserve">Озеро Талдыколь // </w:t>
      </w:r>
      <w:hyperlink r:id="rId67" w:history="1">
        <w:r w:rsidRPr="00E1602A">
          <w:rPr>
            <w:rStyle w:val="aa"/>
            <w:rFonts w:ascii="Times New Roman" w:eastAsia="Times New Roman" w:hAnsi="Times New Roman" w:cs="Times New Roman"/>
            <w:sz w:val="28"/>
            <w:szCs w:val="28"/>
            <w:lang w:val="en-US"/>
          </w:rPr>
          <w:t>https</w:t>
        </w:r>
        <w:r w:rsidRPr="00E1602A">
          <w:rPr>
            <w:rStyle w:val="aa"/>
            <w:rFonts w:ascii="Times New Roman" w:eastAsia="Times New Roman" w:hAnsi="Times New Roman" w:cs="Times New Roman"/>
            <w:sz w:val="28"/>
            <w:szCs w:val="28"/>
          </w:rPr>
          <w:t>://</w:t>
        </w:r>
        <w:r w:rsidRPr="00E1602A">
          <w:rPr>
            <w:rStyle w:val="aa"/>
            <w:rFonts w:ascii="Times New Roman" w:eastAsia="Times New Roman" w:hAnsi="Times New Roman" w:cs="Times New Roman"/>
            <w:sz w:val="28"/>
            <w:szCs w:val="28"/>
            <w:lang w:val="en-US"/>
          </w:rPr>
          <w:t>earth</w:t>
        </w:r>
        <w:r w:rsidRPr="00E1602A">
          <w:rPr>
            <w:rStyle w:val="aa"/>
            <w:rFonts w:ascii="Times New Roman" w:eastAsia="Times New Roman" w:hAnsi="Times New Roman" w:cs="Times New Roman"/>
            <w:sz w:val="28"/>
            <w:szCs w:val="28"/>
          </w:rPr>
          <w:t>.</w:t>
        </w:r>
        <w:r w:rsidRPr="00E1602A">
          <w:rPr>
            <w:rStyle w:val="aa"/>
            <w:rFonts w:ascii="Times New Roman" w:eastAsia="Times New Roman" w:hAnsi="Times New Roman" w:cs="Times New Roman"/>
            <w:sz w:val="28"/>
            <w:szCs w:val="28"/>
            <w:lang w:val="en-US"/>
          </w:rPr>
          <w:t>google</w:t>
        </w:r>
        <w:r w:rsidRPr="00E1602A">
          <w:rPr>
            <w:rStyle w:val="aa"/>
            <w:rFonts w:ascii="Times New Roman" w:eastAsia="Times New Roman" w:hAnsi="Times New Roman" w:cs="Times New Roman"/>
            <w:sz w:val="28"/>
            <w:szCs w:val="28"/>
          </w:rPr>
          <w:t>.</w:t>
        </w:r>
        <w:r w:rsidRPr="00E1602A">
          <w:rPr>
            <w:rStyle w:val="aa"/>
            <w:rFonts w:ascii="Times New Roman" w:eastAsia="Times New Roman" w:hAnsi="Times New Roman" w:cs="Times New Roman"/>
            <w:sz w:val="28"/>
            <w:szCs w:val="28"/>
            <w:lang w:val="en-US"/>
          </w:rPr>
          <w:t>com</w:t>
        </w:r>
        <w:r w:rsidRPr="00E1602A">
          <w:rPr>
            <w:rStyle w:val="aa"/>
            <w:rFonts w:ascii="Times New Roman" w:eastAsia="Times New Roman" w:hAnsi="Times New Roman" w:cs="Times New Roman"/>
            <w:sz w:val="28"/>
            <w:szCs w:val="28"/>
          </w:rPr>
          <w:t>/</w:t>
        </w:r>
        <w:r w:rsidRPr="00E1602A">
          <w:rPr>
            <w:rStyle w:val="aa"/>
            <w:rFonts w:ascii="Times New Roman" w:eastAsia="Times New Roman" w:hAnsi="Times New Roman" w:cs="Times New Roman"/>
            <w:sz w:val="28"/>
            <w:szCs w:val="28"/>
            <w:lang w:val="en-US"/>
          </w:rPr>
          <w:t>web</w:t>
        </w:r>
        <w:r w:rsidRPr="00E1602A">
          <w:rPr>
            <w:rStyle w:val="aa"/>
            <w:rFonts w:ascii="Times New Roman" w:eastAsia="Times New Roman" w:hAnsi="Times New Roman" w:cs="Times New Roman"/>
            <w:sz w:val="28"/>
            <w:szCs w:val="28"/>
          </w:rPr>
          <w:t>/</w:t>
        </w:r>
        <w:r w:rsidRPr="00E1602A">
          <w:rPr>
            <w:rStyle w:val="aa"/>
            <w:rFonts w:ascii="Times New Roman" w:eastAsia="Times New Roman" w:hAnsi="Times New Roman" w:cs="Times New Roman"/>
            <w:sz w:val="28"/>
            <w:szCs w:val="28"/>
            <w:lang w:val="en-US"/>
          </w:rPr>
          <w:t>search</w:t>
        </w:r>
      </w:hyperlink>
      <w:r w:rsidRPr="00E1602A">
        <w:rPr>
          <w:rFonts w:ascii="Times New Roman" w:eastAsia="Times New Roman" w:hAnsi="Times New Roman" w:cs="Times New Roman"/>
          <w:sz w:val="28"/>
          <w:szCs w:val="28"/>
        </w:rPr>
        <w:t>. 25.04.2021.</w:t>
      </w:r>
    </w:p>
    <w:p w:rsidR="00EA72C7" w:rsidRPr="00E75853"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sidRPr="00E75853">
        <w:rPr>
          <w:rFonts w:ascii="Times New Roman" w:eastAsia="Times New Roman" w:hAnsi="Times New Roman" w:cs="Times New Roman"/>
          <w:sz w:val="28"/>
          <w:szCs w:val="28"/>
        </w:rPr>
        <w:t>Биологическое обоснование по определению рыбопродуктивности рыбохозяйственных водоемов и/или их участков резервных водоемов Акмолинской области в 2020 году / ТОО «Научно-производственный центр рыбного хозяйства». – Астана, 2021. – 50 с.</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sidRPr="00AE0B22">
        <w:rPr>
          <w:rFonts w:ascii="Times New Roman" w:eastAsia="Times New Roman" w:hAnsi="Times New Roman" w:cs="Times New Roman"/>
          <w:sz w:val="28"/>
          <w:szCs w:val="28"/>
        </w:rPr>
        <w:t>Методические рекомендации по сбору и обработке материалов при гидробиологических исследованиях на пресноводных водоемах: зообентос и его продукция / сост. А.А. Салазкин и др. – Л., 1983. – 51 с.</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sidRPr="006E1AC8">
        <w:rPr>
          <w:rFonts w:ascii="Times New Roman" w:eastAsia="Times New Roman" w:hAnsi="Times New Roman" w:cs="Times New Roman"/>
          <w:sz w:val="28"/>
          <w:szCs w:val="28"/>
        </w:rPr>
        <w:t xml:space="preserve">Продуктивность рыб озера Майбалык // </w:t>
      </w:r>
      <w:hyperlink r:id="rId68" w:history="1">
        <w:r w:rsidRPr="006E1AC8">
          <w:rPr>
            <w:rStyle w:val="aa"/>
            <w:rFonts w:ascii="Times New Roman" w:eastAsia="Times New Roman" w:hAnsi="Times New Roman" w:cs="Times New Roman"/>
            <w:sz w:val="28"/>
            <w:szCs w:val="28"/>
          </w:rPr>
          <w:t>https://ecogosfond.kz/? ysclid=lbd3tdwixz879777087</w:t>
        </w:r>
      </w:hyperlink>
      <w:r w:rsidRPr="00AE0B22">
        <w:rPr>
          <w:rFonts w:ascii="Times New Roman" w:eastAsia="Times New Roman" w:hAnsi="Times New Roman" w:cs="Times New Roman"/>
          <w:sz w:val="28"/>
          <w:szCs w:val="28"/>
        </w:rPr>
        <w:t>. 25.04.2021.</w:t>
      </w:r>
    </w:p>
    <w:p w:rsidR="00EA72C7" w:rsidRPr="00862EA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sidRPr="00862EA7">
        <w:rPr>
          <w:rFonts w:ascii="Times New Roman" w:eastAsia="Times New Roman" w:hAnsi="Times New Roman" w:cs="Times New Roman"/>
          <w:color w:val="000000"/>
          <w:sz w:val="28"/>
          <w:szCs w:val="28"/>
        </w:rPr>
        <w:t>Территория оз. М. Талдыколь</w:t>
      </w:r>
      <w:r w:rsidRPr="0030362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30362E">
        <w:rPr>
          <w:rFonts w:ascii="Times New Roman" w:eastAsia="Times New Roman" w:hAnsi="Times New Roman" w:cs="Times New Roman"/>
          <w:sz w:val="28"/>
          <w:szCs w:val="28"/>
        </w:rPr>
        <w:t xml:space="preserve">Ассоциация по сохранению </w:t>
      </w:r>
      <w:r w:rsidRPr="00862EA7">
        <w:rPr>
          <w:rFonts w:ascii="Times New Roman" w:eastAsia="Times New Roman" w:hAnsi="Times New Roman" w:cs="Times New Roman"/>
          <w:sz w:val="28"/>
          <w:szCs w:val="28"/>
        </w:rPr>
        <w:t>биологического разнообразия Казахстана</w:t>
      </w:r>
      <w:r w:rsidRPr="00862EA7">
        <w:rPr>
          <w:rFonts w:ascii="Times New Roman" w:eastAsia="Times New Roman" w:hAnsi="Times New Roman" w:cs="Times New Roman"/>
          <w:sz w:val="24"/>
          <w:szCs w:val="24"/>
        </w:rPr>
        <w:t xml:space="preserve"> // </w:t>
      </w:r>
      <w:hyperlink r:id="rId69" w:history="1">
        <w:r w:rsidRPr="00862EA7">
          <w:rPr>
            <w:rStyle w:val="aa"/>
            <w:rFonts w:ascii="Times New Roman" w:eastAsia="Times New Roman" w:hAnsi="Times New Roman" w:cs="Times New Roman"/>
            <w:sz w:val="28"/>
            <w:szCs w:val="28"/>
          </w:rPr>
          <w:t>https://www.acbk.kz/.</w:t>
        </w:r>
      </w:hyperlink>
      <w:r w:rsidRPr="00862EA7">
        <w:rPr>
          <w:rFonts w:ascii="Times New Roman" w:eastAsia="Times New Roman" w:hAnsi="Times New Roman" w:cs="Times New Roman"/>
          <w:sz w:val="28"/>
          <w:szCs w:val="28"/>
        </w:rPr>
        <w:t xml:space="preserve"> 25.04.2021.</w:t>
      </w:r>
    </w:p>
    <w:p w:rsidR="00EA72C7" w:rsidRPr="00862EA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sidRPr="00862EA7">
        <w:rPr>
          <w:rFonts w:ascii="Times New Roman" w:eastAsia="Times New Roman" w:hAnsi="Times New Roman" w:cs="Times New Roman"/>
          <w:sz w:val="28"/>
          <w:szCs w:val="28"/>
        </w:rPr>
        <w:t xml:space="preserve">Средняя оптовая рыночная цена ценных пород рыбы // </w:t>
      </w:r>
      <w:hyperlink r:id="rId70" w:history="1">
        <w:r w:rsidRPr="00862EA7">
          <w:rPr>
            <w:rStyle w:val="aa"/>
            <w:rFonts w:ascii="Times New Roman" w:eastAsia="Times New Roman" w:hAnsi="Times New Roman" w:cs="Times New Roman"/>
            <w:sz w:val="28"/>
            <w:szCs w:val="28"/>
          </w:rPr>
          <w:t>https://www.gov.kz/memleket/entities/stat?lang=ru&amp;ysclid=lbd52supvt</w:t>
        </w:r>
      </w:hyperlink>
      <w:r w:rsidRPr="00862EA7">
        <w:rPr>
          <w:rFonts w:ascii="Times New Roman" w:eastAsia="Times New Roman" w:hAnsi="Times New Roman" w:cs="Times New Roman"/>
          <w:sz w:val="28"/>
          <w:szCs w:val="28"/>
        </w:rPr>
        <w:t xml:space="preserve">. </w:t>
      </w:r>
      <w:r w:rsidRPr="00862EA7">
        <w:rPr>
          <w:rFonts w:ascii="Times New Roman" w:eastAsia="Times New Roman" w:hAnsi="Times New Roman" w:cs="Times New Roman"/>
          <w:sz w:val="28"/>
          <w:szCs w:val="28"/>
          <w:lang w:val="en-US"/>
        </w:rPr>
        <w:t>25.04.2021.</w:t>
      </w:r>
    </w:p>
    <w:p w:rsidR="00EA72C7" w:rsidRPr="006E1AC8"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Приказ Министра сельского хозяйства Республики Казахстан Об</w:t>
      </w:r>
      <w:r w:rsidRPr="009B5E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утверждении </w:t>
      </w:r>
      <w:r w:rsidRPr="009B5E59">
        <w:rPr>
          <w:rFonts w:ascii="Times New Roman" w:eastAsia="Times New Roman" w:hAnsi="Times New Roman" w:cs="Times New Roman"/>
          <w:sz w:val="28"/>
          <w:szCs w:val="28"/>
        </w:rPr>
        <w:t>Методики определения размеров возмещения вреда, причиненного нарушением законодательства Республики Казахстан в области охраны, воспроизводства и использования животного мира</w:t>
      </w:r>
      <w:r>
        <w:rPr>
          <w:rFonts w:ascii="Times New Roman" w:eastAsia="Times New Roman" w:hAnsi="Times New Roman" w:cs="Times New Roman"/>
          <w:sz w:val="28"/>
          <w:szCs w:val="28"/>
        </w:rPr>
        <w:t>:</w:t>
      </w:r>
      <w:r w:rsidRPr="009B5E59">
        <w:rPr>
          <w:rFonts w:ascii="Times New Roman" w:eastAsia="Times New Roman" w:hAnsi="Times New Roman" w:cs="Times New Roman"/>
          <w:sz w:val="28"/>
          <w:szCs w:val="28"/>
        </w:rPr>
        <w:t xml:space="preserve"> утв</w:t>
      </w:r>
      <w:r>
        <w:rPr>
          <w:rFonts w:ascii="Times New Roman" w:eastAsia="Times New Roman" w:hAnsi="Times New Roman" w:cs="Times New Roman"/>
          <w:sz w:val="28"/>
          <w:szCs w:val="28"/>
        </w:rPr>
        <w:t xml:space="preserve">. 3 </w:t>
      </w:r>
      <w:r w:rsidRPr="009B5E59">
        <w:rPr>
          <w:rFonts w:ascii="Times New Roman" w:eastAsia="Times New Roman" w:hAnsi="Times New Roman" w:cs="Times New Roman"/>
          <w:sz w:val="28"/>
          <w:szCs w:val="28"/>
        </w:rPr>
        <w:t xml:space="preserve">декабря 2015 </w:t>
      </w:r>
      <w:r w:rsidRPr="006E1AC8">
        <w:rPr>
          <w:rFonts w:ascii="Times New Roman" w:eastAsia="Times New Roman" w:hAnsi="Times New Roman" w:cs="Times New Roman"/>
          <w:sz w:val="28"/>
          <w:szCs w:val="28"/>
        </w:rPr>
        <w:t xml:space="preserve">года, №18-03/1058 // </w:t>
      </w:r>
      <w:hyperlink r:id="rId71" w:history="1">
        <w:r w:rsidRPr="006E1AC8">
          <w:rPr>
            <w:rStyle w:val="aa"/>
            <w:rFonts w:ascii="Times New Roman" w:eastAsia="Times New Roman" w:hAnsi="Times New Roman" w:cs="Times New Roman"/>
            <w:sz w:val="28"/>
            <w:szCs w:val="28"/>
          </w:rPr>
          <w:t>https://adilet.zan.kz/rus/docs/V1500012888</w:t>
        </w:r>
      </w:hyperlink>
      <w:r w:rsidRPr="006E1AC8">
        <w:rPr>
          <w:rFonts w:ascii="Times New Roman" w:eastAsia="Times New Roman" w:hAnsi="Times New Roman" w:cs="Times New Roman"/>
          <w:sz w:val="28"/>
          <w:szCs w:val="28"/>
        </w:rPr>
        <w:t>. 25.04.2021.</w:t>
      </w:r>
    </w:p>
    <w:p w:rsidR="00EA72C7" w:rsidRPr="006E66D8"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lang w:val="en-US"/>
        </w:rPr>
      </w:pPr>
      <w:r w:rsidRPr="006E66D8">
        <w:rPr>
          <w:rFonts w:ascii="Times New Roman" w:eastAsia="Times New Roman" w:hAnsi="Times New Roman" w:cs="Times New Roman"/>
          <w:sz w:val="28"/>
          <w:szCs w:val="28"/>
        </w:rPr>
        <w:t>Инструкци</w:t>
      </w:r>
      <w:r>
        <w:rPr>
          <w:rFonts w:ascii="Times New Roman" w:eastAsia="Times New Roman" w:hAnsi="Times New Roman" w:cs="Times New Roman"/>
          <w:sz w:val="28"/>
          <w:szCs w:val="28"/>
        </w:rPr>
        <w:t>я</w:t>
      </w:r>
      <w:r w:rsidRPr="006E66D8">
        <w:rPr>
          <w:rFonts w:ascii="Times New Roman" w:eastAsia="Times New Roman" w:hAnsi="Times New Roman" w:cs="Times New Roman"/>
          <w:sz w:val="28"/>
          <w:szCs w:val="28"/>
        </w:rPr>
        <w:t xml:space="preserve"> по организации и проведению экологической оценки // </w:t>
      </w:r>
      <w:hyperlink r:id="rId72" w:history="1">
        <w:r w:rsidRPr="006E66D8">
          <w:rPr>
            <w:rStyle w:val="aa"/>
            <w:rFonts w:ascii="Times New Roman" w:eastAsia="Times New Roman" w:hAnsi="Times New Roman" w:cs="Times New Roman"/>
            <w:sz w:val="28"/>
            <w:szCs w:val="28"/>
            <w:lang w:val="en-US"/>
          </w:rPr>
          <w:t>https</w:t>
        </w:r>
        <w:r w:rsidRPr="006E66D8">
          <w:rPr>
            <w:rStyle w:val="aa"/>
            <w:rFonts w:ascii="Times New Roman" w:eastAsia="Times New Roman" w:hAnsi="Times New Roman" w:cs="Times New Roman"/>
            <w:sz w:val="28"/>
            <w:szCs w:val="28"/>
          </w:rPr>
          <w:t>://</w:t>
        </w:r>
        <w:r w:rsidRPr="006E66D8">
          <w:rPr>
            <w:rStyle w:val="aa"/>
            <w:rFonts w:ascii="Times New Roman" w:eastAsia="Times New Roman" w:hAnsi="Times New Roman" w:cs="Times New Roman"/>
            <w:sz w:val="28"/>
            <w:szCs w:val="28"/>
            <w:lang w:val="en-US"/>
          </w:rPr>
          <w:t>unece</w:t>
        </w:r>
        <w:r w:rsidRPr="006E66D8">
          <w:rPr>
            <w:rStyle w:val="aa"/>
            <w:rFonts w:ascii="Times New Roman" w:eastAsia="Times New Roman" w:hAnsi="Times New Roman" w:cs="Times New Roman"/>
            <w:sz w:val="28"/>
            <w:szCs w:val="28"/>
          </w:rPr>
          <w:t>.</w:t>
        </w:r>
        <w:r w:rsidRPr="006E66D8">
          <w:rPr>
            <w:rStyle w:val="aa"/>
            <w:rFonts w:ascii="Times New Roman" w:eastAsia="Times New Roman" w:hAnsi="Times New Roman" w:cs="Times New Roman"/>
            <w:sz w:val="28"/>
            <w:szCs w:val="28"/>
            <w:lang w:val="en-US"/>
          </w:rPr>
          <w:t>org</w:t>
        </w:r>
        <w:r w:rsidRPr="006E66D8">
          <w:rPr>
            <w:rStyle w:val="aa"/>
            <w:rFonts w:ascii="Times New Roman" w:eastAsia="Times New Roman" w:hAnsi="Times New Roman" w:cs="Times New Roman"/>
            <w:sz w:val="28"/>
            <w:szCs w:val="28"/>
          </w:rPr>
          <w:t>/</w:t>
        </w:r>
        <w:r w:rsidRPr="006E66D8">
          <w:rPr>
            <w:rStyle w:val="aa"/>
            <w:rFonts w:ascii="Times New Roman" w:eastAsia="Times New Roman" w:hAnsi="Times New Roman" w:cs="Times New Roman"/>
            <w:sz w:val="28"/>
            <w:szCs w:val="28"/>
            <w:lang w:val="en-US"/>
          </w:rPr>
          <w:t>sites</w:t>
        </w:r>
        <w:r w:rsidRPr="006E66D8">
          <w:rPr>
            <w:rStyle w:val="aa"/>
            <w:rFonts w:ascii="Times New Roman" w:eastAsia="Times New Roman" w:hAnsi="Times New Roman" w:cs="Times New Roman"/>
            <w:sz w:val="28"/>
            <w:szCs w:val="28"/>
          </w:rPr>
          <w:t>/</w:t>
        </w:r>
        <w:r w:rsidRPr="006E66D8">
          <w:rPr>
            <w:rStyle w:val="aa"/>
            <w:rFonts w:ascii="Times New Roman" w:eastAsia="Times New Roman" w:hAnsi="Times New Roman" w:cs="Times New Roman"/>
            <w:sz w:val="28"/>
            <w:szCs w:val="28"/>
            <w:lang w:val="en-US"/>
          </w:rPr>
          <w:t>default</w:t>
        </w:r>
        <w:r w:rsidRPr="006E66D8">
          <w:rPr>
            <w:rStyle w:val="aa"/>
            <w:rFonts w:ascii="Times New Roman" w:eastAsia="Times New Roman" w:hAnsi="Times New Roman" w:cs="Times New Roman"/>
            <w:sz w:val="28"/>
            <w:szCs w:val="28"/>
          </w:rPr>
          <w:t>/</w:t>
        </w:r>
        <w:r w:rsidRPr="006E66D8">
          <w:rPr>
            <w:rStyle w:val="aa"/>
            <w:rFonts w:ascii="Times New Roman" w:eastAsia="Times New Roman" w:hAnsi="Times New Roman" w:cs="Times New Roman"/>
            <w:sz w:val="28"/>
            <w:szCs w:val="28"/>
            <w:lang w:val="en-US"/>
          </w:rPr>
          <w:t>files</w:t>
        </w:r>
        <w:r w:rsidRPr="006E66D8">
          <w:rPr>
            <w:rStyle w:val="aa"/>
            <w:rFonts w:ascii="Times New Roman" w:eastAsia="Times New Roman" w:hAnsi="Times New Roman" w:cs="Times New Roman"/>
            <w:sz w:val="28"/>
            <w:szCs w:val="28"/>
          </w:rPr>
          <w:t>/2021-07/</w:t>
        </w:r>
        <w:r w:rsidRPr="006E66D8">
          <w:rPr>
            <w:rStyle w:val="aa"/>
            <w:rFonts w:ascii="Times New Roman" w:eastAsia="Times New Roman" w:hAnsi="Times New Roman" w:cs="Times New Roman"/>
            <w:sz w:val="28"/>
            <w:szCs w:val="28"/>
            <w:lang w:val="en-US"/>
          </w:rPr>
          <w:t>frPartyVI</w:t>
        </w:r>
        <w:r w:rsidRPr="006E66D8">
          <w:rPr>
            <w:rStyle w:val="aa"/>
            <w:rFonts w:ascii="Times New Roman" w:eastAsia="Times New Roman" w:hAnsi="Times New Roman" w:cs="Times New Roman"/>
            <w:sz w:val="28"/>
            <w:szCs w:val="28"/>
          </w:rPr>
          <w:t>.8</w:t>
        </w:r>
        <w:r w:rsidRPr="006E66D8">
          <w:rPr>
            <w:rStyle w:val="aa"/>
            <w:rFonts w:ascii="Times New Roman" w:eastAsia="Times New Roman" w:hAnsi="Times New Roman" w:cs="Times New Roman"/>
            <w:sz w:val="28"/>
            <w:szCs w:val="28"/>
            <w:lang w:val="en-US"/>
          </w:rPr>
          <w:t>g</w:t>
        </w:r>
        <w:r w:rsidRPr="006E66D8">
          <w:rPr>
            <w:rStyle w:val="aa"/>
            <w:rFonts w:ascii="Times New Roman" w:eastAsia="Times New Roman" w:hAnsi="Times New Roman" w:cs="Times New Roman"/>
            <w:sz w:val="28"/>
            <w:szCs w:val="28"/>
          </w:rPr>
          <w:t>_30.06.2021</w:t>
        </w:r>
      </w:hyperlink>
      <w:r w:rsidRPr="006E66D8">
        <w:rPr>
          <w:rFonts w:ascii="Times New Roman" w:eastAsia="Times New Roman" w:hAnsi="Times New Roman" w:cs="Times New Roman"/>
          <w:sz w:val="28"/>
          <w:szCs w:val="28"/>
        </w:rPr>
        <w:t xml:space="preserve">. </w:t>
      </w:r>
      <w:r w:rsidRPr="006E66D8">
        <w:rPr>
          <w:rFonts w:ascii="Times New Roman" w:eastAsia="Times New Roman" w:hAnsi="Times New Roman" w:cs="Times New Roman"/>
          <w:sz w:val="28"/>
          <w:szCs w:val="28"/>
          <w:lang w:val="en-US"/>
        </w:rPr>
        <w:t xml:space="preserve">15.10.2021. </w:t>
      </w:r>
    </w:p>
    <w:p w:rsidR="00EA72C7" w:rsidRPr="00B03E39"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lang w:val="en-US"/>
        </w:rPr>
      </w:pPr>
      <w:r w:rsidRPr="009531DE">
        <w:rPr>
          <w:rFonts w:ascii="Times New Roman" w:eastAsia="Times New Roman" w:hAnsi="Times New Roman" w:cs="Times New Roman"/>
          <w:color w:val="000000"/>
          <w:sz w:val="28"/>
          <w:szCs w:val="28"/>
          <w:lang w:val="en-US"/>
        </w:rPr>
        <w:t xml:space="preserve">Utepov A., Jumabayev S., Skakova A. et al. The economic evaluation of </w:t>
      </w:r>
      <w:r w:rsidRPr="006E66D8">
        <w:rPr>
          <w:rFonts w:ascii="Times New Roman" w:eastAsia="Times New Roman" w:hAnsi="Times New Roman" w:cs="Times New Roman"/>
          <w:sz w:val="28"/>
          <w:szCs w:val="28"/>
          <w:lang w:val="en-US"/>
        </w:rPr>
        <w:t>water ecosystem services in urban planning in Nur-Sultan, Kazakhstan // Public Policy and Administration. – 2021. – Vol. 20, Issue 2. – P. 205-219.</w:t>
      </w:r>
    </w:p>
    <w:p w:rsidR="00EA72C7" w:rsidRPr="008572AB"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Постановление Правительства Республики Казахстан. Об утверждении Концепции вхождения столицы в рейтинг 10-ти лучших городов мира до 2050 года: утв. 29 декабря 2014 года №1394 // </w:t>
      </w:r>
      <w:hyperlink w:history="1">
        <w:r w:rsidRPr="008572AB">
          <w:rPr>
            <w:rStyle w:val="aa"/>
            <w:rFonts w:ascii="Times New Roman" w:eastAsia="Times New Roman" w:hAnsi="Times New Roman" w:cs="Times New Roman"/>
            <w:sz w:val="28"/>
            <w:szCs w:val="28"/>
          </w:rPr>
          <w:t>https://adilet.zan.kz /rus/docs/P1400001394</w:t>
        </w:r>
      </w:hyperlink>
      <w:r w:rsidRPr="008572AB">
        <w:rPr>
          <w:rFonts w:ascii="Times New Roman" w:eastAsia="Times New Roman" w:hAnsi="Times New Roman" w:cs="Times New Roman"/>
          <w:sz w:val="28"/>
          <w:szCs w:val="28"/>
        </w:rPr>
        <w:t>. 25.04.2021.</w:t>
      </w:r>
    </w:p>
    <w:p w:rsidR="00EA72C7" w:rsidRPr="008572AB"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Решение сессии маслихата города Нур-Султан. Об утверждении Программы развития города Нур-Султан на 2021-2025 годы: утв. 15 января </w:t>
      </w:r>
      <w:r w:rsidRPr="008572AB">
        <w:rPr>
          <w:rFonts w:ascii="Times New Roman" w:eastAsia="Times New Roman" w:hAnsi="Times New Roman" w:cs="Times New Roman"/>
          <w:sz w:val="28"/>
          <w:szCs w:val="28"/>
        </w:rPr>
        <w:t xml:space="preserve">2021 года №7/1-VII // </w:t>
      </w:r>
      <w:hyperlink r:id="rId73" w:history="1">
        <w:r w:rsidRPr="008572AB">
          <w:rPr>
            <w:rStyle w:val="aa"/>
            <w:rFonts w:ascii="Times New Roman" w:eastAsia="Times New Roman" w:hAnsi="Times New Roman" w:cs="Times New Roman"/>
            <w:sz w:val="28"/>
            <w:szCs w:val="28"/>
          </w:rPr>
          <w:t>https://online.zakon.kz/Document/?doc_id</w:t>
        </w:r>
      </w:hyperlink>
      <w:r w:rsidRPr="008572AB">
        <w:rPr>
          <w:rFonts w:ascii="Times New Roman" w:eastAsia="Times New Roman" w:hAnsi="Times New Roman" w:cs="Times New Roman"/>
          <w:sz w:val="28"/>
          <w:szCs w:val="28"/>
        </w:rPr>
        <w:t>. 25.04.2021.</w:t>
      </w:r>
    </w:p>
    <w:p w:rsidR="00EA72C7" w:rsidRPr="008572AB"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sidRPr="008572AB">
        <w:rPr>
          <w:rFonts w:ascii="Times New Roman" w:hAnsi="Times New Roman" w:cs="Times New Roman"/>
          <w:sz w:val="28"/>
          <w:szCs w:val="28"/>
        </w:rPr>
        <w:t xml:space="preserve">Схема благоустройства и озеленения прибрежной части озера Большой Талдыколь // </w:t>
      </w:r>
      <w:hyperlink r:id="rId74" w:history="1">
        <w:r w:rsidRPr="008572AB">
          <w:rPr>
            <w:rStyle w:val="aa"/>
            <w:rFonts w:ascii="Times New Roman" w:hAnsi="Times New Roman" w:cs="Times New Roman"/>
            <w:sz w:val="28"/>
            <w:szCs w:val="28"/>
          </w:rPr>
          <w:t>https://portal.esaulet.kz/ru</w:t>
        </w:r>
      </w:hyperlink>
      <w:r w:rsidRPr="008572AB">
        <w:rPr>
          <w:rFonts w:ascii="Times New Roman" w:hAnsi="Times New Roman" w:cs="Times New Roman"/>
          <w:sz w:val="28"/>
          <w:szCs w:val="28"/>
        </w:rPr>
        <w:t>. 25.04.2021.</w:t>
      </w:r>
    </w:p>
    <w:p w:rsidR="00EA72C7" w:rsidRPr="008572AB"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sidRPr="008572AB">
        <w:rPr>
          <w:rFonts w:ascii="Times New Roman" w:hAnsi="Times New Roman" w:cs="Times New Roman"/>
          <w:sz w:val="28"/>
          <w:szCs w:val="28"/>
        </w:rPr>
        <w:t xml:space="preserve">Жители столицы отстояли озеро Малый Талдыколь от застройки </w:t>
      </w:r>
      <w:r>
        <w:rPr>
          <w:rFonts w:ascii="Times New Roman" w:hAnsi="Times New Roman" w:cs="Times New Roman"/>
          <w:sz w:val="28"/>
          <w:szCs w:val="28"/>
        </w:rPr>
        <w:t xml:space="preserve">// </w:t>
      </w:r>
      <w:hyperlink r:id="rId75" w:history="1">
        <w:r w:rsidRPr="008572AB">
          <w:rPr>
            <w:rStyle w:val="aa"/>
            <w:rFonts w:ascii="Times New Roman" w:hAnsi="Times New Roman" w:cs="Times New Roman"/>
            <w:sz w:val="28"/>
            <w:szCs w:val="28"/>
          </w:rPr>
          <w:t>https://informburo.kz/special/ziteli-stolicy-otstoyali-ozero-malyi. 25.04.2021.</w:t>
        </w:r>
      </w:hyperlink>
    </w:p>
    <w:p w:rsidR="00EA72C7" w:rsidRPr="008572AB"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sidRPr="008572AB">
        <w:rPr>
          <w:rFonts w:ascii="Times New Roman" w:eastAsia="Times New Roman" w:hAnsi="Times New Roman" w:cs="Times New Roman"/>
          <w:sz w:val="28"/>
          <w:szCs w:val="28"/>
        </w:rPr>
        <w:t>Утепов А. Учет экологических аспектов в городском планировании г. Нур-Султан // Экологические проблемы и устойчивое развитие регионов и городов Республики Казахстан: сб. матер. междунар. науч.-практ. конф., посв. 30-летию Независимости Республики Казахстан и 20-летию Казахстанского филиала Московского университета. – Нур-Султан, 2021. – С. 253-263.</w:t>
      </w:r>
    </w:p>
    <w:p w:rsidR="00EA72C7" w:rsidRPr="00B03E39"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lang w:val="en-US"/>
        </w:rPr>
      </w:pPr>
      <w:r w:rsidRPr="00B03E39">
        <w:rPr>
          <w:rFonts w:ascii="Times New Roman" w:eastAsia="Times New Roman" w:hAnsi="Times New Roman" w:cs="Times New Roman"/>
          <w:color w:val="000000"/>
          <w:sz w:val="28"/>
          <w:szCs w:val="28"/>
          <w:lang w:val="en-US"/>
        </w:rPr>
        <w:t xml:space="preserve">Utepov A., Jumabayev S. Improvement of the environment based on the assessment of knowledge and understanding of the ecosystem approach by civil servants in Kazakhstan // </w:t>
      </w:r>
      <w:r w:rsidRPr="00B03E39">
        <w:rPr>
          <w:rFonts w:ascii="Times New Roman" w:eastAsia="Times New Roman" w:hAnsi="Times New Roman" w:cs="Times New Roman"/>
          <w:color w:val="000000"/>
          <w:sz w:val="28"/>
          <w:szCs w:val="28"/>
        </w:rPr>
        <w:t>Мемлекеттік</w:t>
      </w:r>
      <w:r w:rsidRPr="00B03E39">
        <w:rPr>
          <w:rFonts w:ascii="Times New Roman" w:eastAsia="Times New Roman" w:hAnsi="Times New Roman" w:cs="Times New Roman"/>
          <w:color w:val="000000"/>
          <w:sz w:val="28"/>
          <w:szCs w:val="28"/>
          <w:lang w:val="en-US"/>
        </w:rPr>
        <w:t xml:space="preserve"> </w:t>
      </w:r>
      <w:r w:rsidRPr="00B03E39">
        <w:rPr>
          <w:rFonts w:ascii="Times New Roman" w:eastAsia="Times New Roman" w:hAnsi="Times New Roman" w:cs="Times New Roman"/>
          <w:color w:val="000000"/>
          <w:sz w:val="28"/>
          <w:szCs w:val="28"/>
        </w:rPr>
        <w:t>басқару</w:t>
      </w:r>
      <w:r w:rsidRPr="00B03E39">
        <w:rPr>
          <w:rFonts w:ascii="Times New Roman" w:eastAsia="Times New Roman" w:hAnsi="Times New Roman" w:cs="Times New Roman"/>
          <w:color w:val="000000"/>
          <w:sz w:val="28"/>
          <w:szCs w:val="28"/>
          <w:lang w:val="en-US"/>
        </w:rPr>
        <w:t xml:space="preserve"> </w:t>
      </w:r>
      <w:r w:rsidRPr="00B03E39">
        <w:rPr>
          <w:rFonts w:ascii="Times New Roman" w:eastAsia="Times New Roman" w:hAnsi="Times New Roman" w:cs="Times New Roman"/>
          <w:color w:val="000000"/>
          <w:sz w:val="28"/>
          <w:szCs w:val="28"/>
        </w:rPr>
        <w:t>және</w:t>
      </w:r>
      <w:r w:rsidRPr="00B03E39">
        <w:rPr>
          <w:rFonts w:ascii="Times New Roman" w:eastAsia="Times New Roman" w:hAnsi="Times New Roman" w:cs="Times New Roman"/>
          <w:color w:val="000000"/>
          <w:sz w:val="28"/>
          <w:szCs w:val="28"/>
          <w:lang w:val="en-US"/>
        </w:rPr>
        <w:t xml:space="preserve"> </w:t>
      </w:r>
      <w:r w:rsidRPr="00B03E39">
        <w:rPr>
          <w:rFonts w:ascii="Times New Roman" w:eastAsia="Times New Roman" w:hAnsi="Times New Roman" w:cs="Times New Roman"/>
          <w:color w:val="000000"/>
          <w:sz w:val="28"/>
          <w:szCs w:val="28"/>
        </w:rPr>
        <w:t>мемлекеттік</w:t>
      </w:r>
      <w:r w:rsidRPr="00B03E39">
        <w:rPr>
          <w:rFonts w:ascii="Times New Roman" w:eastAsia="Times New Roman" w:hAnsi="Times New Roman" w:cs="Times New Roman"/>
          <w:color w:val="000000"/>
          <w:sz w:val="28"/>
          <w:szCs w:val="28"/>
          <w:lang w:val="en-US"/>
        </w:rPr>
        <w:t xml:space="preserve"> </w:t>
      </w:r>
      <w:r w:rsidRPr="00B03E39">
        <w:rPr>
          <w:rFonts w:ascii="Times New Roman" w:eastAsia="Times New Roman" w:hAnsi="Times New Roman" w:cs="Times New Roman"/>
          <w:color w:val="000000"/>
          <w:sz w:val="28"/>
          <w:szCs w:val="28"/>
        </w:rPr>
        <w:t>қызмет</w:t>
      </w:r>
      <w:r w:rsidRPr="00B03E39">
        <w:rPr>
          <w:rFonts w:ascii="Times New Roman" w:eastAsia="Times New Roman" w:hAnsi="Times New Roman" w:cs="Times New Roman"/>
          <w:color w:val="000000"/>
          <w:sz w:val="28"/>
          <w:szCs w:val="28"/>
          <w:lang w:val="en-US"/>
        </w:rPr>
        <w:t xml:space="preserve">. – 2021. – №3(78). – </w:t>
      </w:r>
      <w:r w:rsidRPr="00B03E39">
        <w:rPr>
          <w:rFonts w:ascii="Times New Roman" w:eastAsia="Times New Roman" w:hAnsi="Times New Roman" w:cs="Times New Roman"/>
          <w:color w:val="000000"/>
          <w:sz w:val="28"/>
          <w:szCs w:val="28"/>
        </w:rPr>
        <w:t>Б</w:t>
      </w:r>
      <w:r w:rsidRPr="00B03E39">
        <w:rPr>
          <w:rFonts w:ascii="Times New Roman" w:eastAsia="Times New Roman" w:hAnsi="Times New Roman" w:cs="Times New Roman"/>
          <w:color w:val="000000"/>
          <w:sz w:val="28"/>
          <w:szCs w:val="28"/>
          <w:lang w:val="en-US"/>
        </w:rPr>
        <w:t>. 37-50.</w:t>
      </w:r>
    </w:p>
    <w:p w:rsidR="00EA72C7" w:rsidRPr="00B03E39"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sidRPr="00B03E39">
        <w:rPr>
          <w:rFonts w:ascii="Times New Roman" w:eastAsia="Times New Roman" w:hAnsi="Times New Roman" w:cs="Times New Roman"/>
          <w:color w:val="000000"/>
          <w:sz w:val="28"/>
          <w:szCs w:val="28"/>
        </w:rPr>
        <w:t>Семенова В.В. Качественные методы: введение в гуманистическую социологию: учеб. пос. – М.: Добросвет, 1998. – 289 c.</w:t>
      </w:r>
    </w:p>
    <w:p w:rsidR="00EA72C7" w:rsidRPr="00155F10"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lang w:val="en-US"/>
        </w:rPr>
      </w:pPr>
      <w:r w:rsidRPr="00B03E39">
        <w:rPr>
          <w:rFonts w:ascii="Times New Roman" w:eastAsia="Times New Roman" w:hAnsi="Times New Roman" w:cs="Times New Roman"/>
          <w:color w:val="000000"/>
          <w:sz w:val="28"/>
          <w:szCs w:val="28"/>
          <w:lang w:val="en-US"/>
        </w:rPr>
        <w:t>Asah S.T., Guerry A.D., Blahna D.J. et al. Perception, acquisition and use of ecosystem services: Human behavior, and ecosystem management and policy implications // Ecosystem Services. – 2014. – Vol. 10. – P. 180-186.</w:t>
      </w:r>
    </w:p>
    <w:p w:rsidR="00EA72C7" w:rsidRPr="00B03E39"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lang w:val="en-US"/>
        </w:rPr>
      </w:pPr>
      <w:r w:rsidRPr="00B03E39">
        <w:rPr>
          <w:rFonts w:ascii="Times New Roman" w:eastAsia="Times New Roman" w:hAnsi="Times New Roman" w:cs="Times New Roman"/>
          <w:sz w:val="28"/>
          <w:szCs w:val="28"/>
          <w:lang w:val="en-US"/>
        </w:rPr>
        <w:t>Krueger R.A., Casey M.A. Focus Groups: A Practical Guide for Applied Research. – London: Sage Publications, 2000. – 215 p.</w:t>
      </w:r>
    </w:p>
    <w:p w:rsidR="00EA72C7" w:rsidRPr="00E9782E"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lang w:val="en-US"/>
        </w:rPr>
      </w:pPr>
      <w:r w:rsidRPr="00B03E39">
        <w:rPr>
          <w:rFonts w:ascii="Times New Roman" w:eastAsia="Times New Roman" w:hAnsi="Times New Roman" w:cs="Times New Roman"/>
          <w:color w:val="000000"/>
          <w:sz w:val="28"/>
          <w:szCs w:val="28"/>
          <w:lang w:val="en-US"/>
        </w:rPr>
        <w:t>Schuman H., Presser S. Questions and Answers in Attitude Surveys: Experiments on Question Form, Wording, and Context. – NY.: Academic Press, 1981. – 370 p.</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Style w:val="aa"/>
          <w:rFonts w:ascii="Times New Roman" w:eastAsia="Times New Roman" w:hAnsi="Times New Roman" w:cs="Times New Roman"/>
          <w:sz w:val="28"/>
          <w:szCs w:val="28"/>
        </w:rPr>
      </w:pPr>
      <w:r w:rsidRPr="00E9782E">
        <w:rPr>
          <w:rFonts w:ascii="Times New Roman" w:eastAsia="Times New Roman" w:hAnsi="Times New Roman" w:cs="Times New Roman"/>
          <w:sz w:val="28"/>
          <w:szCs w:val="28"/>
        </w:rPr>
        <w:t xml:space="preserve">Объем потерь пресной воды при транспортировке // </w:t>
      </w:r>
      <w:hyperlink r:id="rId76" w:history="1">
        <w:r w:rsidRPr="00E9782E">
          <w:rPr>
            <w:rStyle w:val="aa"/>
            <w:rFonts w:ascii="Times New Roman" w:eastAsia="Times New Roman" w:hAnsi="Times New Roman" w:cs="Times New Roman"/>
            <w:sz w:val="28"/>
            <w:szCs w:val="28"/>
          </w:rPr>
          <w:t>https://www.stat.gov.kz/official/industry/157/statistic/5</w:t>
        </w:r>
      </w:hyperlink>
      <w:r>
        <w:rPr>
          <w:rStyle w:val="aa"/>
          <w:rFonts w:ascii="Times New Roman" w:eastAsia="Times New Roman" w:hAnsi="Times New Roman" w:cs="Times New Roman"/>
          <w:sz w:val="28"/>
          <w:szCs w:val="28"/>
        </w:rPr>
        <w:t>. 02.06.2020.</w:t>
      </w:r>
    </w:p>
    <w:p w:rsidR="00EA72C7" w:rsidRPr="003611A2"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sidRPr="003611A2">
        <w:rPr>
          <w:rFonts w:ascii="Times New Roman" w:eastAsia="Times New Roman" w:hAnsi="Times New Roman" w:cs="Times New Roman"/>
          <w:sz w:val="28"/>
          <w:szCs w:val="28"/>
        </w:rPr>
        <w:t xml:space="preserve">Единый экологический интернет-ресурс // </w:t>
      </w:r>
      <w:hyperlink r:id="rId77" w:history="1">
        <w:r w:rsidRPr="003611A2">
          <w:rPr>
            <w:rStyle w:val="aa"/>
            <w:rFonts w:ascii="Times New Roman" w:eastAsia="Times New Roman" w:hAnsi="Times New Roman" w:cs="Times New Roman"/>
            <w:sz w:val="28"/>
            <w:szCs w:val="28"/>
          </w:rPr>
          <w:t>https://ecogosfond.kz/</w:t>
        </w:r>
      </w:hyperlink>
      <w:r>
        <w:rPr>
          <w:rFonts w:ascii="Times New Roman" w:eastAsia="Times New Roman" w:hAnsi="Times New Roman" w:cs="Times New Roman"/>
          <w:sz w:val="28"/>
          <w:szCs w:val="28"/>
        </w:rPr>
        <w:t>. 02.06.2020.</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sidRPr="00E9782E">
        <w:rPr>
          <w:rFonts w:ascii="Times New Roman" w:eastAsia="Times New Roman" w:hAnsi="Times New Roman" w:cs="Times New Roman"/>
          <w:sz w:val="28"/>
          <w:szCs w:val="28"/>
        </w:rPr>
        <w:t>Национальный доклад по переходу Республики Казахстан к «зеленой экономике» за 2017-2018 годы: проект / Международный центр зеленых технологий и инвестиционных проектов. – Нур-Султан, 2019. – 370 с.</w:t>
      </w:r>
    </w:p>
    <w:p w:rsidR="00EA72C7"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Министерство экологии, геологии и природных ресурсов РК //  </w:t>
      </w:r>
      <w:hyperlink r:id="rId78">
        <w:r>
          <w:rPr>
            <w:rFonts w:ascii="Times New Roman" w:eastAsia="Times New Roman" w:hAnsi="Times New Roman" w:cs="Times New Roman"/>
            <w:color w:val="000000"/>
            <w:sz w:val="28"/>
            <w:szCs w:val="28"/>
          </w:rPr>
          <w:t>https://www.gov.kz/memleket/entities/ecogeo/about?lang=ru</w:t>
        </w:r>
      </w:hyperlink>
      <w:r>
        <w:rPr>
          <w:rFonts w:ascii="Times New Roman" w:eastAsia="Times New Roman" w:hAnsi="Times New Roman" w:cs="Times New Roman"/>
          <w:color w:val="000000"/>
          <w:sz w:val="28"/>
          <w:szCs w:val="28"/>
        </w:rPr>
        <w:t>. 02.06.2020.</w:t>
      </w:r>
    </w:p>
    <w:p w:rsidR="00EA72C7" w:rsidRPr="00155F10"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lang w:val="en-US"/>
        </w:rPr>
      </w:pPr>
      <w:r w:rsidRPr="00E9782E">
        <w:rPr>
          <w:rFonts w:ascii="Times New Roman" w:eastAsia="Times New Roman" w:hAnsi="Times New Roman" w:cs="Times New Roman"/>
          <w:color w:val="000000"/>
          <w:sz w:val="28"/>
          <w:szCs w:val="28"/>
          <w:lang w:val="en-US"/>
        </w:rPr>
        <w:t>Utepov A., Jumabayev S., Utepova G. et al. Main trends in the institutionalization of social movements concerning sustainable development in Kazakhstan // Public Policy and Administration. – 2022. – Vol. 21, Issue 2. – P. 89-104.</w:t>
      </w:r>
    </w:p>
    <w:p w:rsidR="00EA72C7" w:rsidRPr="00633AE9"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lang w:val="en-US"/>
        </w:rPr>
      </w:pPr>
      <w:r w:rsidRPr="00E9782E">
        <w:rPr>
          <w:rFonts w:ascii="Times New Roman" w:eastAsia="Times New Roman" w:hAnsi="Times New Roman" w:cs="Times New Roman"/>
          <w:color w:val="000000"/>
          <w:sz w:val="28"/>
          <w:szCs w:val="28"/>
          <w:lang w:val="en-US"/>
        </w:rPr>
        <w:t>Yasmi Y., Schanz H., Salim A. Manifestation of conflict escalation in natural resource management // Environmental science &amp; policy. – 2006. – Vol. 9. – P. 538-546.</w:t>
      </w:r>
    </w:p>
    <w:p w:rsidR="00EA72C7" w:rsidRPr="00633AE9"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lang w:val="en-US"/>
        </w:rPr>
      </w:pPr>
      <w:r w:rsidRPr="00633AE9">
        <w:rPr>
          <w:rFonts w:ascii="Times New Roman" w:eastAsia="Times New Roman" w:hAnsi="Times New Roman" w:cs="Times New Roman"/>
          <w:color w:val="000000"/>
          <w:sz w:val="28"/>
          <w:szCs w:val="28"/>
          <w:lang w:val="en-US"/>
        </w:rPr>
        <w:t>Kazakhstanskaya model' obshchestvennogo dialoga: analiz i perspektivy: monografiya / ed. Ye.B. Sairov. – Nur-Sultan, 2020. – 244 p.</w:t>
      </w:r>
    </w:p>
    <w:p w:rsidR="00EA72C7" w:rsidRPr="00633AE9"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lang w:val="en-US"/>
        </w:rPr>
      </w:pPr>
      <w:r w:rsidRPr="00633AE9">
        <w:rPr>
          <w:rFonts w:ascii="Times New Roman" w:eastAsia="Times New Roman" w:hAnsi="Times New Roman" w:cs="Times New Roman"/>
          <w:color w:val="000000"/>
          <w:sz w:val="28"/>
          <w:szCs w:val="28"/>
          <w:lang w:val="en-US"/>
        </w:rPr>
        <w:lastRenderedPageBreak/>
        <w:t>Barnett C., Scott D. Spaces of opposition: activism and deliberation in post-apartheid environmental politics // Environment and Planning A. – 2007. – Vol. 39, Issue 11. – P. 2612-2631.</w:t>
      </w:r>
    </w:p>
    <w:p w:rsidR="00EA72C7" w:rsidRPr="00633AE9" w:rsidRDefault="0059321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lang w:val="en-US"/>
        </w:rPr>
      </w:pPr>
      <w:hyperlink r:id="rId79">
        <w:r w:rsidR="00EA72C7" w:rsidRPr="00633AE9">
          <w:rPr>
            <w:rFonts w:ascii="Times New Roman" w:eastAsia="Times New Roman" w:hAnsi="Times New Roman" w:cs="Times New Roman"/>
            <w:color w:val="000000"/>
            <w:sz w:val="28"/>
            <w:szCs w:val="28"/>
            <w:lang w:val="en-US"/>
          </w:rPr>
          <w:t>Kuandykov</w:t>
        </w:r>
      </w:hyperlink>
      <w:r w:rsidR="00EA72C7" w:rsidRPr="00633AE9">
        <w:rPr>
          <w:rFonts w:ascii="Times New Roman" w:eastAsia="Times New Roman" w:hAnsi="Times New Roman" w:cs="Times New Roman"/>
          <w:color w:val="000000"/>
          <w:sz w:val="28"/>
          <w:szCs w:val="28"/>
          <w:lang w:val="en-US"/>
        </w:rPr>
        <w:t xml:space="preserve"> N., </w:t>
      </w:r>
      <w:hyperlink r:id="rId80">
        <w:r w:rsidR="00EA72C7" w:rsidRPr="00633AE9">
          <w:rPr>
            <w:rFonts w:ascii="Times New Roman" w:eastAsia="Times New Roman" w:hAnsi="Times New Roman" w:cs="Times New Roman"/>
            <w:color w:val="000000"/>
            <w:sz w:val="28"/>
            <w:szCs w:val="28"/>
            <w:lang w:val="en-US"/>
          </w:rPr>
          <w:t>Abil</w:t>
        </w:r>
      </w:hyperlink>
      <w:r w:rsidR="00EA72C7" w:rsidRPr="00633AE9">
        <w:rPr>
          <w:rFonts w:ascii="Times New Roman" w:eastAsia="Times New Roman" w:hAnsi="Times New Roman" w:cs="Times New Roman"/>
          <w:color w:val="000000"/>
          <w:sz w:val="28"/>
          <w:szCs w:val="28"/>
          <w:lang w:val="en-US"/>
        </w:rPr>
        <w:t xml:space="preserve"> Y, Utepov A. et al. Investigating the relationship between tax culture and tax communication in Kazakhstan // Problems and Perspectives in Management. – 2021. – Vol. 19, Issue 3. – P. 197-210.</w:t>
      </w:r>
    </w:p>
    <w:p w:rsidR="00EA72C7" w:rsidRPr="00633AE9"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lang w:val="en-US"/>
        </w:rPr>
      </w:pPr>
      <w:r w:rsidRPr="00633AE9">
        <w:rPr>
          <w:rFonts w:ascii="Times New Roman" w:eastAsia="Times New Roman" w:hAnsi="Times New Roman" w:cs="Times New Roman"/>
          <w:color w:val="000000"/>
          <w:sz w:val="28"/>
          <w:szCs w:val="28"/>
          <w:lang w:val="en-US"/>
        </w:rPr>
        <w:t xml:space="preserve">Tax Morale: What Drives People and Businesses to Pay Tax? // </w:t>
      </w:r>
      <w:hyperlink r:id="rId81" w:history="1">
        <w:r w:rsidRPr="00633AE9">
          <w:rPr>
            <w:rStyle w:val="aa"/>
            <w:rFonts w:ascii="Times New Roman" w:eastAsia="Times New Roman" w:hAnsi="Times New Roman" w:cs="Times New Roman"/>
            <w:sz w:val="28"/>
            <w:szCs w:val="28"/>
            <w:lang w:val="en-US"/>
          </w:rPr>
          <w:t>https://www.oecd.org/tax/tax-morale-f3d8ea10-en.htm. 05.09.2022</w:t>
        </w:r>
      </w:hyperlink>
      <w:r w:rsidRPr="00633AE9">
        <w:rPr>
          <w:rFonts w:ascii="Times New Roman" w:eastAsia="Times New Roman" w:hAnsi="Times New Roman" w:cs="Times New Roman"/>
          <w:sz w:val="28"/>
          <w:szCs w:val="28"/>
          <w:lang w:val="en-US"/>
        </w:rPr>
        <w:t>.</w:t>
      </w:r>
    </w:p>
    <w:p w:rsidR="00EA72C7" w:rsidRPr="00633AE9"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lang w:val="en-US"/>
        </w:rPr>
      </w:pPr>
      <w:r w:rsidRPr="00633AE9">
        <w:rPr>
          <w:rFonts w:ascii="Times New Roman" w:eastAsia="Times New Roman" w:hAnsi="Times New Roman" w:cs="Times New Roman"/>
          <w:color w:val="000000"/>
          <w:sz w:val="28"/>
          <w:szCs w:val="28"/>
        </w:rPr>
        <w:t xml:space="preserve">Указ Президента Республики Казахстан. О Системе ежегодной оценки эффективности деятельности центральных государственных и местных исполнительных органов областей, городов республиканского значения, столицы: утв. 19 марта 2010 года, №954 // </w:t>
      </w:r>
      <w:hyperlink r:id="rId82">
        <w:r w:rsidRPr="00633AE9">
          <w:rPr>
            <w:rFonts w:ascii="Times New Roman" w:eastAsia="Times New Roman" w:hAnsi="Times New Roman" w:cs="Times New Roman"/>
            <w:color w:val="000000"/>
            <w:sz w:val="28"/>
            <w:szCs w:val="28"/>
          </w:rPr>
          <w:t>https://adilet.zan.kz/rus.</w:t>
        </w:r>
      </w:hyperlink>
      <w:r w:rsidRPr="00633AE9">
        <w:rPr>
          <w:rFonts w:ascii="Times New Roman" w:eastAsia="Times New Roman" w:hAnsi="Times New Roman" w:cs="Times New Roman"/>
          <w:color w:val="000000"/>
          <w:sz w:val="28"/>
          <w:szCs w:val="28"/>
        </w:rPr>
        <w:t xml:space="preserve"> 26.08.2022.</w:t>
      </w:r>
    </w:p>
    <w:p w:rsidR="00EA72C7" w:rsidRPr="00633AE9"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lang w:val="en-US"/>
        </w:rPr>
      </w:pPr>
      <w:r w:rsidRPr="00633AE9">
        <w:rPr>
          <w:rFonts w:ascii="Times New Roman" w:eastAsia="Times New Roman" w:hAnsi="Times New Roman" w:cs="Times New Roman"/>
          <w:color w:val="000000"/>
          <w:sz w:val="28"/>
          <w:szCs w:val="28"/>
        </w:rPr>
        <w:t xml:space="preserve">Приказ Руководителя Администрации Президента Республики Казахстан. Об утверждении Методики расчета индекса общестранового прогресса за отчетный год и Методики проведения ежегодной оценки результативности деятельности оцениваемых государственных органов: утв. 29 января 2020 года, №20-01-38.3 // </w:t>
      </w:r>
      <w:hyperlink r:id="rId83">
        <w:r w:rsidRPr="00633AE9">
          <w:rPr>
            <w:rFonts w:ascii="Times New Roman" w:eastAsia="Times New Roman" w:hAnsi="Times New Roman" w:cs="Times New Roman"/>
            <w:color w:val="000000"/>
            <w:sz w:val="28"/>
            <w:szCs w:val="28"/>
          </w:rPr>
          <w:t>https://adilet.zan.kz/rus/docs/</w:t>
        </w:r>
      </w:hyperlink>
      <w:r w:rsidRPr="00633AE9">
        <w:rPr>
          <w:rFonts w:ascii="Times New Roman" w:eastAsia="Times New Roman" w:hAnsi="Times New Roman" w:cs="Times New Roman"/>
          <w:color w:val="000000"/>
          <w:sz w:val="28"/>
          <w:szCs w:val="28"/>
        </w:rPr>
        <w:t>. 26.08.2022.</w:t>
      </w:r>
    </w:p>
    <w:p w:rsidR="00EA72C7" w:rsidRPr="00633AE9"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lang w:val="en-US"/>
        </w:rPr>
      </w:pPr>
      <w:r w:rsidRPr="00633AE9">
        <w:rPr>
          <w:rFonts w:ascii="Times New Roman" w:eastAsia="Times New Roman" w:hAnsi="Times New Roman" w:cs="Times New Roman"/>
          <w:color w:val="000000"/>
          <w:sz w:val="28"/>
          <w:szCs w:val="28"/>
        </w:rPr>
        <w:t xml:space="preserve">Указ Президента Республики Казахстан. 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утв. 15 февраля 2018 года, №636 // </w:t>
      </w:r>
      <w:hyperlink r:id="rId84">
        <w:r w:rsidRPr="00633AE9">
          <w:rPr>
            <w:rFonts w:ascii="Times New Roman" w:eastAsia="Times New Roman" w:hAnsi="Times New Roman" w:cs="Times New Roman"/>
            <w:color w:val="000000"/>
            <w:sz w:val="28"/>
            <w:szCs w:val="28"/>
          </w:rPr>
          <w:t>https://adilet.zan.kz/rus/docs</w:t>
        </w:r>
      </w:hyperlink>
      <w:r w:rsidRPr="00633AE9">
        <w:rPr>
          <w:rFonts w:ascii="Times New Roman" w:eastAsia="Times New Roman" w:hAnsi="Times New Roman" w:cs="Times New Roman"/>
          <w:color w:val="000000"/>
          <w:sz w:val="28"/>
          <w:szCs w:val="28"/>
        </w:rPr>
        <w:t xml:space="preserve">. </w:t>
      </w:r>
      <w:r w:rsidRPr="00633AE9">
        <w:rPr>
          <w:rFonts w:ascii="Times New Roman" w:eastAsia="Times New Roman" w:hAnsi="Times New Roman" w:cs="Times New Roman"/>
          <w:color w:val="000000"/>
          <w:sz w:val="28"/>
          <w:szCs w:val="28"/>
          <w:lang w:val="en-US"/>
        </w:rPr>
        <w:t>26.08.2022.</w:t>
      </w:r>
    </w:p>
    <w:p w:rsidR="00EA72C7" w:rsidRPr="00633AE9" w:rsidRDefault="00EA72C7" w:rsidP="00EA72C7">
      <w:pPr>
        <w:numPr>
          <w:ilvl w:val="0"/>
          <w:numId w:val="3"/>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lang w:val="en-US"/>
        </w:rPr>
      </w:pPr>
      <w:r w:rsidRPr="00633AE9">
        <w:rPr>
          <w:rFonts w:ascii="Times New Roman" w:eastAsia="Times New Roman" w:hAnsi="Times New Roman" w:cs="Times New Roman"/>
          <w:color w:val="000000"/>
          <w:sz w:val="28"/>
          <w:szCs w:val="28"/>
          <w:lang w:val="en-US"/>
        </w:rPr>
        <w:t>The Environmental Performance Index (EPI) // https://epi.yale.edu/epi-results/2022/component/epi. 05.09.2022.</w:t>
      </w:r>
    </w:p>
    <w:p w:rsidR="00EA72C7" w:rsidRPr="00155F10" w:rsidRDefault="00EA72C7" w:rsidP="00EA72C7">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color w:val="000000"/>
          <w:sz w:val="28"/>
          <w:szCs w:val="28"/>
          <w:lang w:val="en-US"/>
        </w:rPr>
      </w:pPr>
    </w:p>
    <w:p w:rsidR="00EA72C7" w:rsidRPr="00155F10" w:rsidRDefault="00EA72C7" w:rsidP="00EA72C7">
      <w:pPr>
        <w:tabs>
          <w:tab w:val="left" w:pos="1276"/>
        </w:tabs>
        <w:spacing w:after="0" w:line="240" w:lineRule="auto"/>
        <w:ind w:firstLine="709"/>
        <w:jc w:val="both"/>
        <w:rPr>
          <w:rFonts w:ascii="Times New Roman" w:eastAsia="Times New Roman" w:hAnsi="Times New Roman" w:cs="Times New Roman"/>
          <w:sz w:val="28"/>
          <w:szCs w:val="28"/>
          <w:lang w:val="en-US"/>
        </w:rPr>
      </w:pPr>
      <w:bookmarkStart w:id="26" w:name="_heading=h.2bn6wsx" w:colFirst="0" w:colLast="0"/>
      <w:bookmarkEnd w:id="26"/>
    </w:p>
    <w:p w:rsidR="00EA72C7" w:rsidRPr="00155F10" w:rsidRDefault="00EA72C7" w:rsidP="00EA72C7">
      <w:pPr>
        <w:tabs>
          <w:tab w:val="left" w:pos="1276"/>
        </w:tabs>
        <w:spacing w:after="0" w:line="240" w:lineRule="auto"/>
        <w:ind w:left="709"/>
        <w:jc w:val="center"/>
        <w:rPr>
          <w:rFonts w:ascii="Times New Roman" w:eastAsia="Times New Roman" w:hAnsi="Times New Roman" w:cs="Times New Roman"/>
          <w:sz w:val="28"/>
          <w:szCs w:val="28"/>
          <w:lang w:val="en-US"/>
        </w:rPr>
      </w:pPr>
    </w:p>
    <w:p w:rsidR="00EA72C7" w:rsidRPr="00155F10" w:rsidRDefault="00EA72C7" w:rsidP="00EA72C7">
      <w:pPr>
        <w:tabs>
          <w:tab w:val="left" w:pos="1276"/>
        </w:tabs>
        <w:spacing w:after="0" w:line="240" w:lineRule="auto"/>
        <w:ind w:left="709"/>
        <w:jc w:val="center"/>
        <w:rPr>
          <w:rFonts w:ascii="Times New Roman" w:eastAsia="Times New Roman" w:hAnsi="Times New Roman" w:cs="Times New Roman"/>
          <w:sz w:val="28"/>
          <w:szCs w:val="28"/>
          <w:lang w:val="en-US"/>
        </w:rPr>
        <w:sectPr w:rsidR="00EA72C7" w:rsidRPr="00155F10">
          <w:footerReference w:type="default" r:id="rId85"/>
          <w:footerReference w:type="first" r:id="rId86"/>
          <w:pgSz w:w="11906" w:h="16838"/>
          <w:pgMar w:top="1134" w:right="566" w:bottom="1134" w:left="1701" w:header="709" w:footer="709" w:gutter="0"/>
          <w:pgNumType w:start="1"/>
          <w:cols w:space="720"/>
          <w:titlePg/>
        </w:sectPr>
      </w:pPr>
    </w:p>
    <w:p w:rsidR="00EA72C7" w:rsidRDefault="00EA72C7" w:rsidP="00EA72C7">
      <w:pPr>
        <w:pStyle w:val="2"/>
        <w:spacing w:before="0" w:line="240" w:lineRule="auto"/>
        <w:jc w:val="center"/>
        <w:rPr>
          <w:rFonts w:ascii="Times New Roman" w:eastAsia="Times New Roman" w:hAnsi="Times New Roman" w:cs="Times New Roman"/>
          <w:color w:val="000000"/>
          <w:sz w:val="28"/>
          <w:szCs w:val="28"/>
        </w:rPr>
      </w:pPr>
      <w:bookmarkStart w:id="27" w:name="_heading=h.qsh70q" w:colFirst="0" w:colLast="0"/>
      <w:bookmarkEnd w:id="27"/>
      <w:r>
        <w:rPr>
          <w:rFonts w:ascii="Times New Roman" w:eastAsia="Times New Roman" w:hAnsi="Times New Roman" w:cs="Times New Roman"/>
          <w:color w:val="000000"/>
          <w:sz w:val="28"/>
          <w:szCs w:val="28"/>
        </w:rPr>
        <w:lastRenderedPageBreak/>
        <w:t xml:space="preserve">ПРИЛОЖЕНИЕ А </w:t>
      </w:r>
    </w:p>
    <w:p w:rsidR="00EA72C7" w:rsidRDefault="00EA72C7" w:rsidP="00EA72C7">
      <w:pPr>
        <w:pStyle w:val="2"/>
        <w:spacing w:before="0" w:line="240" w:lineRule="auto"/>
        <w:jc w:val="center"/>
        <w:rPr>
          <w:rFonts w:ascii="Times New Roman" w:eastAsia="Times New Roman" w:hAnsi="Times New Roman" w:cs="Times New Roman"/>
          <w:color w:val="000000"/>
          <w:sz w:val="28"/>
          <w:szCs w:val="28"/>
        </w:rPr>
      </w:pPr>
    </w:p>
    <w:p w:rsidR="00EA72C7" w:rsidRDefault="00EA72C7" w:rsidP="00EA72C7">
      <w:pPr>
        <w:pStyle w:val="2"/>
        <w:spacing w:before="0" w:line="240" w:lineRule="auto"/>
        <w:jc w:val="both"/>
        <w:rPr>
          <w:b w:val="0"/>
        </w:rPr>
      </w:pPr>
      <w:r>
        <w:rPr>
          <w:rFonts w:ascii="Times New Roman" w:eastAsia="Times New Roman" w:hAnsi="Times New Roman" w:cs="Times New Roman"/>
          <w:b w:val="0"/>
          <w:color w:val="000000"/>
          <w:sz w:val="28"/>
          <w:szCs w:val="28"/>
        </w:rPr>
        <w:t>Таблица А.1 – Оценка экономической ценности ВБУ Талдыкольской системы озер (Категория 1: группа озер Малый Талдыколь + Категория 2: оз. Большой Талдыколь, оз. Ульмес)</w:t>
      </w:r>
    </w:p>
    <w:p w:rsidR="00EA72C7" w:rsidRDefault="00EA72C7" w:rsidP="00EA72C7">
      <w:pPr>
        <w:spacing w:after="0" w:line="240" w:lineRule="auto"/>
        <w:jc w:val="right"/>
        <w:rPr>
          <w:sz w:val="16"/>
          <w:szCs w:val="16"/>
        </w:rPr>
      </w:pPr>
    </w:p>
    <w:tbl>
      <w:tblPr>
        <w:tblW w:w="145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3"/>
        <w:gridCol w:w="14"/>
        <w:gridCol w:w="1302"/>
        <w:gridCol w:w="14"/>
        <w:gridCol w:w="1120"/>
        <w:gridCol w:w="783"/>
        <w:gridCol w:w="14"/>
        <w:gridCol w:w="770"/>
        <w:gridCol w:w="28"/>
        <w:gridCol w:w="1400"/>
        <w:gridCol w:w="14"/>
        <w:gridCol w:w="812"/>
        <w:gridCol w:w="14"/>
        <w:gridCol w:w="854"/>
        <w:gridCol w:w="14"/>
        <w:gridCol w:w="1372"/>
        <w:gridCol w:w="14"/>
        <w:gridCol w:w="1217"/>
        <w:gridCol w:w="714"/>
        <w:gridCol w:w="1302"/>
      </w:tblGrid>
      <w:tr w:rsidR="00EA72C7" w:rsidTr="003E7002">
        <w:trPr>
          <w:trHeight w:val="79"/>
        </w:trPr>
        <w:tc>
          <w:tcPr>
            <w:tcW w:w="2807" w:type="dxa"/>
            <w:gridSpan w:val="2"/>
            <w:vMerge w:val="restart"/>
            <w:shd w:val="clear" w:color="auto" w:fill="auto"/>
            <w:vAlign w:val="center"/>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Наименование </w:t>
            </w:r>
          </w:p>
        </w:tc>
        <w:tc>
          <w:tcPr>
            <w:tcW w:w="1316" w:type="dxa"/>
            <w:gridSpan w:val="2"/>
            <w:vMerge w:val="restart"/>
            <w:shd w:val="clear" w:color="auto" w:fill="auto"/>
            <w:vAlign w:val="center"/>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Ценность на единицу, тыс. тг</w:t>
            </w:r>
          </w:p>
        </w:tc>
        <w:tc>
          <w:tcPr>
            <w:tcW w:w="1120" w:type="dxa"/>
            <w:vMerge w:val="restart"/>
            <w:shd w:val="clear" w:color="auto" w:fill="auto"/>
            <w:vAlign w:val="center"/>
          </w:tcPr>
          <w:p w:rsidR="00EA72C7" w:rsidRDefault="00EA72C7" w:rsidP="003E7002">
            <w:pPr>
              <w:spacing w:after="0" w:line="240" w:lineRule="auto"/>
              <w:jc w:val="center"/>
              <w:rPr>
                <w:rFonts w:ascii="Times New Roman" w:eastAsia="Times New Roman" w:hAnsi="Times New Roman" w:cs="Times New Roman"/>
                <w:color w:val="000000"/>
                <w:sz w:val="24"/>
                <w:szCs w:val="24"/>
              </w:rPr>
            </w:pPr>
          </w:p>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Ед. изм.</w:t>
            </w:r>
          </w:p>
        </w:tc>
        <w:tc>
          <w:tcPr>
            <w:tcW w:w="3009" w:type="dxa"/>
            <w:gridSpan w:val="6"/>
            <w:shd w:val="clear" w:color="auto" w:fill="auto"/>
            <w:vAlign w:val="center"/>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Категория 1</w:t>
            </w:r>
          </w:p>
        </w:tc>
        <w:tc>
          <w:tcPr>
            <w:tcW w:w="3066" w:type="dxa"/>
            <w:gridSpan w:val="5"/>
            <w:shd w:val="clear" w:color="auto" w:fill="auto"/>
            <w:vAlign w:val="center"/>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Категория 2</w:t>
            </w:r>
          </w:p>
        </w:tc>
        <w:tc>
          <w:tcPr>
            <w:tcW w:w="3247" w:type="dxa"/>
            <w:gridSpan w:val="4"/>
            <w:shd w:val="clear" w:color="auto" w:fill="auto"/>
            <w:vAlign w:val="center"/>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p>
        </w:tc>
      </w:tr>
      <w:tr w:rsidR="00EA72C7" w:rsidTr="003E7002">
        <w:trPr>
          <w:trHeight w:val="190"/>
        </w:trPr>
        <w:tc>
          <w:tcPr>
            <w:tcW w:w="2807" w:type="dxa"/>
            <w:gridSpan w:val="2"/>
            <w:vMerge/>
            <w:shd w:val="clear" w:color="auto" w:fill="auto"/>
            <w:vAlign w:val="center"/>
          </w:tcPr>
          <w:p w:rsidR="00EA72C7" w:rsidRDefault="00EA72C7" w:rsidP="003E700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16" w:type="dxa"/>
            <w:gridSpan w:val="2"/>
            <w:vMerge/>
            <w:shd w:val="clear" w:color="auto" w:fill="auto"/>
            <w:vAlign w:val="center"/>
          </w:tcPr>
          <w:p w:rsidR="00EA72C7" w:rsidRDefault="00EA72C7" w:rsidP="003E700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20" w:type="dxa"/>
            <w:vMerge/>
            <w:shd w:val="clear" w:color="auto" w:fill="auto"/>
            <w:vAlign w:val="center"/>
          </w:tcPr>
          <w:p w:rsidR="00EA72C7" w:rsidRDefault="00EA72C7" w:rsidP="003E700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783" w:type="dxa"/>
            <w:shd w:val="clear" w:color="auto" w:fill="auto"/>
            <w:vAlign w:val="center"/>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 во</w:t>
            </w:r>
          </w:p>
        </w:tc>
        <w:tc>
          <w:tcPr>
            <w:tcW w:w="812" w:type="dxa"/>
            <w:gridSpan w:val="3"/>
            <w:shd w:val="clear" w:color="auto" w:fill="auto"/>
            <w:vAlign w:val="center"/>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ед. изм.</w:t>
            </w:r>
          </w:p>
        </w:tc>
        <w:tc>
          <w:tcPr>
            <w:tcW w:w="1414" w:type="dxa"/>
            <w:gridSpan w:val="2"/>
            <w:shd w:val="clear" w:color="auto" w:fill="auto"/>
            <w:vAlign w:val="center"/>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стоимость по кат. 1, тыс. тг.</w:t>
            </w:r>
          </w:p>
        </w:tc>
        <w:tc>
          <w:tcPr>
            <w:tcW w:w="812" w:type="dxa"/>
            <w:shd w:val="clear" w:color="auto" w:fill="auto"/>
            <w:vAlign w:val="center"/>
          </w:tcPr>
          <w:p w:rsidR="00EA72C7" w:rsidRDefault="00EA72C7" w:rsidP="003E7002">
            <w:pPr>
              <w:spacing w:after="0" w:line="240" w:lineRule="auto"/>
              <w:ind w:left="-5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w:t>
            </w:r>
          </w:p>
        </w:tc>
        <w:tc>
          <w:tcPr>
            <w:tcW w:w="882" w:type="dxa"/>
            <w:gridSpan w:val="3"/>
            <w:shd w:val="clear" w:color="auto" w:fill="auto"/>
            <w:vAlign w:val="center"/>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ед. изм.</w:t>
            </w:r>
          </w:p>
        </w:tc>
        <w:tc>
          <w:tcPr>
            <w:tcW w:w="1372" w:type="dxa"/>
            <w:shd w:val="clear" w:color="auto" w:fill="auto"/>
            <w:vAlign w:val="center"/>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стоимость по кат. 2, тыс. тг.</w:t>
            </w:r>
          </w:p>
        </w:tc>
        <w:tc>
          <w:tcPr>
            <w:tcW w:w="1231" w:type="dxa"/>
            <w:gridSpan w:val="2"/>
            <w:shd w:val="clear" w:color="auto" w:fill="auto"/>
            <w:vAlign w:val="center"/>
          </w:tcPr>
          <w:p w:rsidR="00EA72C7" w:rsidRDefault="00EA72C7" w:rsidP="003E7002">
            <w:pPr>
              <w:spacing w:after="0" w:line="240" w:lineRule="auto"/>
              <w:ind w:left="-82" w:right="-1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суммарное количест во</w:t>
            </w:r>
          </w:p>
        </w:tc>
        <w:tc>
          <w:tcPr>
            <w:tcW w:w="714" w:type="dxa"/>
            <w:shd w:val="clear" w:color="auto" w:fill="auto"/>
            <w:vAlign w:val="center"/>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ед. изм.</w:t>
            </w:r>
          </w:p>
        </w:tc>
        <w:tc>
          <w:tcPr>
            <w:tcW w:w="1302" w:type="dxa"/>
            <w:shd w:val="clear" w:color="auto" w:fill="auto"/>
            <w:vAlign w:val="center"/>
          </w:tcPr>
          <w:p w:rsidR="00EA72C7" w:rsidRDefault="00EA72C7" w:rsidP="003E7002">
            <w:pPr>
              <w:spacing w:after="0" w:line="240" w:lineRule="auto"/>
              <w:ind w:left="-5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 стоимость, тыс. тг.</w:t>
            </w:r>
          </w:p>
        </w:tc>
      </w:tr>
      <w:tr w:rsidR="00EA72C7" w:rsidTr="003E7002">
        <w:trPr>
          <w:trHeight w:val="190"/>
        </w:trPr>
        <w:tc>
          <w:tcPr>
            <w:tcW w:w="2807" w:type="dxa"/>
            <w:gridSpan w:val="2"/>
            <w:shd w:val="clear" w:color="auto" w:fill="auto"/>
            <w:vAlign w:val="center"/>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16" w:type="dxa"/>
            <w:gridSpan w:val="2"/>
            <w:shd w:val="clear" w:color="auto" w:fill="auto"/>
            <w:vAlign w:val="center"/>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20" w:type="dxa"/>
            <w:shd w:val="clear" w:color="auto" w:fill="auto"/>
            <w:vAlign w:val="center"/>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83" w:type="dxa"/>
            <w:shd w:val="clear" w:color="auto" w:fill="auto"/>
            <w:vAlign w:val="center"/>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12" w:type="dxa"/>
            <w:gridSpan w:val="3"/>
            <w:shd w:val="clear" w:color="auto" w:fill="auto"/>
            <w:vAlign w:val="center"/>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14" w:type="dxa"/>
            <w:gridSpan w:val="2"/>
            <w:shd w:val="clear" w:color="auto" w:fill="auto"/>
            <w:vAlign w:val="center"/>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812" w:type="dxa"/>
            <w:shd w:val="clear" w:color="auto" w:fill="auto"/>
            <w:vAlign w:val="center"/>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882" w:type="dxa"/>
            <w:gridSpan w:val="3"/>
            <w:shd w:val="clear" w:color="auto" w:fill="auto"/>
            <w:vAlign w:val="center"/>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372" w:type="dxa"/>
            <w:shd w:val="clear" w:color="auto" w:fill="auto"/>
            <w:vAlign w:val="center"/>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231" w:type="dxa"/>
            <w:gridSpan w:val="2"/>
            <w:shd w:val="clear" w:color="auto" w:fill="auto"/>
            <w:vAlign w:val="center"/>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714" w:type="dxa"/>
            <w:shd w:val="clear" w:color="auto" w:fill="auto"/>
            <w:vAlign w:val="center"/>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302" w:type="dxa"/>
            <w:shd w:val="clear" w:color="auto" w:fill="auto"/>
            <w:vAlign w:val="center"/>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EA72C7" w:rsidTr="003E7002">
        <w:trPr>
          <w:trHeight w:val="64"/>
        </w:trPr>
        <w:tc>
          <w:tcPr>
            <w:tcW w:w="2807" w:type="dxa"/>
            <w:gridSpan w:val="2"/>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Снабжающие услуги</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2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83"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1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1 295 296</w:t>
            </w:r>
          </w:p>
        </w:tc>
        <w:tc>
          <w:tcPr>
            <w:tcW w:w="81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8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7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2 834 872</w:t>
            </w:r>
          </w:p>
        </w:tc>
        <w:tc>
          <w:tcPr>
            <w:tcW w:w="1231"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4 130 168</w:t>
            </w:r>
          </w:p>
        </w:tc>
      </w:tr>
      <w:tr w:rsidR="00EA72C7" w:rsidTr="003E7002">
        <w:trPr>
          <w:trHeight w:val="300"/>
        </w:trPr>
        <w:tc>
          <w:tcPr>
            <w:tcW w:w="2807" w:type="dxa"/>
            <w:gridSpan w:val="2"/>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Еда</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325,78</w:t>
            </w:r>
          </w:p>
        </w:tc>
        <w:tc>
          <w:tcPr>
            <w:tcW w:w="112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тыс.тг/га</w:t>
            </w:r>
          </w:p>
        </w:tc>
        <w:tc>
          <w:tcPr>
            <w:tcW w:w="783"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81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1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475 730</w:t>
            </w:r>
          </w:p>
        </w:tc>
        <w:tc>
          <w:tcPr>
            <w:tcW w:w="81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8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7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1 048 561</w:t>
            </w:r>
          </w:p>
        </w:tc>
        <w:tc>
          <w:tcPr>
            <w:tcW w:w="1231"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4 679</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1 524 291</w:t>
            </w:r>
          </w:p>
        </w:tc>
      </w:tr>
      <w:tr w:rsidR="00EA72C7" w:rsidTr="003E7002">
        <w:trPr>
          <w:trHeight w:val="300"/>
        </w:trPr>
        <w:tc>
          <w:tcPr>
            <w:tcW w:w="2807" w:type="dxa"/>
            <w:gridSpan w:val="2"/>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Вода</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216,48</w:t>
            </w:r>
          </w:p>
        </w:tc>
        <w:tc>
          <w:tcPr>
            <w:tcW w:w="112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тыс.тг/га</w:t>
            </w:r>
          </w:p>
        </w:tc>
        <w:tc>
          <w:tcPr>
            <w:tcW w:w="783"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81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1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316 120</w:t>
            </w:r>
          </w:p>
        </w:tc>
        <w:tc>
          <w:tcPr>
            <w:tcW w:w="81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8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7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696 764</w:t>
            </w:r>
          </w:p>
        </w:tc>
        <w:tc>
          <w:tcPr>
            <w:tcW w:w="1231"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4 679</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1 012 884</w:t>
            </w:r>
          </w:p>
        </w:tc>
      </w:tr>
      <w:tr w:rsidR="00EA72C7" w:rsidTr="003E7002">
        <w:trPr>
          <w:trHeight w:val="300"/>
        </w:trPr>
        <w:tc>
          <w:tcPr>
            <w:tcW w:w="2807" w:type="dxa"/>
            <w:gridSpan w:val="2"/>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Сырье</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225,50</w:t>
            </w:r>
          </w:p>
        </w:tc>
        <w:tc>
          <w:tcPr>
            <w:tcW w:w="112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тыс.тг/га</w:t>
            </w:r>
          </w:p>
        </w:tc>
        <w:tc>
          <w:tcPr>
            <w:tcW w:w="783"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81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1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329 292</w:t>
            </w:r>
          </w:p>
        </w:tc>
        <w:tc>
          <w:tcPr>
            <w:tcW w:w="81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8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7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725 796</w:t>
            </w:r>
          </w:p>
        </w:tc>
        <w:tc>
          <w:tcPr>
            <w:tcW w:w="1231"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4 679</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1 055 088</w:t>
            </w:r>
          </w:p>
        </w:tc>
      </w:tr>
      <w:tr w:rsidR="00EA72C7" w:rsidTr="003E7002">
        <w:trPr>
          <w:trHeight w:val="300"/>
        </w:trPr>
        <w:tc>
          <w:tcPr>
            <w:tcW w:w="2807" w:type="dxa"/>
            <w:gridSpan w:val="2"/>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Генетические ресурсы</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2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тыс.тг/га</w:t>
            </w:r>
          </w:p>
        </w:tc>
        <w:tc>
          <w:tcPr>
            <w:tcW w:w="783"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81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1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1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8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7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31"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4 679</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EA72C7" w:rsidTr="003E7002">
        <w:trPr>
          <w:trHeight w:val="300"/>
        </w:trPr>
        <w:tc>
          <w:tcPr>
            <w:tcW w:w="2807" w:type="dxa"/>
            <w:gridSpan w:val="2"/>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Лекарственные ресурсы</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52,53</w:t>
            </w:r>
          </w:p>
        </w:tc>
        <w:tc>
          <w:tcPr>
            <w:tcW w:w="112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тыс.тг/га</w:t>
            </w:r>
          </w:p>
        </w:tc>
        <w:tc>
          <w:tcPr>
            <w:tcW w:w="783"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81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1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76 706</w:t>
            </w:r>
          </w:p>
        </w:tc>
        <w:tc>
          <w:tcPr>
            <w:tcW w:w="81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8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7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169 068</w:t>
            </w:r>
          </w:p>
        </w:tc>
        <w:tc>
          <w:tcPr>
            <w:tcW w:w="1231"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4 679</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245 773</w:t>
            </w:r>
          </w:p>
        </w:tc>
      </w:tr>
      <w:tr w:rsidR="00EA72C7" w:rsidTr="003E7002">
        <w:trPr>
          <w:trHeight w:val="300"/>
        </w:trPr>
        <w:tc>
          <w:tcPr>
            <w:tcW w:w="2807" w:type="dxa"/>
            <w:gridSpan w:val="2"/>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Декоративные ресурсы</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60,49</w:t>
            </w:r>
          </w:p>
        </w:tc>
        <w:tc>
          <w:tcPr>
            <w:tcW w:w="112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тыс.тг/га</w:t>
            </w:r>
          </w:p>
        </w:tc>
        <w:tc>
          <w:tcPr>
            <w:tcW w:w="783"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81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1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88 328</w:t>
            </w:r>
          </w:p>
        </w:tc>
        <w:tc>
          <w:tcPr>
            <w:tcW w:w="81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8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7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194 684</w:t>
            </w:r>
          </w:p>
        </w:tc>
        <w:tc>
          <w:tcPr>
            <w:tcW w:w="1231"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4 679</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283 012</w:t>
            </w:r>
          </w:p>
        </w:tc>
      </w:tr>
      <w:tr w:rsidR="00EA72C7" w:rsidTr="003E7002">
        <w:trPr>
          <w:trHeight w:val="70"/>
        </w:trPr>
        <w:tc>
          <w:tcPr>
            <w:tcW w:w="2807" w:type="dxa"/>
            <w:gridSpan w:val="2"/>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Рыбные ресурсы</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166,67</w:t>
            </w:r>
          </w:p>
        </w:tc>
        <w:tc>
          <w:tcPr>
            <w:tcW w:w="112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тыс.тг/тн</w:t>
            </w:r>
          </w:p>
        </w:tc>
        <w:tc>
          <w:tcPr>
            <w:tcW w:w="783"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54,72</w:t>
            </w:r>
          </w:p>
        </w:tc>
        <w:tc>
          <w:tcPr>
            <w:tcW w:w="81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тн</w:t>
            </w:r>
          </w:p>
        </w:tc>
        <w:tc>
          <w:tcPr>
            <w:tcW w:w="141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9 120</w:t>
            </w:r>
          </w:p>
        </w:tc>
        <w:tc>
          <w:tcPr>
            <w:tcW w:w="81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8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кг</w:t>
            </w:r>
          </w:p>
        </w:tc>
        <w:tc>
          <w:tcPr>
            <w:tcW w:w="137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p>
        </w:tc>
        <w:tc>
          <w:tcPr>
            <w:tcW w:w="1231"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3 273</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кг</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9 120</w:t>
            </w:r>
          </w:p>
        </w:tc>
      </w:tr>
      <w:tr w:rsidR="00EA72C7" w:rsidTr="003E7002">
        <w:trPr>
          <w:trHeight w:val="315"/>
        </w:trPr>
        <w:tc>
          <w:tcPr>
            <w:tcW w:w="2807" w:type="dxa"/>
            <w:gridSpan w:val="2"/>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Регулирующие услуги</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p>
        </w:tc>
        <w:tc>
          <w:tcPr>
            <w:tcW w:w="112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p>
        </w:tc>
        <w:tc>
          <w:tcPr>
            <w:tcW w:w="783"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p>
        </w:tc>
        <w:tc>
          <w:tcPr>
            <w:tcW w:w="81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p>
        </w:tc>
        <w:tc>
          <w:tcPr>
            <w:tcW w:w="141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13 452 936</w:t>
            </w:r>
          </w:p>
        </w:tc>
        <w:tc>
          <w:tcPr>
            <w:tcW w:w="81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p>
        </w:tc>
        <w:tc>
          <w:tcPr>
            <w:tcW w:w="88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p>
        </w:tc>
        <w:tc>
          <w:tcPr>
            <w:tcW w:w="137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29 651 742</w:t>
            </w:r>
          </w:p>
        </w:tc>
        <w:tc>
          <w:tcPr>
            <w:tcW w:w="1231"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43 104 677</w:t>
            </w:r>
          </w:p>
        </w:tc>
      </w:tr>
      <w:tr w:rsidR="00EA72C7" w:rsidTr="003E7002">
        <w:trPr>
          <w:trHeight w:val="600"/>
        </w:trPr>
        <w:tc>
          <w:tcPr>
            <w:tcW w:w="2807" w:type="dxa"/>
            <w:gridSpan w:val="2"/>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Регулирование качества воздуха</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2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тыс.тг/га</w:t>
            </w:r>
          </w:p>
        </w:tc>
        <w:tc>
          <w:tcPr>
            <w:tcW w:w="783"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81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1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1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8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7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31"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4 679</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EA72C7" w:rsidTr="003E7002">
        <w:trPr>
          <w:trHeight w:val="300"/>
        </w:trPr>
        <w:tc>
          <w:tcPr>
            <w:tcW w:w="2807" w:type="dxa"/>
            <w:gridSpan w:val="2"/>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Регулирование климата</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258,92</w:t>
            </w:r>
          </w:p>
        </w:tc>
        <w:tc>
          <w:tcPr>
            <w:tcW w:w="112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тыс.тг/га</w:t>
            </w:r>
          </w:p>
        </w:tc>
        <w:tc>
          <w:tcPr>
            <w:tcW w:w="783"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81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1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378 105</w:t>
            </w:r>
          </w:p>
        </w:tc>
        <w:tc>
          <w:tcPr>
            <w:tcW w:w="81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8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7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833 384</w:t>
            </w:r>
          </w:p>
        </w:tc>
        <w:tc>
          <w:tcPr>
            <w:tcW w:w="1231"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4 679</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1 211 489</w:t>
            </w:r>
          </w:p>
        </w:tc>
      </w:tr>
      <w:tr w:rsidR="00EA72C7" w:rsidTr="003E7002">
        <w:trPr>
          <w:trHeight w:val="345"/>
        </w:trPr>
        <w:tc>
          <w:tcPr>
            <w:tcW w:w="2807" w:type="dxa"/>
            <w:gridSpan w:val="2"/>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Управление нарушениями</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1 584,32</w:t>
            </w:r>
          </w:p>
        </w:tc>
        <w:tc>
          <w:tcPr>
            <w:tcW w:w="112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тыс.тг/га</w:t>
            </w:r>
          </w:p>
        </w:tc>
        <w:tc>
          <w:tcPr>
            <w:tcW w:w="783"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81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1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2 313 567</w:t>
            </w:r>
          </w:p>
        </w:tc>
        <w:tc>
          <w:tcPr>
            <w:tcW w:w="81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8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7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5 099 355</w:t>
            </w:r>
          </w:p>
        </w:tc>
        <w:tc>
          <w:tcPr>
            <w:tcW w:w="1231"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4 679</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7 412 922</w:t>
            </w:r>
          </w:p>
        </w:tc>
      </w:tr>
      <w:tr w:rsidR="00EA72C7" w:rsidTr="003E7002">
        <w:trPr>
          <w:trHeight w:val="600"/>
        </w:trPr>
        <w:tc>
          <w:tcPr>
            <w:tcW w:w="2807" w:type="dxa"/>
            <w:gridSpan w:val="2"/>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Регулирование водных потоков</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2 974,44</w:t>
            </w:r>
          </w:p>
        </w:tc>
        <w:tc>
          <w:tcPr>
            <w:tcW w:w="112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тыс.тг/га</w:t>
            </w:r>
          </w:p>
        </w:tc>
        <w:tc>
          <w:tcPr>
            <w:tcW w:w="783"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81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1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4 343 556</w:t>
            </w:r>
          </w:p>
        </w:tc>
        <w:tc>
          <w:tcPr>
            <w:tcW w:w="81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82"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7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9 573 672</w:t>
            </w:r>
          </w:p>
        </w:tc>
        <w:tc>
          <w:tcPr>
            <w:tcW w:w="1231"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4 679</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13 917 228</w:t>
            </w:r>
          </w:p>
        </w:tc>
      </w:tr>
      <w:tr w:rsidR="00EA72C7" w:rsidTr="003E7002">
        <w:trPr>
          <w:trHeight w:val="300"/>
        </w:trPr>
        <w:tc>
          <w:tcPr>
            <w:tcW w:w="2807" w:type="dxa"/>
            <w:gridSpan w:val="2"/>
            <w:tcBorders>
              <w:bottom w:val="nil"/>
            </w:tcBorders>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Обработка отходов</w:t>
            </w:r>
          </w:p>
        </w:tc>
        <w:tc>
          <w:tcPr>
            <w:tcW w:w="1316" w:type="dxa"/>
            <w:gridSpan w:val="2"/>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1 599,70</w:t>
            </w:r>
          </w:p>
        </w:tc>
        <w:tc>
          <w:tcPr>
            <w:tcW w:w="1120" w:type="dxa"/>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тыс.тг/га</w:t>
            </w:r>
          </w:p>
        </w:tc>
        <w:tc>
          <w:tcPr>
            <w:tcW w:w="783" w:type="dxa"/>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812" w:type="dxa"/>
            <w:gridSpan w:val="3"/>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14" w:type="dxa"/>
            <w:gridSpan w:val="2"/>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2 336 036</w:t>
            </w:r>
          </w:p>
        </w:tc>
        <w:tc>
          <w:tcPr>
            <w:tcW w:w="812" w:type="dxa"/>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82" w:type="dxa"/>
            <w:gridSpan w:val="3"/>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72" w:type="dxa"/>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5 148 880</w:t>
            </w:r>
          </w:p>
        </w:tc>
        <w:tc>
          <w:tcPr>
            <w:tcW w:w="1231" w:type="dxa"/>
            <w:gridSpan w:val="2"/>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4 679</w:t>
            </w:r>
          </w:p>
        </w:tc>
        <w:tc>
          <w:tcPr>
            <w:tcW w:w="714" w:type="dxa"/>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02" w:type="dxa"/>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7 484 916</w:t>
            </w:r>
          </w:p>
        </w:tc>
      </w:tr>
      <w:tr w:rsidR="00EA72C7" w:rsidTr="003E7002">
        <w:trPr>
          <w:trHeight w:val="300"/>
        </w:trPr>
        <w:tc>
          <w:tcPr>
            <w:tcW w:w="2807" w:type="dxa"/>
            <w:gridSpan w:val="2"/>
            <w:tcBorders>
              <w:bottom w:val="nil"/>
            </w:tcBorders>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Предотвращение эрозии</w:t>
            </w:r>
          </w:p>
        </w:tc>
        <w:tc>
          <w:tcPr>
            <w:tcW w:w="1316" w:type="dxa"/>
            <w:gridSpan w:val="2"/>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1 383,23</w:t>
            </w:r>
          </w:p>
        </w:tc>
        <w:tc>
          <w:tcPr>
            <w:tcW w:w="1120" w:type="dxa"/>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тыс.тг/га</w:t>
            </w:r>
          </w:p>
        </w:tc>
        <w:tc>
          <w:tcPr>
            <w:tcW w:w="783" w:type="dxa"/>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812" w:type="dxa"/>
            <w:gridSpan w:val="3"/>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14" w:type="dxa"/>
            <w:gridSpan w:val="2"/>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2 019 916</w:t>
            </w:r>
          </w:p>
        </w:tc>
        <w:tc>
          <w:tcPr>
            <w:tcW w:w="812" w:type="dxa"/>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82" w:type="dxa"/>
            <w:gridSpan w:val="3"/>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72" w:type="dxa"/>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4 452 116</w:t>
            </w:r>
          </w:p>
        </w:tc>
        <w:tc>
          <w:tcPr>
            <w:tcW w:w="1231" w:type="dxa"/>
            <w:gridSpan w:val="2"/>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4 679</w:t>
            </w:r>
          </w:p>
        </w:tc>
        <w:tc>
          <w:tcPr>
            <w:tcW w:w="714" w:type="dxa"/>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02" w:type="dxa"/>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6 472 032</w:t>
            </w:r>
          </w:p>
        </w:tc>
      </w:tr>
      <w:tr w:rsidR="00EA72C7" w:rsidTr="003E7002">
        <w:trPr>
          <w:trHeight w:val="300"/>
        </w:trPr>
        <w:tc>
          <w:tcPr>
            <w:tcW w:w="2807" w:type="dxa"/>
            <w:gridSpan w:val="2"/>
            <w:tcBorders>
              <w:bottom w:val="nil"/>
            </w:tcBorders>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Круговорот питательных веществ</w:t>
            </w:r>
          </w:p>
        </w:tc>
        <w:tc>
          <w:tcPr>
            <w:tcW w:w="1316" w:type="dxa"/>
            <w:gridSpan w:val="2"/>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908,89</w:t>
            </w:r>
          </w:p>
        </w:tc>
        <w:tc>
          <w:tcPr>
            <w:tcW w:w="1120" w:type="dxa"/>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тыс.тг/га</w:t>
            </w:r>
          </w:p>
        </w:tc>
        <w:tc>
          <w:tcPr>
            <w:tcW w:w="783" w:type="dxa"/>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812" w:type="dxa"/>
            <w:gridSpan w:val="3"/>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14" w:type="dxa"/>
            <w:gridSpan w:val="2"/>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1 327 241</w:t>
            </w:r>
          </w:p>
        </w:tc>
        <w:tc>
          <w:tcPr>
            <w:tcW w:w="812" w:type="dxa"/>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82" w:type="dxa"/>
            <w:gridSpan w:val="3"/>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72" w:type="dxa"/>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2 925 383</w:t>
            </w:r>
          </w:p>
        </w:tc>
        <w:tc>
          <w:tcPr>
            <w:tcW w:w="1231" w:type="dxa"/>
            <w:gridSpan w:val="2"/>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4 679</w:t>
            </w:r>
          </w:p>
        </w:tc>
        <w:tc>
          <w:tcPr>
            <w:tcW w:w="714" w:type="dxa"/>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02" w:type="dxa"/>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4 252 624</w:t>
            </w:r>
          </w:p>
        </w:tc>
      </w:tr>
      <w:tr w:rsidR="00EA72C7" w:rsidTr="003E7002">
        <w:trPr>
          <w:trHeight w:val="134"/>
        </w:trPr>
        <w:tc>
          <w:tcPr>
            <w:tcW w:w="14565" w:type="dxa"/>
            <w:gridSpan w:val="20"/>
            <w:tcBorders>
              <w:top w:val="nil"/>
              <w:left w:val="nil"/>
              <w:right w:val="nil"/>
            </w:tcBorders>
            <w:shd w:val="clear" w:color="auto" w:fill="auto"/>
            <w:vAlign w:val="bottom"/>
          </w:tcPr>
          <w:p w:rsidR="00EA72C7" w:rsidRDefault="00EA72C7" w:rsidP="003E7002">
            <w:pPr>
              <w:spacing w:after="0" w:line="240" w:lineRule="auto"/>
              <w:ind w:left="-119"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Продолжение таблицы А.1</w:t>
            </w:r>
          </w:p>
          <w:p w:rsidR="00EA72C7" w:rsidRDefault="00EA72C7" w:rsidP="003E7002">
            <w:pPr>
              <w:spacing w:after="0" w:line="240" w:lineRule="auto"/>
              <w:ind w:left="-119" w:right="-94"/>
              <w:jc w:val="both"/>
              <w:rPr>
                <w:rFonts w:ascii="Times New Roman" w:eastAsia="Times New Roman" w:hAnsi="Times New Roman" w:cs="Times New Roman"/>
                <w:color w:val="000000"/>
                <w:sz w:val="16"/>
                <w:szCs w:val="16"/>
              </w:rPr>
            </w:pPr>
          </w:p>
        </w:tc>
      </w:tr>
      <w:tr w:rsidR="00EA72C7" w:rsidTr="003E7002">
        <w:trPr>
          <w:trHeight w:val="64"/>
        </w:trPr>
        <w:tc>
          <w:tcPr>
            <w:tcW w:w="2793" w:type="dxa"/>
            <w:shd w:val="clear" w:color="auto" w:fill="auto"/>
            <w:vAlign w:val="bottom"/>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3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97"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77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28"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84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85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40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217"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EA72C7" w:rsidTr="003E7002">
        <w:trPr>
          <w:trHeight w:val="300"/>
        </w:trPr>
        <w:tc>
          <w:tcPr>
            <w:tcW w:w="2793" w:type="dxa"/>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Опыление</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тыс.тг/га</w:t>
            </w:r>
          </w:p>
        </w:tc>
        <w:tc>
          <w:tcPr>
            <w:tcW w:w="797"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77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28"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4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5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0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17"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4 679</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EA72C7" w:rsidTr="003E7002">
        <w:trPr>
          <w:trHeight w:val="330"/>
        </w:trPr>
        <w:tc>
          <w:tcPr>
            <w:tcW w:w="2793" w:type="dxa"/>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Биологический контроль</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502,99</w:t>
            </w:r>
          </w:p>
        </w:tc>
        <w:tc>
          <w:tcPr>
            <w:tcW w:w="113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тыс.тг/га</w:t>
            </w:r>
          </w:p>
        </w:tc>
        <w:tc>
          <w:tcPr>
            <w:tcW w:w="797"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77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28"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734 515</w:t>
            </w:r>
          </w:p>
        </w:tc>
        <w:tc>
          <w:tcPr>
            <w:tcW w:w="84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5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0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1 618 951</w:t>
            </w:r>
          </w:p>
        </w:tc>
        <w:tc>
          <w:tcPr>
            <w:tcW w:w="1217"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4 679</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2 353 466</w:t>
            </w:r>
          </w:p>
        </w:tc>
      </w:tr>
      <w:tr w:rsidR="00EA72C7" w:rsidTr="003E7002">
        <w:trPr>
          <w:trHeight w:val="315"/>
        </w:trPr>
        <w:tc>
          <w:tcPr>
            <w:tcW w:w="2793" w:type="dxa"/>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Услуги здравоохранения</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97"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77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p>
        </w:tc>
        <w:tc>
          <w:tcPr>
            <w:tcW w:w="1428"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4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5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0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w:t>
            </w:r>
          </w:p>
        </w:tc>
        <w:tc>
          <w:tcPr>
            <w:tcW w:w="1217"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4 679</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EA72C7" w:rsidTr="003E7002">
        <w:trPr>
          <w:trHeight w:val="315"/>
        </w:trPr>
        <w:tc>
          <w:tcPr>
            <w:tcW w:w="2793" w:type="dxa"/>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Услуги среды обитания</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97"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7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p>
        </w:tc>
        <w:tc>
          <w:tcPr>
            <w:tcW w:w="1428"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2 386 321</w:t>
            </w:r>
          </w:p>
        </w:tc>
        <w:tc>
          <w:tcPr>
            <w:tcW w:w="84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0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5 102 830</w:t>
            </w:r>
          </w:p>
        </w:tc>
        <w:tc>
          <w:tcPr>
            <w:tcW w:w="1217"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7 489 151</w:t>
            </w:r>
          </w:p>
        </w:tc>
      </w:tr>
      <w:tr w:rsidR="00EA72C7" w:rsidTr="003E7002">
        <w:trPr>
          <w:trHeight w:val="300"/>
        </w:trPr>
        <w:tc>
          <w:tcPr>
            <w:tcW w:w="2793" w:type="dxa"/>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Среда обитания</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682,86</w:t>
            </w:r>
          </w:p>
        </w:tc>
        <w:tc>
          <w:tcPr>
            <w:tcW w:w="113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тыс.тг/га</w:t>
            </w:r>
          </w:p>
        </w:tc>
        <w:tc>
          <w:tcPr>
            <w:tcW w:w="797"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77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28"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997 174</w:t>
            </w:r>
          </w:p>
        </w:tc>
        <w:tc>
          <w:tcPr>
            <w:tcW w:w="84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5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0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2 197 880</w:t>
            </w:r>
          </w:p>
        </w:tc>
        <w:tc>
          <w:tcPr>
            <w:tcW w:w="1217"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4 679</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3 195 054</w:t>
            </w:r>
          </w:p>
        </w:tc>
      </w:tr>
      <w:tr w:rsidR="00EA72C7" w:rsidTr="003E7002">
        <w:trPr>
          <w:trHeight w:val="600"/>
        </w:trPr>
        <w:tc>
          <w:tcPr>
            <w:tcW w:w="2793" w:type="dxa"/>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Генетическое разнообразие</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619,72</w:t>
            </w:r>
          </w:p>
        </w:tc>
        <w:tc>
          <w:tcPr>
            <w:tcW w:w="113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тыс.тг/га</w:t>
            </w:r>
          </w:p>
        </w:tc>
        <w:tc>
          <w:tcPr>
            <w:tcW w:w="797"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77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28"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904 972</w:t>
            </w:r>
          </w:p>
        </w:tc>
        <w:tc>
          <w:tcPr>
            <w:tcW w:w="84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5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0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1 994 657</w:t>
            </w:r>
          </w:p>
        </w:tc>
        <w:tc>
          <w:tcPr>
            <w:tcW w:w="1217"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4 679</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2 899 629</w:t>
            </w:r>
          </w:p>
        </w:tc>
      </w:tr>
      <w:tr w:rsidR="00EA72C7" w:rsidTr="003E7002">
        <w:trPr>
          <w:trHeight w:val="300"/>
        </w:trPr>
        <w:tc>
          <w:tcPr>
            <w:tcW w:w="2793" w:type="dxa"/>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Орнитофауна</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w:t>
            </w:r>
          </w:p>
        </w:tc>
        <w:tc>
          <w:tcPr>
            <w:tcW w:w="113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97"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20 634</w:t>
            </w:r>
          </w:p>
        </w:tc>
        <w:tc>
          <w:tcPr>
            <w:tcW w:w="77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w:t>
            </w:r>
          </w:p>
        </w:tc>
        <w:tc>
          <w:tcPr>
            <w:tcW w:w="1428"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484 175 ₽</w:t>
            </w:r>
          </w:p>
        </w:tc>
        <w:tc>
          <w:tcPr>
            <w:tcW w:w="84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38 952</w:t>
            </w:r>
          </w:p>
        </w:tc>
        <w:tc>
          <w:tcPr>
            <w:tcW w:w="85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w:t>
            </w:r>
          </w:p>
        </w:tc>
        <w:tc>
          <w:tcPr>
            <w:tcW w:w="140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910 293</w:t>
            </w:r>
          </w:p>
        </w:tc>
        <w:tc>
          <w:tcPr>
            <w:tcW w:w="1217"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59 585</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1 394 468</w:t>
            </w:r>
          </w:p>
        </w:tc>
      </w:tr>
      <w:tr w:rsidR="00EA72C7" w:rsidTr="003E7002">
        <w:trPr>
          <w:trHeight w:val="600"/>
        </w:trPr>
        <w:tc>
          <w:tcPr>
            <w:tcW w:w="2793" w:type="dxa"/>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Беспозвоночные (водные и наземные)</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тыс.тг/га</w:t>
            </w:r>
          </w:p>
        </w:tc>
        <w:tc>
          <w:tcPr>
            <w:tcW w:w="797"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77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28"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4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5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0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17"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EA72C7" w:rsidTr="003E7002">
        <w:trPr>
          <w:trHeight w:val="300"/>
        </w:trPr>
        <w:tc>
          <w:tcPr>
            <w:tcW w:w="2793" w:type="dxa"/>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Млекопитающие</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тыс.тг/га</w:t>
            </w:r>
          </w:p>
        </w:tc>
        <w:tc>
          <w:tcPr>
            <w:tcW w:w="797"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77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28"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4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5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0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17"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EA72C7" w:rsidTr="003E7002">
        <w:trPr>
          <w:trHeight w:val="315"/>
        </w:trPr>
        <w:tc>
          <w:tcPr>
            <w:tcW w:w="2793" w:type="dxa"/>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Амфибии и рептилии</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тыс.тг/га</w:t>
            </w:r>
          </w:p>
        </w:tc>
        <w:tc>
          <w:tcPr>
            <w:tcW w:w="797"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77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28"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4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5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0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17"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EA72C7" w:rsidTr="003E7002">
        <w:trPr>
          <w:trHeight w:val="315"/>
        </w:trPr>
        <w:tc>
          <w:tcPr>
            <w:tcW w:w="2793" w:type="dxa"/>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Культурные услуги</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p>
        </w:tc>
        <w:tc>
          <w:tcPr>
            <w:tcW w:w="113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p>
        </w:tc>
        <w:tc>
          <w:tcPr>
            <w:tcW w:w="797"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p>
        </w:tc>
        <w:tc>
          <w:tcPr>
            <w:tcW w:w="77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p>
        </w:tc>
        <w:tc>
          <w:tcPr>
            <w:tcW w:w="1428"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3 256 505</w:t>
            </w:r>
          </w:p>
        </w:tc>
        <w:tc>
          <w:tcPr>
            <w:tcW w:w="84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p>
        </w:tc>
        <w:tc>
          <w:tcPr>
            <w:tcW w:w="85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p>
        </w:tc>
        <w:tc>
          <w:tcPr>
            <w:tcW w:w="140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7 177 692</w:t>
            </w:r>
          </w:p>
        </w:tc>
        <w:tc>
          <w:tcPr>
            <w:tcW w:w="1217"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46 936 797</w:t>
            </w:r>
          </w:p>
        </w:tc>
      </w:tr>
      <w:tr w:rsidR="00EA72C7" w:rsidTr="003E7002">
        <w:trPr>
          <w:trHeight w:val="330"/>
        </w:trPr>
        <w:tc>
          <w:tcPr>
            <w:tcW w:w="2793" w:type="dxa"/>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Эстетическая информация</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685,51</w:t>
            </w:r>
          </w:p>
        </w:tc>
        <w:tc>
          <w:tcPr>
            <w:tcW w:w="113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тыс.тг/га</w:t>
            </w:r>
          </w:p>
        </w:tc>
        <w:tc>
          <w:tcPr>
            <w:tcW w:w="797"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77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28"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1 001 048</w:t>
            </w:r>
          </w:p>
        </w:tc>
        <w:tc>
          <w:tcPr>
            <w:tcW w:w="84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5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0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2 206 419</w:t>
            </w:r>
          </w:p>
        </w:tc>
        <w:tc>
          <w:tcPr>
            <w:tcW w:w="1217"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4 679</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3 207 467</w:t>
            </w:r>
          </w:p>
        </w:tc>
      </w:tr>
      <w:tr w:rsidR="00EA72C7" w:rsidTr="003E7002">
        <w:trPr>
          <w:trHeight w:val="300"/>
        </w:trPr>
        <w:tc>
          <w:tcPr>
            <w:tcW w:w="2793" w:type="dxa"/>
            <w:tcBorders>
              <w:bottom w:val="single" w:sz="4" w:space="0" w:color="000000"/>
            </w:tcBorders>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Рекреация</w:t>
            </w:r>
          </w:p>
        </w:tc>
        <w:tc>
          <w:tcPr>
            <w:tcW w:w="1316" w:type="dxa"/>
            <w:gridSpan w:val="2"/>
            <w:tcBorders>
              <w:bottom w:val="single" w:sz="4" w:space="0" w:color="000000"/>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1 173,11</w:t>
            </w:r>
          </w:p>
        </w:tc>
        <w:tc>
          <w:tcPr>
            <w:tcW w:w="1134" w:type="dxa"/>
            <w:gridSpan w:val="2"/>
            <w:tcBorders>
              <w:bottom w:val="single" w:sz="4" w:space="0" w:color="000000"/>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тыс.тг/га</w:t>
            </w:r>
          </w:p>
        </w:tc>
        <w:tc>
          <w:tcPr>
            <w:tcW w:w="797" w:type="dxa"/>
            <w:gridSpan w:val="2"/>
            <w:tcBorders>
              <w:bottom w:val="single" w:sz="4" w:space="0" w:color="000000"/>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770" w:type="dxa"/>
            <w:tcBorders>
              <w:bottom w:val="single" w:sz="4" w:space="0" w:color="000000"/>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28" w:type="dxa"/>
            <w:gridSpan w:val="2"/>
            <w:tcBorders>
              <w:bottom w:val="single" w:sz="4" w:space="0" w:color="000000"/>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1 713 093</w:t>
            </w:r>
          </w:p>
        </w:tc>
        <w:tc>
          <w:tcPr>
            <w:tcW w:w="840" w:type="dxa"/>
            <w:gridSpan w:val="3"/>
            <w:tcBorders>
              <w:bottom w:val="single" w:sz="4" w:space="0" w:color="000000"/>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54" w:type="dxa"/>
            <w:tcBorders>
              <w:bottom w:val="single" w:sz="4" w:space="0" w:color="000000"/>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00" w:type="dxa"/>
            <w:gridSpan w:val="3"/>
            <w:tcBorders>
              <w:bottom w:val="single" w:sz="4" w:space="0" w:color="000000"/>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3 775 845</w:t>
            </w:r>
          </w:p>
        </w:tc>
        <w:tc>
          <w:tcPr>
            <w:tcW w:w="1217" w:type="dxa"/>
            <w:tcBorders>
              <w:bottom w:val="single" w:sz="4" w:space="0" w:color="000000"/>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4 679</w:t>
            </w:r>
          </w:p>
        </w:tc>
        <w:tc>
          <w:tcPr>
            <w:tcW w:w="714" w:type="dxa"/>
            <w:tcBorders>
              <w:bottom w:val="single" w:sz="4" w:space="0" w:color="000000"/>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02" w:type="dxa"/>
            <w:tcBorders>
              <w:bottom w:val="single" w:sz="4" w:space="0" w:color="000000"/>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5 488 939</w:t>
            </w:r>
          </w:p>
        </w:tc>
      </w:tr>
      <w:tr w:rsidR="00EA72C7" w:rsidTr="003E7002">
        <w:trPr>
          <w:trHeight w:val="300"/>
        </w:trPr>
        <w:tc>
          <w:tcPr>
            <w:tcW w:w="2793" w:type="dxa"/>
            <w:tcBorders>
              <w:bottom w:val="nil"/>
            </w:tcBorders>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Вдохновение</w:t>
            </w:r>
          </w:p>
        </w:tc>
        <w:tc>
          <w:tcPr>
            <w:tcW w:w="1316" w:type="dxa"/>
            <w:gridSpan w:val="2"/>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371,41</w:t>
            </w:r>
          </w:p>
        </w:tc>
        <w:tc>
          <w:tcPr>
            <w:tcW w:w="1134" w:type="dxa"/>
            <w:gridSpan w:val="2"/>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тыс.тг/га</w:t>
            </w:r>
          </w:p>
        </w:tc>
        <w:tc>
          <w:tcPr>
            <w:tcW w:w="797" w:type="dxa"/>
            <w:gridSpan w:val="2"/>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770" w:type="dxa"/>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28" w:type="dxa"/>
            <w:gridSpan w:val="2"/>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542 363</w:t>
            </w:r>
          </w:p>
        </w:tc>
        <w:tc>
          <w:tcPr>
            <w:tcW w:w="840" w:type="dxa"/>
            <w:gridSpan w:val="3"/>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54" w:type="dxa"/>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00" w:type="dxa"/>
            <w:gridSpan w:val="3"/>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1 195 428</w:t>
            </w:r>
          </w:p>
        </w:tc>
        <w:tc>
          <w:tcPr>
            <w:tcW w:w="1217" w:type="dxa"/>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4 679</w:t>
            </w:r>
          </w:p>
        </w:tc>
        <w:tc>
          <w:tcPr>
            <w:tcW w:w="714" w:type="dxa"/>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02" w:type="dxa"/>
            <w:tcBorders>
              <w:bottom w:val="nil"/>
            </w:tcBorders>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1 737 792</w:t>
            </w:r>
          </w:p>
        </w:tc>
      </w:tr>
      <w:tr w:rsidR="00EA72C7" w:rsidTr="003E7002">
        <w:trPr>
          <w:trHeight w:val="300"/>
        </w:trPr>
        <w:tc>
          <w:tcPr>
            <w:tcW w:w="2793" w:type="dxa"/>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Духовный опыт</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тыс.тг/га</w:t>
            </w:r>
          </w:p>
        </w:tc>
        <w:tc>
          <w:tcPr>
            <w:tcW w:w="797"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77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28"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4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5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0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17"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4 679</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EA72C7" w:rsidTr="003E7002">
        <w:trPr>
          <w:trHeight w:val="300"/>
        </w:trPr>
        <w:tc>
          <w:tcPr>
            <w:tcW w:w="2793" w:type="dxa"/>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Когнитивное развитие</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тыс.тг/га</w:t>
            </w:r>
          </w:p>
        </w:tc>
        <w:tc>
          <w:tcPr>
            <w:tcW w:w="797"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77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28"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4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5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40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17"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4 679</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EA72C7" w:rsidTr="003E7002">
        <w:trPr>
          <w:trHeight w:val="315"/>
        </w:trPr>
        <w:tc>
          <w:tcPr>
            <w:tcW w:w="2793" w:type="dxa"/>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Образовательные услуги</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113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тг/эксурс.</w:t>
            </w:r>
          </w:p>
        </w:tc>
        <w:tc>
          <w:tcPr>
            <w:tcW w:w="797"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7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28"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4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p>
        </w:tc>
        <w:tc>
          <w:tcPr>
            <w:tcW w:w="85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p>
        </w:tc>
        <w:tc>
          <w:tcPr>
            <w:tcW w:w="140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217"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182 513</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36 502 600</w:t>
            </w:r>
          </w:p>
        </w:tc>
      </w:tr>
      <w:tr w:rsidR="00EA72C7" w:rsidTr="003E7002">
        <w:trPr>
          <w:trHeight w:val="315"/>
        </w:trPr>
        <w:tc>
          <w:tcPr>
            <w:tcW w:w="2793" w:type="dxa"/>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Научные исследования</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p>
        </w:tc>
        <w:tc>
          <w:tcPr>
            <w:tcW w:w="113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97"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1 460</w:t>
            </w:r>
          </w:p>
        </w:tc>
        <w:tc>
          <w:tcPr>
            <w:tcW w:w="77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28"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4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3 219</w:t>
            </w:r>
          </w:p>
        </w:tc>
        <w:tc>
          <w:tcPr>
            <w:tcW w:w="85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p>
        </w:tc>
        <w:tc>
          <w:tcPr>
            <w:tcW w:w="140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217"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4 679</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EA72C7" w:rsidTr="003E7002">
        <w:trPr>
          <w:trHeight w:val="615"/>
        </w:trPr>
        <w:tc>
          <w:tcPr>
            <w:tcW w:w="2793" w:type="dxa"/>
            <w:shd w:val="clear" w:color="auto" w:fill="auto"/>
            <w:vAlign w:val="bottom"/>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экономическая ценность</w:t>
            </w:r>
          </w:p>
        </w:tc>
        <w:tc>
          <w:tcPr>
            <w:tcW w:w="1316"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w:t>
            </w:r>
          </w:p>
        </w:tc>
        <w:tc>
          <w:tcPr>
            <w:tcW w:w="1134"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u w:val="single"/>
              </w:rPr>
            </w:pPr>
          </w:p>
        </w:tc>
        <w:tc>
          <w:tcPr>
            <w:tcW w:w="797"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w:t>
            </w:r>
          </w:p>
        </w:tc>
        <w:tc>
          <w:tcPr>
            <w:tcW w:w="770"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w:t>
            </w:r>
          </w:p>
        </w:tc>
        <w:tc>
          <w:tcPr>
            <w:tcW w:w="1428" w:type="dxa"/>
            <w:gridSpan w:val="2"/>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20 391 057</w:t>
            </w:r>
          </w:p>
        </w:tc>
        <w:tc>
          <w:tcPr>
            <w:tcW w:w="84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u w:val="single"/>
              </w:rPr>
            </w:pPr>
          </w:p>
        </w:tc>
        <w:tc>
          <w:tcPr>
            <w:tcW w:w="85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u w:val="single"/>
              </w:rPr>
            </w:pPr>
          </w:p>
        </w:tc>
        <w:tc>
          <w:tcPr>
            <w:tcW w:w="1400" w:type="dxa"/>
            <w:gridSpan w:val="3"/>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44 767 136</w:t>
            </w:r>
          </w:p>
        </w:tc>
        <w:tc>
          <w:tcPr>
            <w:tcW w:w="1217"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w:t>
            </w:r>
          </w:p>
        </w:tc>
        <w:tc>
          <w:tcPr>
            <w:tcW w:w="714"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w:t>
            </w:r>
          </w:p>
        </w:tc>
        <w:tc>
          <w:tcPr>
            <w:tcW w:w="1302" w:type="dxa"/>
            <w:shd w:val="clear" w:color="auto" w:fill="auto"/>
            <w:vAlign w:val="center"/>
          </w:tcPr>
          <w:p w:rsidR="00EA72C7" w:rsidRDefault="00EA72C7" w:rsidP="003E7002">
            <w:pPr>
              <w:spacing w:after="0" w:line="240" w:lineRule="auto"/>
              <w:ind w:left="-119" w:right="-94"/>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101 660 794</w:t>
            </w:r>
          </w:p>
        </w:tc>
      </w:tr>
      <w:tr w:rsidR="00EA72C7" w:rsidTr="003E7002">
        <w:trPr>
          <w:trHeight w:val="343"/>
        </w:trPr>
        <w:tc>
          <w:tcPr>
            <w:tcW w:w="14565" w:type="dxa"/>
            <w:gridSpan w:val="20"/>
            <w:shd w:val="clear" w:color="auto" w:fill="auto"/>
            <w:vAlign w:val="center"/>
          </w:tcPr>
          <w:p w:rsidR="00EA72C7" w:rsidRDefault="00EA72C7" w:rsidP="003E7002">
            <w:pPr>
              <w:spacing w:after="0" w:line="240" w:lineRule="auto"/>
              <w:ind w:left="-119" w:right="-94" w:firstLine="720"/>
              <w:rPr>
                <w:rFonts w:ascii="Times New Roman" w:eastAsia="Times New Roman" w:hAnsi="Times New Roman" w:cs="Times New Roman"/>
                <w:color w:val="000000"/>
                <w:sz w:val="24"/>
                <w:szCs w:val="24"/>
                <w:u w:val="single"/>
              </w:rPr>
            </w:pPr>
            <w:r>
              <w:rPr>
                <w:rFonts w:ascii="Times New Roman" w:eastAsia="Times New Roman" w:hAnsi="Times New Roman" w:cs="Times New Roman"/>
                <w:sz w:val="24"/>
                <w:szCs w:val="24"/>
              </w:rPr>
              <w:t>Примечание – Рассчитано и составлено автором</w:t>
            </w:r>
          </w:p>
        </w:tc>
      </w:tr>
    </w:tbl>
    <w:p w:rsidR="00EA72C7" w:rsidRDefault="00EA72C7" w:rsidP="00EA72C7">
      <w:pPr>
        <w:spacing w:after="0" w:line="240" w:lineRule="auto"/>
        <w:jc w:val="center"/>
      </w:pPr>
    </w:p>
    <w:p w:rsidR="00EA72C7" w:rsidRDefault="00EA72C7" w:rsidP="00EA72C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4"/>
          <w:szCs w:val="24"/>
        </w:rPr>
        <w:t>.</w:t>
      </w:r>
    </w:p>
    <w:p w:rsidR="00EA72C7" w:rsidRDefault="00EA72C7" w:rsidP="00EA72C7">
      <w:pPr>
        <w:tabs>
          <w:tab w:val="left" w:pos="1276"/>
        </w:tabs>
        <w:spacing w:after="0" w:line="240" w:lineRule="auto"/>
        <w:ind w:left="709"/>
        <w:jc w:val="center"/>
        <w:rPr>
          <w:rFonts w:ascii="Times New Roman" w:eastAsia="Times New Roman" w:hAnsi="Times New Roman" w:cs="Times New Roman"/>
          <w:sz w:val="28"/>
          <w:szCs w:val="28"/>
        </w:rPr>
        <w:sectPr w:rsidR="00EA72C7">
          <w:pgSz w:w="16838" w:h="11906" w:orient="landscape"/>
          <w:pgMar w:top="1701" w:right="1134" w:bottom="566" w:left="1134" w:header="709" w:footer="709" w:gutter="0"/>
          <w:cols w:space="720"/>
          <w:titlePg/>
        </w:sectPr>
      </w:pPr>
    </w:p>
    <w:p w:rsidR="00EA72C7" w:rsidRDefault="00EA72C7" w:rsidP="00EA72C7">
      <w:pPr>
        <w:tabs>
          <w:tab w:val="left" w:pos="1276"/>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ПРИЛОЖЕНИЕ Б </w:t>
      </w:r>
    </w:p>
    <w:p w:rsidR="00EA72C7" w:rsidRDefault="00EA72C7" w:rsidP="00EA72C7">
      <w:pPr>
        <w:pStyle w:val="2"/>
        <w:spacing w:before="0" w:line="240" w:lineRule="auto"/>
        <w:jc w:val="center"/>
        <w:rPr>
          <w:rFonts w:ascii="Times New Roman" w:eastAsia="Times New Roman" w:hAnsi="Times New Roman" w:cs="Times New Roman"/>
          <w:color w:val="000000"/>
          <w:sz w:val="28"/>
          <w:szCs w:val="28"/>
        </w:rPr>
      </w:pPr>
    </w:p>
    <w:p w:rsidR="00EA72C7" w:rsidRDefault="00EA72C7" w:rsidP="00EA72C7">
      <w:pPr>
        <w:pStyle w:val="2"/>
        <w:spacing w:before="0" w:line="240" w:lineRule="auto"/>
        <w:jc w:val="both"/>
        <w:rPr>
          <w:rFonts w:ascii="Times New Roman" w:eastAsia="Times New Roman" w:hAnsi="Times New Roman" w:cs="Times New Roman"/>
          <w:b w:val="0"/>
          <w:color w:val="000000"/>
          <w:sz w:val="28"/>
          <w:szCs w:val="28"/>
        </w:rPr>
      </w:pPr>
      <w:r>
        <w:rPr>
          <w:rFonts w:ascii="Times New Roman" w:eastAsia="Times New Roman" w:hAnsi="Times New Roman" w:cs="Times New Roman"/>
          <w:b w:val="0"/>
          <w:color w:val="000000"/>
          <w:sz w:val="28"/>
          <w:szCs w:val="28"/>
        </w:rPr>
        <w:t>Таблица Б.1 – Обзор методов оценки экосистемных услуг</w:t>
      </w:r>
    </w:p>
    <w:p w:rsidR="00EA72C7" w:rsidRDefault="00EA72C7" w:rsidP="00EA72C7">
      <w:pPr>
        <w:spacing w:after="0" w:line="240" w:lineRule="auto"/>
        <w:jc w:val="right"/>
        <w:rPr>
          <w:rFonts w:ascii="Times New Roman" w:eastAsia="Times New Roman" w:hAnsi="Times New Roman" w:cs="Times New Roman"/>
          <w:sz w:val="16"/>
          <w:szCs w:val="16"/>
        </w:rPr>
      </w:pPr>
    </w:p>
    <w:tbl>
      <w:tblPr>
        <w:tblW w:w="9465" w:type="dxa"/>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1"/>
        <w:gridCol w:w="7224"/>
      </w:tblGrid>
      <w:tr w:rsidR="00EA72C7" w:rsidTr="006E5560">
        <w:trPr>
          <w:cantSplit/>
          <w:trHeight w:val="282"/>
        </w:trPr>
        <w:tc>
          <w:tcPr>
            <w:tcW w:w="2241"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w:t>
            </w:r>
          </w:p>
        </w:tc>
        <w:tc>
          <w:tcPr>
            <w:tcW w:w="7224" w:type="dxa"/>
            <w:vAlign w:val="center"/>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Обзор</w:t>
            </w:r>
          </w:p>
        </w:tc>
      </w:tr>
      <w:tr w:rsidR="00EA72C7" w:rsidTr="006E5560">
        <w:trPr>
          <w:tblHeader/>
        </w:trPr>
        <w:tc>
          <w:tcPr>
            <w:tcW w:w="2241"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24"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A72C7" w:rsidTr="003E7002">
        <w:tc>
          <w:tcPr>
            <w:tcW w:w="9465" w:type="dxa"/>
            <w:gridSpan w:val="2"/>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Биофизические методы</w:t>
            </w:r>
          </w:p>
        </w:tc>
      </w:tr>
      <w:tr w:rsidR="00EA72C7" w:rsidTr="006E5560">
        <w:tc>
          <w:tcPr>
            <w:tcW w:w="224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Биофизическое моделирование</w:t>
            </w:r>
          </w:p>
        </w:tc>
        <w:tc>
          <w:tcPr>
            <w:tcW w:w="7224"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Биофизические модели оценивают биофизические факторы (процессы и функции), контролирующие предложение экосистемных услуг. Многие типы биофизических моделей могут быть актуальны для оценки экосистемных услуг, включая: (i) экологические модели, такие как модели распространения видов (SDM); (ii) гидрологические модели, такие как инструмент оценки почвы и воды (SWAT); (iii) модели эрозии почвы, такие как пересмотренное универсальное уравнение потери почвы (RUSLE); (iv) модели состояния и перехода (СТМ), которые моделируют динамику экосистемы после нарушений на основе теории альтернативного состояния и могут быть полезны для понимания важности экологических функций, лежащих в основе предоставления экосистемных услуг.</w:t>
            </w:r>
          </w:p>
        </w:tc>
      </w:tr>
      <w:tr w:rsidR="00EA72C7" w:rsidTr="006E5560">
        <w:tc>
          <w:tcPr>
            <w:tcW w:w="224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Моделирование экосистемных услуг</w:t>
            </w:r>
          </w:p>
        </w:tc>
        <w:tc>
          <w:tcPr>
            <w:tcW w:w="7224"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 экосистемных услуг оценивают предложение (а иногда и спрос) множества экосистемных услуг, обычно в специализирован ной ГИС-подобной программной среде. Они включают такие модели, как: (i) ESTIMAP, набор пространственно-явных моделей, каждую из которых можно запускать отдельно для оценки различных экосистемных услуг в европейском или региональном масштабе; (ii) инструмент QUICKScan, среда пространственного моделирования, позволяющая объединить экспертные знания с пространственными и статистическими данными, предназначен ными для использования на организованном семинаре, который позволит лицам, определяющим политику, экспертам и заинтересованным сторонам совместно исследовать воздействие различных вариантов политики на экосистемные услуги; (iii) InVEST, набор моделей для картирования и оценки экологической или экономической ценности многочисленных экосистемных услуг в местном и региональном масштабе; (iv) каскадная модель ES, концептуальная модель, подчеркивающая «производственную цепочку», связывающую экологические и биофизические структуры и процессы с элементами благосостояния человека.</w:t>
            </w:r>
          </w:p>
          <w:p w:rsidR="006E5560" w:rsidRDefault="006E5560" w:rsidP="003E7002">
            <w:pPr>
              <w:rPr>
                <w:rFonts w:ascii="Times New Roman" w:eastAsia="Times New Roman" w:hAnsi="Times New Roman" w:cs="Times New Roman"/>
                <w:sz w:val="24"/>
                <w:szCs w:val="24"/>
              </w:rPr>
            </w:pPr>
          </w:p>
          <w:p w:rsidR="006E5560" w:rsidRDefault="006E5560" w:rsidP="003E7002">
            <w:pPr>
              <w:rPr>
                <w:rFonts w:ascii="Times New Roman" w:eastAsia="Times New Roman" w:hAnsi="Times New Roman" w:cs="Times New Roman"/>
                <w:sz w:val="24"/>
                <w:szCs w:val="24"/>
              </w:rPr>
            </w:pPr>
          </w:p>
          <w:p w:rsidR="006E5560" w:rsidRDefault="006E5560" w:rsidP="003E7002">
            <w:pPr>
              <w:rPr>
                <w:rFonts w:ascii="Times New Roman" w:eastAsia="Times New Roman" w:hAnsi="Times New Roman" w:cs="Times New Roman"/>
                <w:sz w:val="24"/>
                <w:szCs w:val="24"/>
              </w:rPr>
            </w:pPr>
          </w:p>
          <w:p w:rsidR="006E5560" w:rsidRDefault="006E5560" w:rsidP="003E7002">
            <w:pPr>
              <w:rPr>
                <w:rFonts w:ascii="Times New Roman" w:eastAsia="Times New Roman" w:hAnsi="Times New Roman" w:cs="Times New Roman"/>
                <w:sz w:val="24"/>
                <w:szCs w:val="24"/>
              </w:rPr>
            </w:pPr>
          </w:p>
        </w:tc>
      </w:tr>
      <w:tr w:rsidR="006E5560" w:rsidTr="005F2A00">
        <w:tc>
          <w:tcPr>
            <w:tcW w:w="9465" w:type="dxa"/>
            <w:gridSpan w:val="2"/>
            <w:tcBorders>
              <w:top w:val="nil"/>
              <w:left w:val="nil"/>
              <w:right w:val="nil"/>
            </w:tcBorders>
          </w:tcPr>
          <w:p w:rsidR="006E5560" w:rsidRDefault="006E5560" w:rsidP="005F2A00">
            <w:pPr>
              <w:ind w:hanging="108"/>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Продолжение таблицы Б.1</w:t>
            </w:r>
          </w:p>
          <w:p w:rsidR="006E5560" w:rsidRPr="006E5560" w:rsidRDefault="006E5560" w:rsidP="005F2A00">
            <w:pPr>
              <w:ind w:hanging="108"/>
              <w:rPr>
                <w:rFonts w:ascii="Times New Roman" w:eastAsia="Times New Roman" w:hAnsi="Times New Roman" w:cs="Times New Roman"/>
                <w:sz w:val="16"/>
                <w:szCs w:val="16"/>
              </w:rPr>
            </w:pPr>
            <w:r>
              <w:rPr>
                <w:rFonts w:ascii="Times New Roman" w:eastAsia="Times New Roman" w:hAnsi="Times New Roman" w:cs="Times New Roman"/>
                <w:sz w:val="24"/>
                <w:szCs w:val="24"/>
              </w:rPr>
              <w:t xml:space="preserve"> </w:t>
            </w:r>
          </w:p>
        </w:tc>
      </w:tr>
      <w:tr w:rsidR="006E5560" w:rsidTr="005F2A00">
        <w:tc>
          <w:tcPr>
            <w:tcW w:w="2241" w:type="dxa"/>
          </w:tcPr>
          <w:p w:rsidR="006E5560" w:rsidRDefault="006E5560" w:rsidP="005F2A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24" w:type="dxa"/>
          </w:tcPr>
          <w:p w:rsidR="006E5560" w:rsidRDefault="006E5560" w:rsidP="005F2A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A72C7" w:rsidTr="006E5560">
        <w:tc>
          <w:tcPr>
            <w:tcW w:w="224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Агентное моделирование</w:t>
            </w:r>
          </w:p>
        </w:tc>
        <w:tc>
          <w:tcPr>
            <w:tcW w:w="7224"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 на основе агентов имитируют процесс принятия решений человеком, участвующим в управлении или политике экосистем ных услуг. Они могут представлять различные организационные уровни взаимодействия человека друг с другом и окружающей средой.</w:t>
            </w:r>
          </w:p>
        </w:tc>
      </w:tr>
      <w:tr w:rsidR="00EA72C7" w:rsidTr="006E5560">
        <w:tc>
          <w:tcPr>
            <w:tcW w:w="2241"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Комплексная оценка моделирования</w:t>
            </w:r>
          </w:p>
        </w:tc>
        <w:tc>
          <w:tcPr>
            <w:tcW w:w="7224"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Модели интегрированной оценки (IAM) объединяют модели, представляющие различные сектора или компоненты экосистемы, для моделирования изменений в землепользовании и / или предоставления экосистемных услуг. IAM отличаются от моделей экосистемных услуг, поскольку они включают обратную связь между связанными компонентами. Примеры, которые использова лись в OpenNESS, включают: (i) САЙТ (Симуляция наземных </w:t>
            </w:r>
          </w:p>
        </w:tc>
      </w:tr>
      <w:tr w:rsidR="00EA72C7" w:rsidTr="006E5560">
        <w:tc>
          <w:tcPr>
            <w:tcW w:w="2241" w:type="dxa"/>
          </w:tcPr>
          <w:p w:rsidR="00EA72C7" w:rsidRDefault="00EA72C7" w:rsidP="003E7002">
            <w:pPr>
              <w:rPr>
                <w:rFonts w:ascii="Times New Roman" w:eastAsia="Times New Roman" w:hAnsi="Times New Roman" w:cs="Times New Roman"/>
                <w:sz w:val="24"/>
                <w:szCs w:val="24"/>
              </w:rPr>
            </w:pPr>
          </w:p>
        </w:tc>
        <w:tc>
          <w:tcPr>
            <w:tcW w:w="7224"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сред), пакет программного обеспечения для разработки и применения моделей, имитирующих региональную динамику землепользования;  (ii) IMAGE-GLOBIO, глобальная модель, которая имитирует прошлые, настоящие и будущие воздействия деятельности человека на биоразнообразие и экосистемные услуги; (iii)Платформа интегрированной оценки CLIMSAVE, которая объединяет десять отраслевых моделей для анализа воздействия различных климатических и социально-экономических сценариев на экосистемные услуги и возможных вариантов адаптации в европейском масштабе.обеспечения для разработки и применения моделей, имитирующих региональную динамику землепользования; (ii) </w:t>
            </w:r>
            <w:r>
              <w:rPr>
                <w:rFonts w:ascii="Times New Roman" w:eastAsia="Times New Roman" w:hAnsi="Times New Roman" w:cs="Times New Roman"/>
                <w:i/>
                <w:sz w:val="24"/>
                <w:szCs w:val="24"/>
              </w:rPr>
              <w:t>IMAGE-GLOBIO</w:t>
            </w:r>
            <w:r>
              <w:rPr>
                <w:rFonts w:ascii="Times New Roman" w:eastAsia="Times New Roman" w:hAnsi="Times New Roman" w:cs="Times New Roman"/>
                <w:sz w:val="24"/>
                <w:szCs w:val="24"/>
              </w:rPr>
              <w:t xml:space="preserve"> , глобальная модель, которая имитирует прошлые, настоящие и будущие воздействия деятельности человека на биоразнообразие и экосистемные услуги; (iii) </w:t>
            </w:r>
            <w:r>
              <w:rPr>
                <w:rFonts w:ascii="Times New Roman" w:eastAsia="Times New Roman" w:hAnsi="Times New Roman" w:cs="Times New Roman"/>
                <w:i/>
                <w:sz w:val="24"/>
                <w:szCs w:val="24"/>
              </w:rPr>
              <w:t>Платформа интегрированной оценки CLIMSAVE</w:t>
            </w:r>
            <w:r>
              <w:rPr>
                <w:rFonts w:ascii="Times New Roman" w:eastAsia="Times New Roman" w:hAnsi="Times New Roman" w:cs="Times New Roman"/>
                <w:sz w:val="24"/>
                <w:szCs w:val="24"/>
              </w:rPr>
              <w:t>, которая объединяет десять отраслевых моделей для анализа воздействия различных климатических и социально-экономических сценариев на экосистемные услуги и возможных вариантов адаптации в европейском масштабе.</w:t>
            </w:r>
          </w:p>
        </w:tc>
      </w:tr>
      <w:tr w:rsidR="00EA72C7" w:rsidTr="006E5560">
        <w:tc>
          <w:tcPr>
            <w:tcW w:w="224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Простое картографирование ГИС</w:t>
            </w:r>
          </w:p>
        </w:tc>
        <w:tc>
          <w:tcPr>
            <w:tcW w:w="7224"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Основной метод картирования экосистемных услуг с использованием программного обеспечения ГИС, если пространственно-явные данные непосредственно доступны для услуги (например, производство продуктов питания).</w:t>
            </w:r>
          </w:p>
        </w:tc>
      </w:tr>
      <w:tr w:rsidR="00EA72C7" w:rsidTr="006E5560">
        <w:tc>
          <w:tcPr>
            <w:tcW w:w="224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Простое матричное отображение</w:t>
            </w:r>
          </w:p>
        </w:tc>
        <w:tc>
          <w:tcPr>
            <w:tcW w:w="7224"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Простое матричное сопоставление связывает электронную табли цу показателей спроса / предложения экосистемных услуг по кате гориям земного покрова с картой ГИС для создания карт предло жения, спроса и баланса экосистемных услуг (предложение минус спрос). Индикаторы могут быть получены из научных данных или могут быть оценены на основе местных или экспертных знаний.</w:t>
            </w:r>
          </w:p>
        </w:tc>
      </w:tr>
      <w:tr w:rsidR="006E5560" w:rsidTr="005F2A00">
        <w:tc>
          <w:tcPr>
            <w:tcW w:w="9465" w:type="dxa"/>
            <w:gridSpan w:val="2"/>
            <w:tcBorders>
              <w:top w:val="nil"/>
              <w:left w:val="nil"/>
              <w:right w:val="nil"/>
            </w:tcBorders>
          </w:tcPr>
          <w:p w:rsidR="006E5560" w:rsidRDefault="006E5560" w:rsidP="005F2A00">
            <w:pPr>
              <w:ind w:hanging="108"/>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Продолжение таблицы Б.1</w:t>
            </w:r>
          </w:p>
          <w:p w:rsidR="006E5560" w:rsidRPr="006E5560" w:rsidRDefault="006E5560" w:rsidP="005F2A00">
            <w:pPr>
              <w:ind w:hanging="108"/>
              <w:rPr>
                <w:rFonts w:ascii="Times New Roman" w:eastAsia="Times New Roman" w:hAnsi="Times New Roman" w:cs="Times New Roman"/>
                <w:sz w:val="16"/>
                <w:szCs w:val="16"/>
              </w:rPr>
            </w:pPr>
            <w:r>
              <w:rPr>
                <w:rFonts w:ascii="Times New Roman" w:eastAsia="Times New Roman" w:hAnsi="Times New Roman" w:cs="Times New Roman"/>
                <w:sz w:val="24"/>
                <w:szCs w:val="24"/>
              </w:rPr>
              <w:t xml:space="preserve"> </w:t>
            </w:r>
          </w:p>
        </w:tc>
      </w:tr>
      <w:tr w:rsidR="006E5560" w:rsidTr="006E5560">
        <w:tc>
          <w:tcPr>
            <w:tcW w:w="2241" w:type="dxa"/>
          </w:tcPr>
          <w:p w:rsidR="006E5560" w:rsidRDefault="006E5560" w:rsidP="006E55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24" w:type="dxa"/>
          </w:tcPr>
          <w:p w:rsidR="006E5560" w:rsidRDefault="006E5560" w:rsidP="006E55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A72C7" w:rsidTr="006E5560">
        <w:tc>
          <w:tcPr>
            <w:tcW w:w="224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Расширенное матричное отображение</w:t>
            </w:r>
          </w:p>
        </w:tc>
        <w:tc>
          <w:tcPr>
            <w:tcW w:w="7224"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Усовершенствованные подходы к матричному отображению основаны на простых подходах к матричному отображению посредством объединения нескольких источников наборов пространственных данных. Примером такого подхода, используемого в OpenNESS, является GreenFrame, который был разработан для оценки пространственного изменения потенциала предоставления экосистемных услуг зеленой инфраструктуры в пространственном планировании. В этом методе используется обширный набор пространственных наборов данных, сгруппированных по темам в сочетании с оценками как научных экспертов, так и местных участников.</w:t>
            </w:r>
          </w:p>
        </w:tc>
      </w:tr>
      <w:tr w:rsidR="00EA72C7" w:rsidTr="003E7002">
        <w:tc>
          <w:tcPr>
            <w:tcW w:w="9465" w:type="dxa"/>
            <w:gridSpan w:val="2"/>
            <w:tcBorders>
              <w:bottom w:val="single" w:sz="4" w:space="0" w:color="000000"/>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Социально-культурные методы</w:t>
            </w:r>
          </w:p>
        </w:tc>
      </w:tr>
      <w:tr w:rsidR="00EA72C7" w:rsidTr="006E5560">
        <w:tc>
          <w:tcPr>
            <w:tcW w:w="2241"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Совещательное картирование</w:t>
            </w:r>
          </w:p>
        </w:tc>
        <w:tc>
          <w:tcPr>
            <w:tcW w:w="7224"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Целенаправленное или совместное картирование - это широкая группа методов, целью которых является включение местных знаний, ценностей и предпочтений заинтересованных сторон в создание карт экосистемных услуг. В OpenNESS были применены или разработаны несколько методов целенаправленного или совместного картирования, в том числе: (i) ГИС для участия (ГИС) или ГИС для участия общественности (PPGIS), которая использует семинары, личные интервью или опросы на основе </w:t>
            </w:r>
          </w:p>
        </w:tc>
      </w:tr>
      <w:tr w:rsidR="00EA72C7" w:rsidTr="006E5560">
        <w:tc>
          <w:tcPr>
            <w:tcW w:w="2241" w:type="dxa"/>
          </w:tcPr>
          <w:p w:rsidR="00EA72C7" w:rsidRDefault="00EA72C7" w:rsidP="003E7002">
            <w:pPr>
              <w:jc w:val="center"/>
              <w:rPr>
                <w:rFonts w:ascii="Times New Roman" w:eastAsia="Times New Roman" w:hAnsi="Times New Roman" w:cs="Times New Roman"/>
                <w:sz w:val="24"/>
                <w:szCs w:val="24"/>
              </w:rPr>
            </w:pPr>
          </w:p>
        </w:tc>
        <w:tc>
          <w:tcPr>
            <w:tcW w:w="7224"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Интернета для интеграции восприятия, знаний ( локальные или технические) и ценности различных заинтересованных сторон и представляет результаты в вид</w:t>
            </w:r>
            <w:bookmarkStart w:id="28" w:name="bookmark=id.3as4poj" w:colFirst="0" w:colLast="0"/>
            <w:bookmarkEnd w:id="28"/>
            <w:r>
              <w:rPr>
                <w:rFonts w:ascii="Times New Roman" w:eastAsia="Times New Roman" w:hAnsi="Times New Roman" w:cs="Times New Roman"/>
                <w:sz w:val="24"/>
                <w:szCs w:val="24"/>
              </w:rPr>
              <w:t>е карты экосистемных услуг; (ii) приложение MapNat, приложение для смартфонов, предназначенное для картирования, в основном, культурных, а также некоторых услуг и услуг, связанных с предоставлением и регулированием; и (iii) BGApp, приложение для смартфонов для оценки различных зеленых и синих «элементов» ландшафта на основе их важности для экосистемного обслуживания или набора услуг, и для предлагаемой застройки рассчитывается взвешенный по площади показатель.</w:t>
            </w:r>
          </w:p>
        </w:tc>
      </w:tr>
      <w:tr w:rsidR="00EA72C7" w:rsidTr="006E5560">
        <w:tc>
          <w:tcPr>
            <w:tcW w:w="224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сценария участия</w:t>
            </w:r>
          </w:p>
        </w:tc>
        <w:tc>
          <w:tcPr>
            <w:tcW w:w="7224"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Сценарии определяются в рамках проекта OpenNESS как «правдоподобное, упрощенное описание того, как может развиваться будущее, основываясь на последовательном и внутренне согласованном наборе предположений о ключевых движущих силах». </w:t>
            </w:r>
          </w:p>
        </w:tc>
      </w:tr>
      <w:tr w:rsidR="00EA72C7" w:rsidTr="006E5560">
        <w:tc>
          <w:tcPr>
            <w:tcW w:w="2241"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Нарративный анализ</w:t>
            </w:r>
          </w:p>
        </w:tc>
        <w:tc>
          <w:tcPr>
            <w:tcW w:w="7224"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Нарративные методы направлены на то, чтобы уловить важность экосистемных услуг для людей через их собственные истории и прямые действия (как в устной, так и в визуальной форме).</w:t>
            </w:r>
          </w:p>
        </w:tc>
      </w:tr>
      <w:tr w:rsidR="006E5560" w:rsidTr="006E5560">
        <w:tc>
          <w:tcPr>
            <w:tcW w:w="9465" w:type="dxa"/>
            <w:gridSpan w:val="2"/>
            <w:tcBorders>
              <w:top w:val="nil"/>
              <w:left w:val="nil"/>
              <w:bottom w:val="nil"/>
              <w:right w:val="nil"/>
            </w:tcBorders>
          </w:tcPr>
          <w:p w:rsidR="006E5560" w:rsidRDefault="006E5560" w:rsidP="005F2A00">
            <w:pPr>
              <w:ind w:hanging="108"/>
              <w:rPr>
                <w:rFonts w:ascii="Times New Roman" w:eastAsia="Times New Roman" w:hAnsi="Times New Roman" w:cs="Times New Roman"/>
                <w:sz w:val="28"/>
                <w:szCs w:val="28"/>
              </w:rPr>
            </w:pPr>
          </w:p>
          <w:p w:rsidR="006E5560" w:rsidRDefault="006E5560" w:rsidP="005F2A00">
            <w:pPr>
              <w:ind w:hanging="108"/>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Продолжение таблицы Б.1</w:t>
            </w:r>
          </w:p>
          <w:p w:rsidR="006E5560" w:rsidRDefault="006E5560" w:rsidP="005F2A00">
            <w:pPr>
              <w:ind w:hanging="108"/>
              <w:rPr>
                <w:rFonts w:ascii="Times New Roman" w:eastAsia="Times New Roman" w:hAnsi="Times New Roman" w:cs="Times New Roman"/>
                <w:sz w:val="16"/>
                <w:szCs w:val="16"/>
              </w:rPr>
            </w:pPr>
            <w:r>
              <w:rPr>
                <w:rFonts w:ascii="Times New Roman" w:eastAsia="Times New Roman" w:hAnsi="Times New Roman" w:cs="Times New Roman"/>
                <w:sz w:val="24"/>
                <w:szCs w:val="24"/>
              </w:rPr>
              <w:t xml:space="preserve"> </w:t>
            </w:r>
          </w:p>
        </w:tc>
      </w:tr>
      <w:tr w:rsidR="006E5560" w:rsidTr="006E5560">
        <w:tc>
          <w:tcPr>
            <w:tcW w:w="2241" w:type="dxa"/>
            <w:tcBorders>
              <w:top w:val="single" w:sz="4" w:space="0" w:color="auto"/>
              <w:left w:val="single" w:sz="4" w:space="0" w:color="auto"/>
              <w:bottom w:val="single" w:sz="4" w:space="0" w:color="auto"/>
              <w:right w:val="single" w:sz="4" w:space="0" w:color="auto"/>
            </w:tcBorders>
          </w:tcPr>
          <w:p w:rsidR="006E5560" w:rsidRDefault="006E5560" w:rsidP="006E55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7224" w:type="dxa"/>
            <w:tcBorders>
              <w:top w:val="single" w:sz="4" w:space="0" w:color="auto"/>
              <w:left w:val="single" w:sz="4" w:space="0" w:color="auto"/>
              <w:bottom w:val="single" w:sz="4" w:space="0" w:color="auto"/>
              <w:right w:val="single" w:sz="4" w:space="0" w:color="auto"/>
            </w:tcBorders>
          </w:tcPr>
          <w:p w:rsidR="006E5560" w:rsidRDefault="006E5560" w:rsidP="006E55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A72C7" w:rsidTr="006E5560">
        <w:tc>
          <w:tcPr>
            <w:tcW w:w="2241" w:type="dxa"/>
            <w:tcBorders>
              <w:top w:val="single" w:sz="4" w:space="0" w:color="auto"/>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Совещательная оценка</w:t>
            </w:r>
          </w:p>
        </w:tc>
        <w:tc>
          <w:tcPr>
            <w:tcW w:w="7224" w:type="dxa"/>
            <w:tcBorders>
              <w:top w:val="single" w:sz="4" w:space="0" w:color="auto"/>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Целенаправленная оценка - это не один конкретный метод оценки, но это парадигма оценки, обеспечивающая основу для объединения различных инструментов и методов, которые соединяют граждан и академические круги, а также различные дисциплины в науке. Такие методы предлагают заинтересованным сторонам и гражданам (широкой общественности) формировать свои предпочтения в отношении экосистемных услуг вместе посредством открытого диалога с другими.</w:t>
            </w:r>
          </w:p>
        </w:tc>
      </w:tr>
      <w:tr w:rsidR="00EA72C7" w:rsidTr="006E5560">
        <w:tc>
          <w:tcPr>
            <w:tcW w:w="224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предпочтений</w:t>
            </w:r>
          </w:p>
        </w:tc>
        <w:tc>
          <w:tcPr>
            <w:tcW w:w="7224"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предпочтений - это прямой и количественный консультативный метод для анализа восприятий, знаний и связанных с ними ценностей спроса или использования экосистемных услуг (или даже социальных мотивов для обслуживания) без использования экономических показателей. Данные собираются с помощью опросов с использованием консультативного подхода с различными вариациями, такими как упражнения по бесплатному листингу, ранжирование экосистемных услуг, рейтинг или выбор экосистемных услуг, иногда также с использованием визуальных стимулов (например, фотографий в качестве иллюстрации экосистемных услуг, как в случае карточной игры Ecosystem Services).</w:t>
            </w:r>
          </w:p>
        </w:tc>
      </w:tr>
      <w:tr w:rsidR="00EA72C7" w:rsidTr="006E5560">
        <w:tc>
          <w:tcPr>
            <w:tcW w:w="2241" w:type="dxa"/>
            <w:tcBorders>
              <w:bottom w:val="single" w:sz="4" w:space="0" w:color="000000"/>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фотосерии</w:t>
            </w:r>
          </w:p>
        </w:tc>
        <w:tc>
          <w:tcPr>
            <w:tcW w:w="7224" w:type="dxa"/>
            <w:tcBorders>
              <w:bottom w:val="single" w:sz="4" w:space="0" w:color="000000"/>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Веб-сайты обмена фотографиями, такие как Flickr, Panoramio и Instagram, используются для предоставления выявленных предпоч тений в отношении услуг культурных экосистем, при условии, что посетителей привлекает место, где они делают фотографии.</w:t>
            </w:r>
          </w:p>
        </w:tc>
      </w:tr>
      <w:tr w:rsidR="00EA72C7" w:rsidTr="006E5560">
        <w:tc>
          <w:tcPr>
            <w:tcW w:w="2241"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Фото-извлечение</w:t>
            </w:r>
          </w:p>
        </w:tc>
        <w:tc>
          <w:tcPr>
            <w:tcW w:w="7224"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метод направлен на преобразование визуального опыта людей и восприятия ландшафтов с точки зрения экосистемных услуг. Респонденты вопросников указывают основные экосистемные услуги, предоставляемые каждым ландшафтом, из списка потенциальных услуг, предоставляемых этим районом.</w:t>
            </w:r>
          </w:p>
        </w:tc>
      </w:tr>
      <w:tr w:rsidR="00EA72C7" w:rsidTr="006E5560">
        <w:tc>
          <w:tcPr>
            <w:tcW w:w="224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использования времени</w:t>
            </w:r>
          </w:p>
        </w:tc>
        <w:tc>
          <w:tcPr>
            <w:tcW w:w="7224"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метод является новшеством традиционных методов заявленных предпочтений, взятых из подхода условной оценки (см. Денежные методы ниже). Опросы используются для оценки стоимости экосистемных услуг, когда люди спрашивают, сколько времени они готовы потратить на изменение количества или качества данной услуги.</w:t>
            </w:r>
          </w:p>
        </w:tc>
      </w:tr>
      <w:tr w:rsidR="00EA72C7" w:rsidTr="003E7002">
        <w:tc>
          <w:tcPr>
            <w:tcW w:w="9465" w:type="dxa"/>
            <w:gridSpan w:val="2"/>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Монетарные методы</w:t>
            </w:r>
          </w:p>
        </w:tc>
      </w:tr>
      <w:tr w:rsidR="00EA72C7" w:rsidTr="006E5560">
        <w:trPr>
          <w:trHeight w:val="1217"/>
        </w:trPr>
        <w:tc>
          <w:tcPr>
            <w:tcW w:w="224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экономической эффективности</w:t>
            </w:r>
          </w:p>
        </w:tc>
        <w:tc>
          <w:tcPr>
            <w:tcW w:w="7224"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экономической эффективности - это инструмент поддержки принятия решений для ранжирования альтернативных способов достижения одной и той же цели политики по их соотношению эффективности и стоимости.</w:t>
            </w:r>
          </w:p>
        </w:tc>
      </w:tr>
      <w:tr w:rsidR="009F2A88" w:rsidTr="005F2A00">
        <w:tc>
          <w:tcPr>
            <w:tcW w:w="9465" w:type="dxa"/>
            <w:gridSpan w:val="2"/>
            <w:tcBorders>
              <w:top w:val="nil"/>
              <w:left w:val="nil"/>
              <w:right w:val="nil"/>
            </w:tcBorders>
          </w:tcPr>
          <w:p w:rsidR="009F2A88" w:rsidRDefault="009F2A88" w:rsidP="005F2A00">
            <w:pPr>
              <w:ind w:hanging="108"/>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Продолжение таблицы Б.1</w:t>
            </w:r>
          </w:p>
          <w:p w:rsidR="009F2A88" w:rsidRPr="009F2A88" w:rsidRDefault="009F2A88" w:rsidP="005F2A00">
            <w:pPr>
              <w:ind w:hanging="108"/>
              <w:rPr>
                <w:rFonts w:ascii="Times New Roman" w:eastAsia="Times New Roman" w:hAnsi="Times New Roman" w:cs="Times New Roman"/>
                <w:sz w:val="16"/>
                <w:szCs w:val="16"/>
              </w:rPr>
            </w:pPr>
            <w:r>
              <w:rPr>
                <w:rFonts w:ascii="Times New Roman" w:eastAsia="Times New Roman" w:hAnsi="Times New Roman" w:cs="Times New Roman"/>
                <w:sz w:val="24"/>
                <w:szCs w:val="24"/>
              </w:rPr>
              <w:t xml:space="preserve"> </w:t>
            </w:r>
          </w:p>
        </w:tc>
      </w:tr>
      <w:tr w:rsidR="009F2A88" w:rsidTr="009F2A88">
        <w:trPr>
          <w:trHeight w:val="454"/>
        </w:trPr>
        <w:tc>
          <w:tcPr>
            <w:tcW w:w="2241" w:type="dxa"/>
          </w:tcPr>
          <w:p w:rsidR="009F2A88" w:rsidRDefault="009F2A88" w:rsidP="009F2A8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24" w:type="dxa"/>
          </w:tcPr>
          <w:p w:rsidR="009F2A88" w:rsidRDefault="009F2A88" w:rsidP="009F2A8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A72C7" w:rsidTr="006E5560">
        <w:trPr>
          <w:trHeight w:val="1548"/>
        </w:trPr>
        <w:tc>
          <w:tcPr>
            <w:tcW w:w="224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выгод и затрат</w:t>
            </w:r>
          </w:p>
        </w:tc>
        <w:tc>
          <w:tcPr>
            <w:tcW w:w="7224"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выгод и затрат - это инструмент поддержки принятия решений для скрининга альтернатив по их внутренней норме прибыли или ранжирования альтернатив по их дисконтированному соотношению выгод / затрат или чистой приведенной стоимости.</w:t>
            </w:r>
          </w:p>
        </w:tc>
      </w:tr>
      <w:tr w:rsidR="00EA72C7" w:rsidTr="006E5560">
        <w:tc>
          <w:tcPr>
            <w:tcW w:w="2241" w:type="dxa"/>
            <w:tcBorders>
              <w:bottom w:val="single" w:sz="4" w:space="0" w:color="000000"/>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Рыночная цена / биржевые методы</w:t>
            </w:r>
          </w:p>
        </w:tc>
        <w:tc>
          <w:tcPr>
            <w:tcW w:w="7224" w:type="dxa"/>
            <w:tcBorders>
              <w:bottom w:val="single" w:sz="4" w:space="0" w:color="000000"/>
            </w:tcBorders>
          </w:tcPr>
          <w:p w:rsidR="00EA72C7" w:rsidRDefault="00EA72C7" w:rsidP="00637928">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Значения наблюдаются напрямую или получены из цен на рынках. Это большая категория денежных методов, которая включает методы, основанные на затратах. Раскрытые методы предпочтений (ниже) иногда включаются в биржевые методы, потому что рыночные цены (цены на жилье, транспортные расходы) используются для косвенного определения стоимости экосистемных услуг. Теневое ценообразование также является неявной формой рыночной цены, определяемой как предельная цена, которую общество «ставит» на предоставление нерыночных экосистемных услуг путем установления экологических целей.</w:t>
            </w:r>
            <w:r>
              <w:rPr>
                <w:rFonts w:ascii="Times New Roman" w:eastAsia="Times New Roman" w:hAnsi="Times New Roman" w:cs="Times New Roman"/>
                <w:sz w:val="24"/>
                <w:szCs w:val="24"/>
              </w:rPr>
              <w:br/>
              <w:t xml:space="preserve">Методы оценки на основе затрат на смягчение последствий представляют собой группу «основанных на обмене» методов, которые используют стоимость фактических мер для поддержания предоставления экосистемных услуг в качестве показателя стоимости действий, предпринятых в </w:t>
            </w:r>
            <w:r w:rsidR="00637928">
              <w:rPr>
                <w:rFonts w:ascii="Times New Roman" w:eastAsia="Times New Roman" w:hAnsi="Times New Roman" w:cs="Times New Roman"/>
                <w:sz w:val="24"/>
                <w:szCs w:val="24"/>
              </w:rPr>
              <w:t>иерархии смягчения последствий</w:t>
            </w:r>
            <w:r>
              <w:rPr>
                <w:rFonts w:ascii="Times New Roman" w:eastAsia="Times New Roman" w:hAnsi="Times New Roman" w:cs="Times New Roman"/>
                <w:sz w:val="24"/>
                <w:szCs w:val="24"/>
              </w:rPr>
              <w:t>. В качестве метода оценки стоимость действий принимается в качестве показателя стоимости потерянных экосистемных услуг. Следовательно, эта группа методов включает в себя: (i) стоимость восстановления; (ii) стоимость замены; и (iii) стоимость очистки.</w:t>
            </w:r>
          </w:p>
        </w:tc>
      </w:tr>
      <w:tr w:rsidR="00EA72C7" w:rsidTr="006E5560">
        <w:tc>
          <w:tcPr>
            <w:tcW w:w="2241"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Выявленные предпочтительные методы</w:t>
            </w:r>
          </w:p>
        </w:tc>
        <w:tc>
          <w:tcPr>
            <w:tcW w:w="7224"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Значения экосистемных услуг выявляются косвенно через покупки (например, цены на жилье) или поведение (транспортные расходы). Примеры, используемые в OpenNESS, включают: (i) гедонистическое ценообразование, которое является изучением множественной корреляции между экологическими характеристиками товара и его продажной ценой; и (ii) методы транспортных расходов (TCM), основанные на наблюдении, что рекреационные услуги могут быть реализованы только через физический доступ к природе.</w:t>
            </w:r>
          </w:p>
        </w:tc>
      </w:tr>
      <w:tr w:rsidR="009F2A88" w:rsidTr="005F2A00">
        <w:tc>
          <w:tcPr>
            <w:tcW w:w="2241" w:type="dxa"/>
          </w:tcPr>
          <w:p w:rsidR="009F2A88" w:rsidRDefault="009F2A88" w:rsidP="005F2A0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Заявленные методы предпочтения</w:t>
            </w:r>
          </w:p>
        </w:tc>
        <w:tc>
          <w:tcPr>
            <w:tcW w:w="7224" w:type="dxa"/>
          </w:tcPr>
          <w:p w:rsidR="009F2A88" w:rsidRDefault="009F2A88" w:rsidP="005F2A0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Заявленная оценка предпочтений - это семейство методов экономической оценки, которые используют заявленные гипотетические выборы отдельных респондентов для оценки изменения полезности, связанного с предлагаемым увеличением качества или количества экосистемных услуг или набора услуг. Методы включают: (i) условную оценку; (ii) эксперименты выбора; и (iii) условное ранжирование среди других.</w:t>
            </w:r>
          </w:p>
        </w:tc>
      </w:tr>
      <w:tr w:rsidR="00EA72C7" w:rsidTr="003E7002">
        <w:tc>
          <w:tcPr>
            <w:tcW w:w="9465" w:type="dxa"/>
            <w:gridSpan w:val="2"/>
            <w:tcBorders>
              <w:top w:val="nil"/>
              <w:left w:val="nil"/>
              <w:right w:val="nil"/>
            </w:tcBorders>
          </w:tcPr>
          <w:p w:rsidR="00EA72C7" w:rsidRDefault="00EA72C7" w:rsidP="003E7002">
            <w:pPr>
              <w:ind w:hanging="108"/>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Продолжение таблицы Б.1</w:t>
            </w:r>
          </w:p>
          <w:p w:rsidR="00EA72C7" w:rsidRDefault="00EA72C7" w:rsidP="003E7002">
            <w:pPr>
              <w:ind w:hanging="108"/>
              <w:rPr>
                <w:rFonts w:ascii="Times New Roman" w:eastAsia="Times New Roman" w:hAnsi="Times New Roman" w:cs="Times New Roman"/>
                <w:sz w:val="16"/>
                <w:szCs w:val="16"/>
              </w:rPr>
            </w:pPr>
            <w:r>
              <w:rPr>
                <w:rFonts w:ascii="Times New Roman" w:eastAsia="Times New Roman" w:hAnsi="Times New Roman" w:cs="Times New Roman"/>
                <w:sz w:val="24"/>
                <w:szCs w:val="24"/>
              </w:rPr>
              <w:t xml:space="preserve"> </w:t>
            </w:r>
          </w:p>
        </w:tc>
      </w:tr>
      <w:tr w:rsidR="00EA72C7" w:rsidTr="006E5560">
        <w:tc>
          <w:tcPr>
            <w:tcW w:w="2241"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24"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A72C7" w:rsidTr="006E5560">
        <w:tc>
          <w:tcPr>
            <w:tcW w:w="224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Заявленные методы предпочтения</w:t>
            </w:r>
          </w:p>
        </w:tc>
        <w:tc>
          <w:tcPr>
            <w:tcW w:w="7224"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Заявленная оценка предпочтений - это семейство методов экономической оценки, которые используют заявленные гипотетические выборы отдельных респондентов для оценки изменения полезности, связанного с предлагаемым увеличением качества или количества экосистемных услуг или набора услуг. Методы включают: (i) условную оценку; (ii) эксперименты выбора; и (iii) условное ранжирование среди других.</w:t>
            </w:r>
          </w:p>
        </w:tc>
      </w:tr>
      <w:tr w:rsidR="00EA72C7" w:rsidTr="006E5560">
        <w:tc>
          <w:tcPr>
            <w:tcW w:w="224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Ресурсная аренда</w:t>
            </w:r>
          </w:p>
        </w:tc>
        <w:tc>
          <w:tcPr>
            <w:tcW w:w="7224"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 ресурсной ренты выводит стоимость экосистемной услуги как остаток после того, как вклады других форм капитала были вычтены из операционной прибыли.</w:t>
            </w:r>
          </w:p>
        </w:tc>
      </w:tr>
      <w:tr w:rsidR="00EA72C7" w:rsidTr="006E5560">
        <w:tc>
          <w:tcPr>
            <w:tcW w:w="224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Имитация обмена</w:t>
            </w:r>
          </w:p>
        </w:tc>
        <w:tc>
          <w:tcPr>
            <w:tcW w:w="7224"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основе производной функции спроса можно оценить предельную обменную стоимость, выбрав точку вдоль функции спроса, либо на основе наблюдаемого поведения, либо путем пересечения с моделируемой кривой предложения. Это экспериментальный метод, предложенный для учета экосистем.</w:t>
            </w:r>
          </w:p>
        </w:tc>
      </w:tr>
      <w:tr w:rsidR="00EA72C7" w:rsidTr="006E5560">
        <w:tc>
          <w:tcPr>
            <w:tcW w:w="224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Функция производства / стоимости</w:t>
            </w:r>
          </w:p>
        </w:tc>
        <w:tc>
          <w:tcPr>
            <w:tcW w:w="7224"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Эти подходы связывают выпуск рыночных товаров с входами экосистемных услуг посредством использования эконометрических методов.</w:t>
            </w:r>
          </w:p>
        </w:tc>
      </w:tr>
      <w:tr w:rsidR="00EA72C7" w:rsidTr="006E5560">
        <w:tc>
          <w:tcPr>
            <w:tcW w:w="224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Передача стоимости</w:t>
            </w:r>
          </w:p>
        </w:tc>
        <w:tc>
          <w:tcPr>
            <w:tcW w:w="7224"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Перенос выгод (BT), или, в более общем смысле, - перенос стоимости (VT) - относится к применению количественных оценок стоимости экосистемных услуг из существующих исследований в другом контексте.</w:t>
            </w:r>
          </w:p>
        </w:tc>
      </w:tr>
      <w:tr w:rsidR="00EA72C7" w:rsidTr="00CC5363">
        <w:tc>
          <w:tcPr>
            <w:tcW w:w="2241" w:type="dxa"/>
            <w:tcBorders>
              <w:bottom w:val="single" w:sz="4" w:space="0" w:color="000000"/>
            </w:tcBorders>
          </w:tcPr>
          <w:p w:rsidR="00EA72C7" w:rsidRDefault="00EA72C7" w:rsidP="003E700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Интегративные методы</w:t>
            </w:r>
          </w:p>
        </w:tc>
        <w:tc>
          <w:tcPr>
            <w:tcW w:w="7224" w:type="dxa"/>
            <w:tcBorders>
              <w:bottom w:val="single" w:sz="4" w:space="0" w:color="000000"/>
            </w:tcBorders>
          </w:tcPr>
          <w:p w:rsidR="00EA72C7" w:rsidRDefault="00EA72C7" w:rsidP="003E7002">
            <w:pPr>
              <w:rPr>
                <w:rFonts w:ascii="Times New Roman" w:eastAsia="Times New Roman" w:hAnsi="Times New Roman" w:cs="Times New Roman"/>
                <w:sz w:val="24"/>
                <w:szCs w:val="24"/>
              </w:rPr>
            </w:pPr>
          </w:p>
        </w:tc>
      </w:tr>
      <w:tr w:rsidR="00EA72C7" w:rsidTr="00CC5363">
        <w:tc>
          <w:tcPr>
            <w:tcW w:w="2241"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Байесовские Сети Убеждений (BBNs)</w:t>
            </w:r>
          </w:p>
        </w:tc>
        <w:tc>
          <w:tcPr>
            <w:tcW w:w="7224"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BBN основаны на графической структуре, состоящей из узлов, представляющих, например, процессы или факторы, и ссылок, указывающих, как узлы связаны. BBN могут быть построены из комбинации исторических данных и экспертных знаний, но BBN, представляющие экосистемные услуги, в основном получены из экспертных знаний, поскольку исторических данных немного. Каждая ссылка представляет отношение зависимости, так что каждый узел имеет условное распределение вероятностей, определяющее (причинную) связь между значениями узлов с входящими ссылками на узел и значениями самого узла. Это означает, что неопределенность явно принимается во внимание, BBN могут быть связаны с ГИС для проведения пространственного анализа.</w:t>
            </w:r>
          </w:p>
          <w:p w:rsidR="007F7B5C" w:rsidRDefault="007F7B5C" w:rsidP="003E7002">
            <w:pPr>
              <w:rPr>
                <w:rFonts w:ascii="Times New Roman" w:eastAsia="Times New Roman" w:hAnsi="Times New Roman" w:cs="Times New Roman"/>
                <w:sz w:val="24"/>
                <w:szCs w:val="24"/>
              </w:rPr>
            </w:pPr>
          </w:p>
        </w:tc>
      </w:tr>
      <w:tr w:rsidR="007F7B5C" w:rsidTr="00CC5363">
        <w:tc>
          <w:tcPr>
            <w:tcW w:w="9465" w:type="dxa"/>
            <w:gridSpan w:val="2"/>
            <w:tcBorders>
              <w:top w:val="nil"/>
              <w:left w:val="nil"/>
              <w:bottom w:val="single" w:sz="4" w:space="0" w:color="auto"/>
              <w:right w:val="nil"/>
            </w:tcBorders>
          </w:tcPr>
          <w:p w:rsidR="007F7B5C" w:rsidRDefault="007F7B5C" w:rsidP="003E7002">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Продолжение таблицы Б.1</w:t>
            </w:r>
          </w:p>
          <w:p w:rsidR="00CC5363" w:rsidRPr="00CC5363" w:rsidRDefault="00CC5363" w:rsidP="003E7002">
            <w:pPr>
              <w:rPr>
                <w:rFonts w:ascii="Times New Roman" w:eastAsia="Times New Roman" w:hAnsi="Times New Roman" w:cs="Times New Roman"/>
                <w:sz w:val="16"/>
                <w:szCs w:val="16"/>
              </w:rPr>
            </w:pPr>
          </w:p>
        </w:tc>
      </w:tr>
      <w:tr w:rsidR="007F7B5C" w:rsidTr="00CC5363">
        <w:tc>
          <w:tcPr>
            <w:tcW w:w="2241" w:type="dxa"/>
            <w:tcBorders>
              <w:top w:val="single" w:sz="4" w:space="0" w:color="auto"/>
            </w:tcBorders>
          </w:tcPr>
          <w:p w:rsidR="007F7B5C" w:rsidRDefault="007F7B5C" w:rsidP="007F7B5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24" w:type="dxa"/>
            <w:tcBorders>
              <w:top w:val="single" w:sz="4" w:space="0" w:color="auto"/>
            </w:tcBorders>
          </w:tcPr>
          <w:p w:rsidR="007F7B5C" w:rsidRDefault="007F7B5C" w:rsidP="007F7B5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A72C7" w:rsidTr="006E5560">
        <w:tc>
          <w:tcPr>
            <w:tcW w:w="224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Многокритериаль-ный анализ решений (MCDA)</w:t>
            </w:r>
          </w:p>
        </w:tc>
        <w:tc>
          <w:tcPr>
            <w:tcW w:w="7224"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MCDA - это общий термин для описания совокупности формальных подходов, которые стремятся четко учесть несколько критериев, помогая отдельным лицам или группам исследовать важные решения. Пространственные MCDA выполняются в ГИС, чтобы обеспечить визуализацию множества критериев.</w:t>
            </w:r>
          </w:p>
        </w:tc>
      </w:tr>
      <w:tr w:rsidR="00EA72C7" w:rsidRPr="003E077A" w:rsidTr="003E7002">
        <w:tc>
          <w:tcPr>
            <w:tcW w:w="9465" w:type="dxa"/>
            <w:gridSpan w:val="2"/>
          </w:tcPr>
          <w:p w:rsidR="00EA72C7" w:rsidRPr="003E077A" w:rsidRDefault="00EA72C7" w:rsidP="003E7002">
            <w:pPr>
              <w:ind w:firstLine="5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по источнику [82, р. 481-497]</w:t>
            </w:r>
          </w:p>
        </w:tc>
      </w:tr>
    </w:tbl>
    <w:p w:rsidR="00EA72C7" w:rsidRPr="003E077A" w:rsidRDefault="00EA72C7" w:rsidP="00EA72C7">
      <w:pPr>
        <w:spacing w:after="0" w:line="240" w:lineRule="auto"/>
        <w:jc w:val="both"/>
        <w:rPr>
          <w:rFonts w:ascii="Times New Roman" w:eastAsia="Times New Roman" w:hAnsi="Times New Roman" w:cs="Times New Roman"/>
          <w:sz w:val="28"/>
          <w:szCs w:val="28"/>
        </w:rPr>
      </w:pPr>
    </w:p>
    <w:p w:rsidR="00EA72C7" w:rsidRPr="003E077A" w:rsidRDefault="00EA72C7" w:rsidP="00EA72C7">
      <w:pPr>
        <w:spacing w:after="0" w:line="240" w:lineRule="auto"/>
        <w:jc w:val="both"/>
        <w:rPr>
          <w:rFonts w:ascii="Times New Roman" w:eastAsia="Times New Roman" w:hAnsi="Times New Roman" w:cs="Times New Roman"/>
          <w:sz w:val="28"/>
          <w:szCs w:val="28"/>
        </w:rPr>
      </w:pPr>
    </w:p>
    <w:p w:rsidR="00EA72C7" w:rsidRPr="003E077A" w:rsidRDefault="00EA72C7" w:rsidP="00EA72C7">
      <w:pPr>
        <w:spacing w:after="0" w:line="240" w:lineRule="auto"/>
        <w:jc w:val="both"/>
        <w:rPr>
          <w:rFonts w:ascii="Times New Roman" w:eastAsia="Times New Roman" w:hAnsi="Times New Roman" w:cs="Times New Roman"/>
          <w:sz w:val="28"/>
          <w:szCs w:val="28"/>
        </w:rPr>
      </w:pPr>
    </w:p>
    <w:p w:rsidR="00EA72C7" w:rsidRPr="003E077A" w:rsidRDefault="00EA72C7" w:rsidP="00EA72C7">
      <w:pPr>
        <w:spacing w:after="0" w:line="240" w:lineRule="auto"/>
        <w:jc w:val="both"/>
        <w:rPr>
          <w:rFonts w:ascii="Times New Roman" w:eastAsia="Times New Roman" w:hAnsi="Times New Roman" w:cs="Times New Roman"/>
          <w:sz w:val="28"/>
          <w:szCs w:val="28"/>
        </w:rPr>
        <w:sectPr w:rsidR="00EA72C7" w:rsidRPr="003E077A">
          <w:pgSz w:w="11906" w:h="16838"/>
          <w:pgMar w:top="1134" w:right="566" w:bottom="1134" w:left="1701" w:header="709" w:footer="709" w:gutter="0"/>
          <w:cols w:space="720"/>
          <w:titlePg/>
        </w:sectPr>
      </w:pPr>
    </w:p>
    <w:p w:rsidR="00EA72C7" w:rsidRDefault="00EA72C7" w:rsidP="00EA72C7">
      <w:pPr>
        <w:pStyle w:val="2"/>
        <w:spacing w:before="0" w:line="240" w:lineRule="auto"/>
        <w:jc w:val="center"/>
        <w:rPr>
          <w:rFonts w:ascii="Times New Roman" w:eastAsia="Times New Roman" w:hAnsi="Times New Roman" w:cs="Times New Roman"/>
          <w:color w:val="000000"/>
          <w:sz w:val="28"/>
          <w:szCs w:val="28"/>
        </w:rPr>
      </w:pPr>
      <w:bookmarkStart w:id="29" w:name="_heading=h.1pxezwc" w:colFirst="0" w:colLast="0"/>
      <w:bookmarkEnd w:id="29"/>
      <w:r>
        <w:rPr>
          <w:rFonts w:ascii="Times New Roman" w:eastAsia="Times New Roman" w:hAnsi="Times New Roman" w:cs="Times New Roman"/>
          <w:color w:val="000000"/>
          <w:sz w:val="28"/>
          <w:szCs w:val="28"/>
        </w:rPr>
        <w:lastRenderedPageBreak/>
        <w:t xml:space="preserve">ПРИЛОЖЕНИЕ В </w:t>
      </w:r>
    </w:p>
    <w:p w:rsidR="00EA72C7" w:rsidRDefault="00EA72C7" w:rsidP="00EA72C7">
      <w:pPr>
        <w:pStyle w:val="2"/>
        <w:spacing w:before="0" w:line="240" w:lineRule="auto"/>
        <w:jc w:val="center"/>
        <w:rPr>
          <w:rFonts w:ascii="Times New Roman" w:eastAsia="Times New Roman" w:hAnsi="Times New Roman" w:cs="Times New Roman"/>
          <w:color w:val="000000"/>
          <w:sz w:val="28"/>
          <w:szCs w:val="28"/>
        </w:rPr>
      </w:pPr>
    </w:p>
    <w:p w:rsidR="00EA72C7" w:rsidRDefault="00EA72C7" w:rsidP="00EA72C7">
      <w:pPr>
        <w:pStyle w:val="2"/>
        <w:spacing w:before="0" w:line="240" w:lineRule="auto"/>
        <w:jc w:val="both"/>
        <w:rPr>
          <w:rFonts w:ascii="Times New Roman" w:eastAsia="Times New Roman" w:hAnsi="Times New Roman" w:cs="Times New Roman"/>
          <w:b w:val="0"/>
          <w:color w:val="000000"/>
          <w:sz w:val="28"/>
          <w:szCs w:val="28"/>
        </w:rPr>
      </w:pPr>
      <w:r>
        <w:rPr>
          <w:rFonts w:ascii="Times New Roman" w:eastAsia="Times New Roman" w:hAnsi="Times New Roman" w:cs="Times New Roman"/>
          <w:b w:val="0"/>
          <w:color w:val="000000"/>
          <w:sz w:val="28"/>
          <w:szCs w:val="28"/>
        </w:rPr>
        <w:t>Таблица В.1 – Проект «Гармонизация управления информацией для улучшения знаний и мониторинга глобальной окружающей среды в Грузии»</w:t>
      </w:r>
    </w:p>
    <w:p w:rsidR="00EA72C7" w:rsidRDefault="00EA72C7" w:rsidP="00EA72C7">
      <w:pPr>
        <w:spacing w:after="0" w:line="240" w:lineRule="auto"/>
        <w:rPr>
          <w:sz w:val="16"/>
          <w:szCs w:val="16"/>
        </w:rPr>
      </w:pPr>
    </w:p>
    <w:tbl>
      <w:tblPr>
        <w:tblW w:w="1451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3"/>
        <w:gridCol w:w="2701"/>
        <w:gridCol w:w="3495"/>
        <w:gridCol w:w="3739"/>
        <w:gridCol w:w="2358"/>
      </w:tblGrid>
      <w:tr w:rsidR="00EA72C7" w:rsidTr="003E7002">
        <w:trPr>
          <w:cantSplit/>
        </w:trPr>
        <w:tc>
          <w:tcPr>
            <w:tcW w:w="2223"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EIM</w:t>
            </w:r>
          </w:p>
        </w:tc>
        <w:tc>
          <w:tcPr>
            <w:tcW w:w="2701"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Непременное условие</w:t>
            </w:r>
          </w:p>
        </w:tc>
        <w:tc>
          <w:tcPr>
            <w:tcW w:w="3495"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Вызов</w:t>
            </w:r>
          </w:p>
        </w:tc>
        <w:tc>
          <w:tcPr>
            <w:tcW w:w="3739"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Действие</w:t>
            </w:r>
          </w:p>
        </w:tc>
        <w:tc>
          <w:tcPr>
            <w:tcW w:w="2358"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Комментарий</w:t>
            </w:r>
          </w:p>
        </w:tc>
      </w:tr>
      <w:tr w:rsidR="00EA72C7" w:rsidTr="003E7002">
        <w:trPr>
          <w:tblHeader/>
        </w:trPr>
        <w:tc>
          <w:tcPr>
            <w:tcW w:w="2223"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01"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95"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739"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58"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EA72C7" w:rsidTr="003E7002">
        <w:trPr>
          <w:trHeight w:val="1625"/>
        </w:trPr>
        <w:tc>
          <w:tcPr>
            <w:tcW w:w="2223" w:type="dxa"/>
          </w:tcPr>
          <w:p w:rsidR="00EA72C7" w:rsidRDefault="00EA72C7" w:rsidP="003E7002">
            <w:pPr>
              <w:ind w:right="362"/>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1: Определение термина экологической информации</w:t>
            </w:r>
          </w:p>
          <w:p w:rsidR="00EA72C7" w:rsidRDefault="00EA72C7" w:rsidP="003E7002">
            <w:pPr>
              <w:rPr>
                <w:rFonts w:ascii="Times New Roman" w:eastAsia="Times New Roman" w:hAnsi="Times New Roman" w:cs="Times New Roman"/>
                <w:sz w:val="24"/>
                <w:szCs w:val="24"/>
              </w:rPr>
            </w:pPr>
          </w:p>
        </w:tc>
        <w:tc>
          <w:tcPr>
            <w:tcW w:w="2701" w:type="dxa"/>
          </w:tcPr>
          <w:p w:rsidR="00EA72C7" w:rsidRDefault="00EA72C7" w:rsidP="003E7002">
            <w:pP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Срок определен в соот ветствии с Законом Гру зии «Об охране окружа ющей среды» (1996 г.) в соответствии с требо ваниями Орхусской кон венции - определение от 2015 г.</w:t>
            </w:r>
          </w:p>
        </w:tc>
        <w:tc>
          <w:tcPr>
            <w:tcW w:w="3495"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не является достаточным для выполнения международных обязательств и принятия решений в нынешних условиях, поскольку такие сквозные сектора, как измене ние климата, не отражаются.</w:t>
            </w:r>
          </w:p>
        </w:tc>
        <w:tc>
          <w:tcPr>
            <w:tcW w:w="3739"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экологической информации в соответствии с международными обязательствами, требованиями к отчетности и мониторингу и потребностями для принятия решений</w:t>
            </w:r>
          </w:p>
        </w:tc>
        <w:tc>
          <w:tcPr>
            <w:tcW w:w="2358"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Процесс должен быть многосторон ним, многоотрас левым и многоуров невым. Подобный процесс организован GoG для NSDI</w:t>
            </w:r>
          </w:p>
        </w:tc>
      </w:tr>
      <w:tr w:rsidR="00EA72C7" w:rsidTr="003E7002">
        <w:tc>
          <w:tcPr>
            <w:tcW w:w="2223"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2: Национально утвержденные экологические показатели</w:t>
            </w: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tc>
        <w:tc>
          <w:tcPr>
            <w:tcW w:w="2701"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Некоторые из экологических отраслей имеют набор индика торов для мониторинга окружающей среды и отчетности перед международными конвенциями, а некоторые нет.</w:t>
            </w:r>
          </w:p>
          <w:p w:rsidR="00EA72C7" w:rsidRDefault="00EA72C7" w:rsidP="003E7002">
            <w:pPr>
              <w:rPr>
                <w:rFonts w:ascii="Times New Roman" w:eastAsia="Times New Roman" w:hAnsi="Times New Roman" w:cs="Times New Roman"/>
                <w:sz w:val="24"/>
                <w:szCs w:val="24"/>
              </w:rPr>
            </w:pPr>
          </w:p>
        </w:tc>
        <w:tc>
          <w:tcPr>
            <w:tcW w:w="3495" w:type="dxa"/>
            <w:tcBorders>
              <w:bottom w:val="nil"/>
            </w:tcBorders>
          </w:tcPr>
          <w:p w:rsidR="00EA72C7" w:rsidRDefault="00EA72C7" w:rsidP="003E7002">
            <w:pP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Существующий набор показа телей иногда не сопоставим с конкретными требованиями международных конвенций, стандартов ЕС, документов по национальной политике и т.д. И недостаточен для принятия решений на основе фактиче ских данных;</w:t>
            </w:r>
          </w:p>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В некоторых секторах нет та кого набора показателей;</w:t>
            </w:r>
          </w:p>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Часто агентства, ответственные за мониторинг и сбор данных, не определены, к ним относят </w:t>
            </w:r>
            <w:r>
              <w:rPr>
                <w:rFonts w:ascii="Times New Roman" w:eastAsia="Times New Roman" w:hAnsi="Times New Roman" w:cs="Times New Roman"/>
                <w:sz w:val="24"/>
                <w:szCs w:val="24"/>
              </w:rPr>
              <w:lastRenderedPageBreak/>
              <w:t>ся не только министерства, но и их подведомственные учреж дения, исследовательские институты и т.д.</w:t>
            </w:r>
          </w:p>
        </w:tc>
        <w:tc>
          <w:tcPr>
            <w:tcW w:w="3739"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Разработка и пересмотр в каче стве соответствующих наборов показателей для каждой природо охранной отрасли в соответствии с международными обязательст вами и стандартами ЕС;</w:t>
            </w:r>
          </w:p>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Пересмотр существующих данных / информации, доступной для набора показателей; доработ ка набросков индикаторов; </w:t>
            </w:r>
          </w:p>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Включение набора показателей в национальную статистику и статистику соответствующих </w:t>
            </w:r>
            <w:r>
              <w:rPr>
                <w:rFonts w:ascii="Times New Roman" w:eastAsia="Times New Roman" w:hAnsi="Times New Roman" w:cs="Times New Roman"/>
                <w:sz w:val="24"/>
                <w:szCs w:val="24"/>
              </w:rPr>
              <w:lastRenderedPageBreak/>
              <w:t>министерств, определенных как ответственные;</w:t>
            </w:r>
          </w:p>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Гармонизация наборов показа телей с показателями NSDI.</w:t>
            </w:r>
          </w:p>
        </w:tc>
        <w:tc>
          <w:tcPr>
            <w:tcW w:w="2358" w:type="dxa"/>
            <w:tcBorders>
              <w:bottom w:val="nil"/>
            </w:tcBorders>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r>
      <w:tr w:rsidR="00EA72C7" w:rsidTr="003E7002">
        <w:tc>
          <w:tcPr>
            <w:tcW w:w="14516" w:type="dxa"/>
            <w:gridSpan w:val="5"/>
            <w:tcBorders>
              <w:top w:val="nil"/>
              <w:left w:val="nil"/>
              <w:right w:val="nil"/>
            </w:tcBorders>
          </w:tcPr>
          <w:p w:rsidR="00EA72C7" w:rsidRDefault="00EA72C7" w:rsidP="003E7002">
            <w:pPr>
              <w:ind w:hanging="108"/>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Продолжение таблицы В.1</w:t>
            </w:r>
          </w:p>
          <w:p w:rsidR="00EA72C7" w:rsidRDefault="00EA72C7" w:rsidP="003E7002">
            <w:pPr>
              <w:ind w:hanging="108"/>
              <w:rPr>
                <w:rFonts w:ascii="Times New Roman" w:eastAsia="Times New Roman" w:hAnsi="Times New Roman" w:cs="Times New Roman"/>
                <w:sz w:val="16"/>
                <w:szCs w:val="16"/>
              </w:rPr>
            </w:pPr>
          </w:p>
        </w:tc>
      </w:tr>
      <w:tr w:rsidR="00EA72C7" w:rsidTr="003E7002">
        <w:tc>
          <w:tcPr>
            <w:tcW w:w="2223"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01"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95"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739"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58"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EA72C7" w:rsidTr="003E7002">
        <w:tc>
          <w:tcPr>
            <w:tcW w:w="2223" w:type="dxa"/>
          </w:tcPr>
          <w:p w:rsidR="00EA72C7" w:rsidRDefault="00EA72C7" w:rsidP="003E7002">
            <w:pPr>
              <w:rPr>
                <w:rFonts w:ascii="Times New Roman" w:eastAsia="Times New Roman" w:hAnsi="Times New Roman" w:cs="Times New Roman"/>
                <w:sz w:val="24"/>
                <w:szCs w:val="24"/>
              </w:rPr>
            </w:pPr>
          </w:p>
        </w:tc>
        <w:tc>
          <w:tcPr>
            <w:tcW w:w="2701" w:type="dxa"/>
          </w:tcPr>
          <w:p w:rsidR="00EA72C7" w:rsidRDefault="00EA72C7" w:rsidP="003E7002">
            <w:pPr>
              <w:rPr>
                <w:rFonts w:ascii="Times New Roman" w:eastAsia="Times New Roman" w:hAnsi="Times New Roman" w:cs="Times New Roman"/>
                <w:sz w:val="24"/>
                <w:szCs w:val="24"/>
              </w:rPr>
            </w:pPr>
          </w:p>
        </w:tc>
        <w:tc>
          <w:tcPr>
            <w:tcW w:w="3495" w:type="dxa"/>
          </w:tcPr>
          <w:p w:rsidR="00EA72C7" w:rsidRDefault="00EA72C7" w:rsidP="003E7002">
            <w:pPr>
              <w:rPr>
                <w:rFonts w:ascii="Times New Roman" w:eastAsia="Times New Roman" w:hAnsi="Times New Roman" w:cs="Times New Roman"/>
                <w:sz w:val="24"/>
                <w:szCs w:val="24"/>
              </w:rPr>
            </w:pPr>
          </w:p>
        </w:tc>
        <w:tc>
          <w:tcPr>
            <w:tcW w:w="3739"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Юридическое подтверждение показателей</w:t>
            </w:r>
          </w:p>
        </w:tc>
        <w:tc>
          <w:tcPr>
            <w:tcW w:w="2358" w:type="dxa"/>
          </w:tcPr>
          <w:p w:rsidR="00EA72C7" w:rsidRDefault="00EA72C7" w:rsidP="003E7002">
            <w:pPr>
              <w:rPr>
                <w:rFonts w:ascii="Times New Roman" w:eastAsia="Times New Roman" w:hAnsi="Times New Roman" w:cs="Times New Roman"/>
                <w:sz w:val="24"/>
                <w:szCs w:val="24"/>
              </w:rPr>
            </w:pPr>
          </w:p>
        </w:tc>
      </w:tr>
      <w:tr w:rsidR="00EA72C7" w:rsidTr="003E7002">
        <w:tc>
          <w:tcPr>
            <w:tcW w:w="2223" w:type="dxa"/>
            <w:tcBorders>
              <w:bottom w:val="single" w:sz="4" w:space="0" w:color="000000"/>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3: Обязанности правительственных заинтересованных сторон</w:t>
            </w: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tc>
        <w:tc>
          <w:tcPr>
            <w:tcW w:w="2701" w:type="dxa"/>
            <w:tcBorders>
              <w:bottom w:val="single" w:sz="4" w:space="0" w:color="000000"/>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Экологические обязанности министерств и подчиненных им учреждений, в том числе связанных с EIM, частично определены правовыми актами, и вся иерархия правовых актов не всегда отражает эти обязанности</w:t>
            </w:r>
          </w:p>
        </w:tc>
        <w:tc>
          <w:tcPr>
            <w:tcW w:w="3495" w:type="dxa"/>
            <w:tcBorders>
              <w:bottom w:val="single" w:sz="4" w:space="0" w:color="000000"/>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Вся законодательная иерархия (законы, подзаконные акты, решения парламента / правительства, постановления министров и т.д.) Всесторонне и последовательно должна отражать обязанности и уставные функции в управлении экологической информацией различных государственных органов.</w:t>
            </w:r>
          </w:p>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Уставы каждого министерства и подчиненных ему учреждений должны четко отражать, какие задачи и функции, в том числе задачи EIM, выполняются на индиви </w:t>
            </w:r>
            <w:r>
              <w:rPr>
                <w:rFonts w:ascii="Times New Roman" w:eastAsia="Times New Roman" w:hAnsi="Times New Roman" w:cs="Times New Roman"/>
                <w:sz w:val="24"/>
                <w:szCs w:val="24"/>
              </w:rPr>
              <w:lastRenderedPageBreak/>
              <w:t>дуальной основе, а какие в сот рудничестве с другими минис терствами и ведомствами.</w:t>
            </w:r>
          </w:p>
        </w:tc>
        <w:tc>
          <w:tcPr>
            <w:tcW w:w="3739" w:type="dxa"/>
            <w:tcBorders>
              <w:bottom w:val="single" w:sz="4" w:space="0" w:color="000000"/>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Стандарты (правила) пересмотра и разработки правовых актов Грузии должны быть доработаны, чтобы обеспечить преодоление фрагментации, связанной с функционированием системы EIM;</w:t>
            </w:r>
          </w:p>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Следует начать процесс пересмотра обязанностей, связанных с функционированием системы EIM для всей правовой иерархии;</w:t>
            </w:r>
          </w:p>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 учитывать европейскую практику при разработке уставов министерств и подведомственных учреждений.</w:t>
            </w:r>
          </w:p>
          <w:p w:rsidR="00EA72C7" w:rsidRDefault="00EA72C7" w:rsidP="003E7002">
            <w:pPr>
              <w:rPr>
                <w:rFonts w:ascii="Times New Roman" w:eastAsia="Times New Roman" w:hAnsi="Times New Roman" w:cs="Times New Roman"/>
                <w:sz w:val="24"/>
                <w:szCs w:val="24"/>
              </w:rPr>
            </w:pPr>
          </w:p>
        </w:tc>
        <w:tc>
          <w:tcPr>
            <w:tcW w:w="2358" w:type="dxa"/>
            <w:tcBorders>
              <w:bottom w:val="single" w:sz="4" w:space="0" w:color="000000"/>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Процесс должен быть многосторонним, многосекторальным и многоуровневым и включать в себя не только юристов, но и отраслевых экспертов</w:t>
            </w:r>
          </w:p>
        </w:tc>
      </w:tr>
      <w:tr w:rsidR="00EA72C7" w:rsidTr="003E7002">
        <w:tc>
          <w:tcPr>
            <w:tcW w:w="2223"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4: Научно-исследовательские институты и EIM</w:t>
            </w: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tc>
        <w:tc>
          <w:tcPr>
            <w:tcW w:w="2701"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 разным причинам исследовательские институты в Грузии не участвуют в работе системы EIM;</w:t>
            </w:r>
          </w:p>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странах ЕС эту задачу в основном.</w:t>
            </w:r>
          </w:p>
        </w:tc>
        <w:tc>
          <w:tcPr>
            <w:tcW w:w="3495"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EIM является сложной сквозной задачей; его реализация требует достаточного количества квалифицированных и самоотверженных исследований персонала;</w:t>
            </w:r>
          </w:p>
        </w:tc>
        <w:tc>
          <w:tcPr>
            <w:tcW w:w="3739"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подчинить MoENRP 3-4 соответствующие научно-исследовательские институты и делегировать им исследовательские задачи, выполняемые в настоящее время ведомствами министерства;</w:t>
            </w:r>
          </w:p>
        </w:tc>
        <w:tc>
          <w:tcPr>
            <w:tcW w:w="2358"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Процесс реформы и определения задач и решений должен возглавлять Минприроды при активном участии соответствующих </w:t>
            </w:r>
          </w:p>
        </w:tc>
      </w:tr>
      <w:tr w:rsidR="00EA72C7" w:rsidTr="003E7002">
        <w:tc>
          <w:tcPr>
            <w:tcW w:w="14516" w:type="dxa"/>
            <w:gridSpan w:val="5"/>
            <w:tcBorders>
              <w:top w:val="nil"/>
              <w:left w:val="nil"/>
              <w:right w:val="nil"/>
            </w:tcBorders>
          </w:tcPr>
          <w:p w:rsidR="00EA72C7" w:rsidRDefault="00EA72C7" w:rsidP="003E7002">
            <w:pPr>
              <w:ind w:hanging="108"/>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Продолжение таблицы В.1</w:t>
            </w:r>
          </w:p>
          <w:p w:rsidR="00EA72C7" w:rsidRDefault="00EA72C7" w:rsidP="003E7002">
            <w:pPr>
              <w:ind w:hanging="108"/>
              <w:rPr>
                <w:rFonts w:ascii="Times New Roman" w:eastAsia="Times New Roman" w:hAnsi="Times New Roman" w:cs="Times New Roman"/>
                <w:sz w:val="16"/>
                <w:szCs w:val="16"/>
              </w:rPr>
            </w:pPr>
          </w:p>
        </w:tc>
      </w:tr>
      <w:tr w:rsidR="00EA72C7" w:rsidTr="003E7002">
        <w:tc>
          <w:tcPr>
            <w:tcW w:w="2223"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01"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95"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739"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58"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EA72C7" w:rsidTr="003E7002">
        <w:tc>
          <w:tcPr>
            <w:tcW w:w="2223" w:type="dxa"/>
            <w:tcBorders>
              <w:bottom w:val="single" w:sz="4" w:space="0" w:color="000000"/>
            </w:tcBorders>
          </w:tcPr>
          <w:p w:rsidR="00EA72C7" w:rsidRDefault="00EA72C7" w:rsidP="003E7002">
            <w:pPr>
              <w:jc w:val="center"/>
              <w:rPr>
                <w:rFonts w:ascii="Times New Roman" w:eastAsia="Times New Roman" w:hAnsi="Times New Roman" w:cs="Times New Roman"/>
                <w:sz w:val="24"/>
                <w:szCs w:val="24"/>
              </w:rPr>
            </w:pPr>
          </w:p>
        </w:tc>
        <w:tc>
          <w:tcPr>
            <w:tcW w:w="2701" w:type="dxa"/>
            <w:tcBorders>
              <w:bottom w:val="single" w:sz="4" w:space="0" w:color="000000"/>
            </w:tcBorders>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исследовательские институты и университеты</w:t>
            </w:r>
          </w:p>
        </w:tc>
        <w:tc>
          <w:tcPr>
            <w:tcW w:w="3495" w:type="dxa"/>
            <w:tcBorders>
              <w:bottom w:val="single" w:sz="4" w:space="0" w:color="000000"/>
            </w:tcBorders>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Растущий спрос на расширение системы EIM требует устойчивых решений для ее улучшения и постоянного / эффективного функционирования;</w:t>
            </w:r>
          </w:p>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EIM возглавляют правительственные учреждения, подчиненные министерству, такие как NEA, APA, NFA в рамках MoENRP, </w:t>
            </w:r>
            <w:r>
              <w:rPr>
                <w:rFonts w:ascii="Times New Roman" w:eastAsia="Times New Roman" w:hAnsi="Times New Roman" w:cs="Times New Roman"/>
                <w:sz w:val="24"/>
                <w:szCs w:val="24"/>
              </w:rPr>
              <w:lastRenderedPageBreak/>
              <w:t>которые выполняют существен ные административные функ ции и воспринимаются общественностью как пра вительственные (государст венные) учреждения, поэтому любое увеличение их числен ности или бюджета персонала предмет критики;</w:t>
            </w:r>
          </w:p>
          <w:p w:rsidR="00EA72C7" w:rsidRDefault="00EA72C7" w:rsidP="003E7002">
            <w:pPr>
              <w:jc w:val="center"/>
              <w:rPr>
                <w:rFonts w:ascii="Times New Roman" w:eastAsia="Times New Roman" w:hAnsi="Times New Roman" w:cs="Times New Roman"/>
                <w:sz w:val="24"/>
                <w:szCs w:val="24"/>
              </w:rPr>
            </w:pPr>
          </w:p>
        </w:tc>
        <w:tc>
          <w:tcPr>
            <w:tcW w:w="3739" w:type="dxa"/>
            <w:tcBorders>
              <w:bottom w:val="single" w:sz="4" w:space="0" w:color="000000"/>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восстановить правовой статус соответствующих исследовательских институтов EIM, подчиненных университетам; </w:t>
            </w:r>
          </w:p>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Разработать исследовательские программы EIM с участием исследовательских институтов из системы Министерства образования и науки, используя в первую очередь средства, уже </w:t>
            </w:r>
            <w:r>
              <w:rPr>
                <w:rFonts w:ascii="Times New Roman" w:eastAsia="Times New Roman" w:hAnsi="Times New Roman" w:cs="Times New Roman"/>
                <w:sz w:val="24"/>
                <w:szCs w:val="24"/>
              </w:rPr>
              <w:lastRenderedPageBreak/>
              <w:t>выделенные для этих институтов (текущее основное финансиро вание институтов), а также использовать гранты Национальной науки Шота Руставели. Фонд (определяя EIM как приоритет для Фонда);</w:t>
            </w:r>
          </w:p>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Начать разработку плана расширения участия грузинских исследовательских институтов в соответствующих исследовательских программах EIM ЕС (Горизонт-2020).</w:t>
            </w:r>
          </w:p>
        </w:tc>
        <w:tc>
          <w:tcPr>
            <w:tcW w:w="2358" w:type="dxa"/>
            <w:tcBorders>
              <w:bottom w:val="single" w:sz="4" w:space="0" w:color="000000"/>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исследовательских институтов в этом процессе.</w:t>
            </w:r>
          </w:p>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первом этапе никакие дополнительные средства не должны предоставляться подчиненным исследовательским </w:t>
            </w:r>
            <w:r>
              <w:rPr>
                <w:rFonts w:ascii="Times New Roman" w:eastAsia="Times New Roman" w:hAnsi="Times New Roman" w:cs="Times New Roman"/>
                <w:sz w:val="24"/>
                <w:szCs w:val="24"/>
              </w:rPr>
              <w:lastRenderedPageBreak/>
              <w:t>институтам MoENRP.</w:t>
            </w:r>
          </w:p>
        </w:tc>
      </w:tr>
      <w:tr w:rsidR="00EA72C7" w:rsidTr="003E7002">
        <w:tc>
          <w:tcPr>
            <w:tcW w:w="2223"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Задача 5: НПО</w:t>
            </w: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tc>
        <w:tc>
          <w:tcPr>
            <w:tcW w:w="2701"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НПО могут играть важную роль в EIM благодаря своим знаниям и квалификации;</w:t>
            </w:r>
          </w:p>
        </w:tc>
        <w:tc>
          <w:tcPr>
            <w:tcW w:w="3495"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Координация и сотрудничество между НПО и правительством неэффективны и ориентированы на задачи EIM; Правительство должно </w:t>
            </w:r>
          </w:p>
        </w:tc>
        <w:tc>
          <w:tcPr>
            <w:tcW w:w="3739"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Использовать лучшие возможности НПО по разработке политики и законодательства. Было бы целесообразно разработать правительственный </w:t>
            </w:r>
          </w:p>
        </w:tc>
        <w:tc>
          <w:tcPr>
            <w:tcW w:w="2358"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GoG должен четко знать возможности и квалификацию</w:t>
            </w:r>
          </w:p>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НПО и их сотрудничество не </w:t>
            </w:r>
          </w:p>
        </w:tc>
      </w:tr>
      <w:tr w:rsidR="00EA72C7" w:rsidTr="003E7002">
        <w:tc>
          <w:tcPr>
            <w:tcW w:w="14516" w:type="dxa"/>
            <w:gridSpan w:val="5"/>
            <w:tcBorders>
              <w:top w:val="nil"/>
              <w:left w:val="nil"/>
              <w:right w:val="nil"/>
            </w:tcBorders>
          </w:tcPr>
          <w:p w:rsidR="00EA72C7" w:rsidRDefault="00EA72C7" w:rsidP="003E7002">
            <w:pPr>
              <w:ind w:hanging="108"/>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Продолжение таблицы В.1</w:t>
            </w:r>
          </w:p>
          <w:p w:rsidR="00EA72C7" w:rsidRDefault="00EA72C7" w:rsidP="003E7002">
            <w:pPr>
              <w:ind w:hanging="108"/>
              <w:rPr>
                <w:rFonts w:ascii="Times New Roman" w:eastAsia="Times New Roman" w:hAnsi="Times New Roman" w:cs="Times New Roman"/>
                <w:sz w:val="16"/>
                <w:szCs w:val="16"/>
              </w:rPr>
            </w:pPr>
          </w:p>
        </w:tc>
      </w:tr>
      <w:tr w:rsidR="00EA72C7" w:rsidTr="003E7002">
        <w:tc>
          <w:tcPr>
            <w:tcW w:w="2223"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01"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95"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739"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58"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EA72C7" w:rsidTr="003E7002">
        <w:tc>
          <w:tcPr>
            <w:tcW w:w="2223" w:type="dxa"/>
            <w:tcBorders>
              <w:bottom w:val="single" w:sz="4" w:space="0" w:color="000000"/>
            </w:tcBorders>
          </w:tcPr>
          <w:p w:rsidR="00EA72C7" w:rsidRDefault="00EA72C7" w:rsidP="003E7002">
            <w:pPr>
              <w:rPr>
                <w:rFonts w:ascii="Times New Roman" w:eastAsia="Times New Roman" w:hAnsi="Times New Roman" w:cs="Times New Roman"/>
                <w:sz w:val="24"/>
                <w:szCs w:val="24"/>
              </w:rPr>
            </w:pPr>
          </w:p>
        </w:tc>
        <w:tc>
          <w:tcPr>
            <w:tcW w:w="2701" w:type="dxa"/>
            <w:tcBorders>
              <w:bottom w:val="single" w:sz="4" w:space="0" w:color="000000"/>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Улучшение координа ции деятельности НПО с ГП повысит коорди </w:t>
            </w:r>
            <w:r>
              <w:rPr>
                <w:rFonts w:ascii="Times New Roman" w:eastAsia="Times New Roman" w:hAnsi="Times New Roman" w:cs="Times New Roman"/>
                <w:sz w:val="24"/>
                <w:szCs w:val="24"/>
              </w:rPr>
              <w:lastRenderedPageBreak/>
              <w:t>нацию доноров, обмен информацией и между народное сотрудниче ство, консультации по вопросам политики, сближение законодательства Грузии с нормативно-правовой базой ЕС и дополнит работу, выполняемую исследовательскими институтами, правитель ственными учрежде ниями и местными органами власти.</w:t>
            </w:r>
          </w:p>
        </w:tc>
        <w:tc>
          <w:tcPr>
            <w:tcW w:w="3495" w:type="dxa"/>
            <w:tcBorders>
              <w:bottom w:val="single" w:sz="4" w:space="0" w:color="000000"/>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предоставлять достаточные руководящие указания, поддержку и методические </w:t>
            </w:r>
            <w:r>
              <w:rPr>
                <w:rFonts w:ascii="Times New Roman" w:eastAsia="Times New Roman" w:hAnsi="Times New Roman" w:cs="Times New Roman"/>
                <w:sz w:val="24"/>
                <w:szCs w:val="24"/>
              </w:rPr>
              <w:lastRenderedPageBreak/>
              <w:t xml:space="preserve">рекомендации для НПО, информацию и данные по мере необходимости бесплатно; </w:t>
            </w:r>
          </w:p>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Польза от НПО получала финансирование, их советы и работу.</w:t>
            </w:r>
          </w:p>
          <w:p w:rsidR="00EA72C7" w:rsidRDefault="00EA72C7" w:rsidP="003E7002">
            <w:pPr>
              <w:rPr>
                <w:rFonts w:ascii="Times New Roman" w:eastAsia="Times New Roman" w:hAnsi="Times New Roman" w:cs="Times New Roman"/>
                <w:sz w:val="24"/>
                <w:szCs w:val="24"/>
              </w:rPr>
            </w:pPr>
          </w:p>
        </w:tc>
        <w:tc>
          <w:tcPr>
            <w:tcW w:w="3739" w:type="dxa"/>
            <w:tcBorders>
              <w:bottom w:val="single" w:sz="4" w:space="0" w:color="000000"/>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инструмент поддержки EIM для НПО. В этом случае участие НПО </w:t>
            </w:r>
            <w:r>
              <w:rPr>
                <w:rFonts w:ascii="Times New Roman" w:eastAsia="Times New Roman" w:hAnsi="Times New Roman" w:cs="Times New Roman"/>
                <w:sz w:val="24"/>
                <w:szCs w:val="24"/>
              </w:rPr>
              <w:lastRenderedPageBreak/>
              <w:t>станет более регулярным (менее зависимым от доноров).</w:t>
            </w:r>
          </w:p>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Координировать деятельность и возможности НПО с другими заинтересованными сторонами в рамках государственных программ EIM, которые должны быть разработаны.</w:t>
            </w:r>
          </w:p>
          <w:p w:rsidR="00EA72C7" w:rsidRDefault="00EA72C7" w:rsidP="003E7002">
            <w:pPr>
              <w:rPr>
                <w:rFonts w:ascii="Times New Roman" w:eastAsia="Times New Roman" w:hAnsi="Times New Roman" w:cs="Times New Roman"/>
                <w:sz w:val="24"/>
                <w:szCs w:val="24"/>
              </w:rPr>
            </w:pPr>
          </w:p>
        </w:tc>
        <w:tc>
          <w:tcPr>
            <w:tcW w:w="2358" w:type="dxa"/>
            <w:tcBorders>
              <w:bottom w:val="single" w:sz="4" w:space="0" w:color="000000"/>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должны быть поверхностными.</w:t>
            </w:r>
          </w:p>
        </w:tc>
      </w:tr>
      <w:tr w:rsidR="00EA72C7" w:rsidTr="003E7002">
        <w:tc>
          <w:tcPr>
            <w:tcW w:w="2223"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6: Местные власти</w:t>
            </w: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tc>
        <w:tc>
          <w:tcPr>
            <w:tcW w:w="2701"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Четкое определение роли МИО в системе EIM повысит эффек тивность сбора необра ботанных данных на местном уровне, особен но с учетом ограни ченных возможностей MoENRP на муници пальном уровне</w:t>
            </w:r>
          </w:p>
        </w:tc>
        <w:tc>
          <w:tcPr>
            <w:tcW w:w="3495"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Тем не менее, в соответствии с Органическим законом Грузии «Кодекс самоуправления» местные органы власти имеют некоторые экологические функции, их роль в EIM не определена;</w:t>
            </w:r>
          </w:p>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МИО в системе EIM в Грузии не определена законодательством;</w:t>
            </w:r>
          </w:p>
        </w:tc>
        <w:tc>
          <w:tcPr>
            <w:tcW w:w="3739"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роли МИО в системе EIM является долгосрочным и сложным процессом, требующим приверженности всех органов самоуправления Грузии, поправок к Основному закону, соответствующих подзаконных правовых актов и уставов муниципальных учреждений.</w:t>
            </w:r>
          </w:p>
        </w:tc>
        <w:tc>
          <w:tcPr>
            <w:tcW w:w="2358"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Любая дополнительная функция, делегированная МИО, должна дополняться соответствующей дополнительной финансовой поддержкой.</w:t>
            </w:r>
          </w:p>
        </w:tc>
      </w:tr>
      <w:tr w:rsidR="00EA72C7" w:rsidTr="003E7002">
        <w:tc>
          <w:tcPr>
            <w:tcW w:w="14516" w:type="dxa"/>
            <w:gridSpan w:val="5"/>
            <w:tcBorders>
              <w:top w:val="nil"/>
              <w:left w:val="nil"/>
              <w:right w:val="nil"/>
            </w:tcBorders>
          </w:tcPr>
          <w:p w:rsidR="00EA72C7" w:rsidRDefault="00EA72C7" w:rsidP="003E7002">
            <w:pPr>
              <w:ind w:hanging="108"/>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Продолжение таблицы В.1</w:t>
            </w:r>
          </w:p>
          <w:p w:rsidR="00EA72C7" w:rsidRDefault="00EA72C7" w:rsidP="003E7002">
            <w:pPr>
              <w:ind w:hanging="108"/>
              <w:rPr>
                <w:rFonts w:ascii="Times New Roman" w:eastAsia="Times New Roman" w:hAnsi="Times New Roman" w:cs="Times New Roman"/>
                <w:sz w:val="16"/>
                <w:szCs w:val="16"/>
              </w:rPr>
            </w:pPr>
          </w:p>
        </w:tc>
      </w:tr>
      <w:tr w:rsidR="00EA72C7" w:rsidTr="003E7002">
        <w:tc>
          <w:tcPr>
            <w:tcW w:w="2223"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01"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95"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739"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58"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EA72C7" w:rsidTr="003E7002">
        <w:tc>
          <w:tcPr>
            <w:tcW w:w="2223" w:type="dxa"/>
          </w:tcPr>
          <w:p w:rsidR="00EA72C7" w:rsidRDefault="00EA72C7" w:rsidP="003E7002">
            <w:pPr>
              <w:jc w:val="center"/>
              <w:rPr>
                <w:rFonts w:ascii="Times New Roman" w:eastAsia="Times New Roman" w:hAnsi="Times New Roman" w:cs="Times New Roman"/>
                <w:sz w:val="24"/>
                <w:szCs w:val="24"/>
              </w:rPr>
            </w:pPr>
          </w:p>
        </w:tc>
        <w:tc>
          <w:tcPr>
            <w:tcW w:w="2701" w:type="dxa"/>
          </w:tcPr>
          <w:p w:rsidR="00EA72C7" w:rsidRDefault="00EA72C7" w:rsidP="003E7002">
            <w:pPr>
              <w:jc w:val="center"/>
              <w:rPr>
                <w:rFonts w:ascii="Times New Roman" w:eastAsia="Times New Roman" w:hAnsi="Times New Roman" w:cs="Times New Roman"/>
                <w:sz w:val="24"/>
                <w:szCs w:val="24"/>
              </w:rPr>
            </w:pPr>
          </w:p>
        </w:tc>
        <w:tc>
          <w:tcPr>
            <w:tcW w:w="3495"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Уставы статистических отделов муниципалитетов отвечают только за сбор экономических и социальных данных.</w:t>
            </w:r>
          </w:p>
        </w:tc>
        <w:tc>
          <w:tcPr>
            <w:tcW w:w="3739" w:type="dxa"/>
          </w:tcPr>
          <w:p w:rsidR="00EA72C7" w:rsidRDefault="00EA72C7" w:rsidP="003E7002">
            <w:pPr>
              <w:jc w:val="center"/>
              <w:rPr>
                <w:rFonts w:ascii="Times New Roman" w:eastAsia="Times New Roman" w:hAnsi="Times New Roman" w:cs="Times New Roman"/>
                <w:sz w:val="24"/>
                <w:szCs w:val="24"/>
              </w:rPr>
            </w:pPr>
          </w:p>
        </w:tc>
        <w:tc>
          <w:tcPr>
            <w:tcW w:w="2358" w:type="dxa"/>
          </w:tcPr>
          <w:p w:rsidR="00EA72C7" w:rsidRDefault="00EA72C7" w:rsidP="003E7002">
            <w:pPr>
              <w:jc w:val="center"/>
              <w:rPr>
                <w:rFonts w:ascii="Times New Roman" w:eastAsia="Times New Roman" w:hAnsi="Times New Roman" w:cs="Times New Roman"/>
                <w:sz w:val="24"/>
                <w:szCs w:val="24"/>
              </w:rPr>
            </w:pPr>
          </w:p>
        </w:tc>
      </w:tr>
      <w:tr w:rsidR="00EA72C7" w:rsidTr="003E7002">
        <w:tc>
          <w:tcPr>
            <w:tcW w:w="2223" w:type="dxa"/>
            <w:tcBorders>
              <w:bottom w:val="single" w:sz="4" w:space="0" w:color="000000"/>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7: Бизнес-операторы</w:t>
            </w: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tc>
        <w:tc>
          <w:tcPr>
            <w:tcW w:w="2701" w:type="dxa"/>
            <w:tcBorders>
              <w:bottom w:val="single" w:sz="4" w:space="0" w:color="000000"/>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Бизнес-операторы, как и НПО, в случае более четкого распределения ролей и обязанностей в системе EIM через юридически обязатель ные документы также будут способствовать улучшению ее работы.</w:t>
            </w:r>
          </w:p>
        </w:tc>
        <w:tc>
          <w:tcPr>
            <w:tcW w:w="3495" w:type="dxa"/>
            <w:tcBorders>
              <w:bottom w:val="single" w:sz="4" w:space="0" w:color="000000"/>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Бизнес-операторы не имеют четких требований в EIM; однако многие из них могут и должны собирать и обрабатывать необработанные данные о состоянии окружающей среды, связанные с их работой</w:t>
            </w:r>
          </w:p>
        </w:tc>
        <w:tc>
          <w:tcPr>
            <w:tcW w:w="3739" w:type="dxa"/>
            <w:tcBorders>
              <w:bottom w:val="single" w:sz="4" w:space="0" w:color="000000"/>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Внести соответствующие поправки в грузинское законодательство в отношении мониторинга окружающей среды со стороны экономических операторов, что даст</w:t>
            </w:r>
          </w:p>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существенное улучшение работы системы EIM.</w:t>
            </w:r>
          </w:p>
        </w:tc>
        <w:tc>
          <w:tcPr>
            <w:tcW w:w="2358" w:type="dxa"/>
            <w:tcBorders>
              <w:bottom w:val="single" w:sz="4" w:space="0" w:color="000000"/>
            </w:tcBorders>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A72C7" w:rsidTr="003E7002">
        <w:tc>
          <w:tcPr>
            <w:tcW w:w="2223"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7: Правила найма персонала EIM и оценка эффективности</w:t>
            </w: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tc>
        <w:tc>
          <w:tcPr>
            <w:tcW w:w="2701"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Персонал, участвующий в EIM, должен обладать специальной квалификацией и навыками;Возможность их развития</w:t>
            </w:r>
          </w:p>
          <w:p w:rsidR="00EA72C7" w:rsidRDefault="00EA72C7" w:rsidP="003E7002">
            <w:pPr>
              <w:rPr>
                <w:rFonts w:ascii="Times New Roman" w:eastAsia="Times New Roman" w:hAnsi="Times New Roman" w:cs="Times New Roman"/>
                <w:sz w:val="24"/>
                <w:szCs w:val="24"/>
              </w:rPr>
            </w:pPr>
          </w:p>
        </w:tc>
        <w:tc>
          <w:tcPr>
            <w:tcW w:w="3495"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Большинство сотрудников, в настоящее время участвующих в EIM, поскольку они являются частью подчиненных минис терствам субъектов публичного права, таких как NEA, APA, NFA и т. д., Выполняют двой ные функции: административ ные и исследовательские; </w:t>
            </w:r>
            <w:r>
              <w:rPr>
                <w:rFonts w:ascii="Times New Roman" w:eastAsia="Times New Roman" w:hAnsi="Times New Roman" w:cs="Times New Roman"/>
                <w:sz w:val="24"/>
                <w:szCs w:val="24"/>
              </w:rPr>
              <w:lastRenderedPageBreak/>
              <w:t xml:space="preserve">Однако, Процедуры найма и оценки персонала для этих двух функций существенно различаются – администра тивные и исследовательские подразделения имеют разные системы оценки производи </w:t>
            </w:r>
          </w:p>
        </w:tc>
        <w:tc>
          <w:tcPr>
            <w:tcW w:w="3739" w:type="dxa"/>
            <w:tcBorders>
              <w:bottom w:val="nil"/>
            </w:tcBorders>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Должна быть установлена четкая система правил найма и анализа эффективности персонала, участвующего в EIM; в соответствии с которым административные и исследовательские функции не должны смешиваться.</w:t>
            </w:r>
          </w:p>
        </w:tc>
        <w:tc>
          <w:tcPr>
            <w:tcW w:w="2358" w:type="dxa"/>
            <w:tcBorders>
              <w:bottom w:val="nil"/>
            </w:tcBorders>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A72C7" w:rsidTr="003E7002">
        <w:tc>
          <w:tcPr>
            <w:tcW w:w="14516" w:type="dxa"/>
            <w:gridSpan w:val="5"/>
            <w:tcBorders>
              <w:top w:val="nil"/>
              <w:left w:val="nil"/>
              <w:right w:val="nil"/>
            </w:tcBorders>
          </w:tcPr>
          <w:p w:rsidR="00EA72C7" w:rsidRDefault="00EA72C7" w:rsidP="003E7002">
            <w:pPr>
              <w:ind w:hanging="108"/>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Продолжение таблицы В.1</w:t>
            </w:r>
          </w:p>
          <w:p w:rsidR="00EA72C7" w:rsidRDefault="00EA72C7" w:rsidP="003E7002">
            <w:pPr>
              <w:ind w:hanging="108"/>
              <w:rPr>
                <w:rFonts w:ascii="Times New Roman" w:eastAsia="Times New Roman" w:hAnsi="Times New Roman" w:cs="Times New Roman"/>
                <w:sz w:val="16"/>
                <w:szCs w:val="16"/>
              </w:rPr>
            </w:pPr>
          </w:p>
        </w:tc>
      </w:tr>
      <w:tr w:rsidR="00EA72C7" w:rsidTr="003E7002">
        <w:tc>
          <w:tcPr>
            <w:tcW w:w="2223"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01"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95"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739"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58"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EA72C7" w:rsidTr="003E7002">
        <w:tc>
          <w:tcPr>
            <w:tcW w:w="2223" w:type="dxa"/>
          </w:tcPr>
          <w:p w:rsidR="00EA72C7" w:rsidRDefault="00EA72C7" w:rsidP="003E7002">
            <w:pPr>
              <w:jc w:val="center"/>
              <w:rPr>
                <w:rFonts w:ascii="Times New Roman" w:eastAsia="Times New Roman" w:hAnsi="Times New Roman" w:cs="Times New Roman"/>
                <w:sz w:val="24"/>
                <w:szCs w:val="24"/>
              </w:rPr>
            </w:pPr>
          </w:p>
        </w:tc>
        <w:tc>
          <w:tcPr>
            <w:tcW w:w="2701" w:type="dxa"/>
          </w:tcPr>
          <w:p w:rsidR="00EA72C7" w:rsidRDefault="00EA72C7" w:rsidP="003E7002">
            <w:pPr>
              <w:jc w:val="center"/>
              <w:rPr>
                <w:rFonts w:ascii="Times New Roman" w:eastAsia="Times New Roman" w:hAnsi="Times New Roman" w:cs="Times New Roman"/>
                <w:sz w:val="24"/>
                <w:szCs w:val="24"/>
              </w:rPr>
            </w:pPr>
          </w:p>
        </w:tc>
        <w:tc>
          <w:tcPr>
            <w:tcW w:w="3495" w:type="dxa"/>
          </w:tcPr>
          <w:p w:rsidR="00EA72C7" w:rsidRDefault="00EA72C7" w:rsidP="003E70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тельности и эффективности работы.</w:t>
            </w:r>
          </w:p>
        </w:tc>
        <w:tc>
          <w:tcPr>
            <w:tcW w:w="3739" w:type="dxa"/>
          </w:tcPr>
          <w:p w:rsidR="00EA72C7" w:rsidRDefault="00EA72C7" w:rsidP="003E7002">
            <w:pPr>
              <w:jc w:val="center"/>
              <w:rPr>
                <w:rFonts w:ascii="Times New Roman" w:eastAsia="Times New Roman" w:hAnsi="Times New Roman" w:cs="Times New Roman"/>
                <w:sz w:val="24"/>
                <w:szCs w:val="24"/>
              </w:rPr>
            </w:pPr>
          </w:p>
        </w:tc>
        <w:tc>
          <w:tcPr>
            <w:tcW w:w="2358" w:type="dxa"/>
          </w:tcPr>
          <w:p w:rsidR="00EA72C7" w:rsidRDefault="00EA72C7" w:rsidP="003E7002">
            <w:pPr>
              <w:jc w:val="center"/>
              <w:rPr>
                <w:rFonts w:ascii="Times New Roman" w:eastAsia="Times New Roman" w:hAnsi="Times New Roman" w:cs="Times New Roman"/>
                <w:sz w:val="24"/>
                <w:szCs w:val="24"/>
              </w:rPr>
            </w:pPr>
          </w:p>
        </w:tc>
      </w:tr>
      <w:tr w:rsidR="00EA72C7" w:rsidTr="003E7002">
        <w:tc>
          <w:tcPr>
            <w:tcW w:w="2223"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8: Сближение национального законодательства со стандартами ЕС</w:t>
            </w: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tc>
        <w:tc>
          <w:tcPr>
            <w:tcW w:w="270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Национальное законодательство Грузии, в том числе касающееся системы EIM, должно быть согласовано со стандартами ЕС.</w:t>
            </w:r>
          </w:p>
          <w:p w:rsidR="00EA72C7" w:rsidRDefault="00EA72C7" w:rsidP="003E7002">
            <w:pPr>
              <w:rPr>
                <w:rFonts w:ascii="Times New Roman" w:eastAsia="Times New Roman" w:hAnsi="Times New Roman" w:cs="Times New Roman"/>
                <w:sz w:val="24"/>
                <w:szCs w:val="24"/>
              </w:rPr>
            </w:pPr>
          </w:p>
        </w:tc>
        <w:tc>
          <w:tcPr>
            <w:tcW w:w="3495"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Существующая грузинская система EIM сталкивается с двумя типами проблем: a) она не является полной, достаточно оперативной, противоречивой и неоднозначной из-за существующей институцио нальной несогласованности; и b) в свете Соглашения об ассоциации между ЕС и Грузией его необходимо согласовать с рядом требований, предусмотренных </w:t>
            </w:r>
            <w:r>
              <w:rPr>
                <w:rFonts w:ascii="Times New Roman" w:eastAsia="Times New Roman" w:hAnsi="Times New Roman" w:cs="Times New Roman"/>
                <w:sz w:val="24"/>
                <w:szCs w:val="24"/>
              </w:rPr>
              <w:lastRenderedPageBreak/>
              <w:t>в юридически обязательном документе.</w:t>
            </w:r>
          </w:p>
        </w:tc>
        <w:tc>
          <w:tcPr>
            <w:tcW w:w="3739"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Система EIM может быть сначала доработана с учетом существующих противоречий, а затем гармонизирована со стандартами ЕС, или процесс гармонизации может решить обе проблемы одновременно</w:t>
            </w:r>
          </w:p>
        </w:tc>
        <w:tc>
          <w:tcPr>
            <w:tcW w:w="2358"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A72C7" w:rsidTr="003E7002">
        <w:tc>
          <w:tcPr>
            <w:tcW w:w="2223"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9: План наращивания потенциала системы EIM</w:t>
            </w: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p w:rsidR="00EA72C7" w:rsidRDefault="00EA72C7" w:rsidP="003E7002">
            <w:pPr>
              <w:rPr>
                <w:rFonts w:ascii="Times New Roman" w:eastAsia="Times New Roman" w:hAnsi="Times New Roman" w:cs="Times New Roman"/>
                <w:sz w:val="24"/>
                <w:szCs w:val="24"/>
              </w:rPr>
            </w:pPr>
          </w:p>
        </w:tc>
        <w:tc>
          <w:tcPr>
            <w:tcW w:w="2701"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EIM нужда ется в регулярном нара щивании потенциала в плане повышения квалификации персо нала, развития и функ ционирования системы наблюдения, продви жения технических средств, улучшения мониторинга и т.д.</w:t>
            </w:r>
          </w:p>
        </w:tc>
        <w:tc>
          <w:tcPr>
            <w:tcW w:w="3495" w:type="dxa"/>
          </w:tcPr>
          <w:p w:rsidR="00EA72C7" w:rsidRDefault="00EA72C7" w:rsidP="003E70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EA72C7" w:rsidRDefault="00EA72C7" w:rsidP="003E7002">
            <w:pPr>
              <w:rPr>
                <w:rFonts w:ascii="Times New Roman" w:eastAsia="Times New Roman" w:hAnsi="Times New Roman" w:cs="Times New Roman"/>
                <w:sz w:val="24"/>
                <w:szCs w:val="24"/>
              </w:rPr>
            </w:pPr>
          </w:p>
        </w:tc>
        <w:tc>
          <w:tcPr>
            <w:tcW w:w="3739"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устранения вышеупомянутых барьеров агентства GoG должны разработать общий комплексный план по наращиванию потенциала для каждого участника системы EIM, участвующего в его реализации.</w:t>
            </w:r>
          </w:p>
          <w:p w:rsidR="00EA72C7" w:rsidRDefault="00EA72C7" w:rsidP="003E7002">
            <w:pPr>
              <w:rPr>
                <w:rFonts w:ascii="Times New Roman" w:eastAsia="Times New Roman" w:hAnsi="Times New Roman" w:cs="Times New Roman"/>
                <w:sz w:val="24"/>
                <w:szCs w:val="24"/>
              </w:rPr>
            </w:pPr>
          </w:p>
        </w:tc>
        <w:tc>
          <w:tcPr>
            <w:tcW w:w="2358" w:type="dxa"/>
          </w:tcPr>
          <w:p w:rsidR="00EA72C7" w:rsidRDefault="00EA72C7" w:rsidP="003E700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Процесс разработки и реализации плана по наращиванию потенциала системы EIM должен координироваться MoENRP</w:t>
            </w:r>
          </w:p>
        </w:tc>
      </w:tr>
    </w:tbl>
    <w:p w:rsidR="00EA72C7" w:rsidRDefault="00EA72C7" w:rsidP="00EA72C7">
      <w:pPr>
        <w:spacing w:after="0" w:line="240" w:lineRule="auto"/>
        <w:sectPr w:rsidR="00EA72C7" w:rsidSect="003E7002">
          <w:pgSz w:w="16838" w:h="11906" w:orient="landscape" w:code="9"/>
          <w:pgMar w:top="1701" w:right="1134" w:bottom="567" w:left="1134" w:header="709" w:footer="709" w:gutter="0"/>
          <w:cols w:space="720"/>
          <w:titlePg/>
        </w:sectPr>
      </w:pPr>
    </w:p>
    <w:p w:rsidR="00EA72C7" w:rsidRDefault="00EA72C7" w:rsidP="00EA72C7">
      <w:pPr>
        <w:pStyle w:val="2"/>
        <w:spacing w:before="0" w:line="240" w:lineRule="auto"/>
        <w:jc w:val="center"/>
        <w:rPr>
          <w:rFonts w:ascii="Times New Roman" w:eastAsia="Times New Roman" w:hAnsi="Times New Roman" w:cs="Times New Roman"/>
          <w:color w:val="000000"/>
          <w:sz w:val="28"/>
          <w:szCs w:val="28"/>
        </w:rPr>
      </w:pPr>
      <w:bookmarkStart w:id="30" w:name="_heading=h.49x2ik5" w:colFirst="0" w:colLast="0"/>
      <w:bookmarkEnd w:id="30"/>
      <w:r>
        <w:rPr>
          <w:rFonts w:ascii="Times New Roman" w:eastAsia="Times New Roman" w:hAnsi="Times New Roman" w:cs="Times New Roman"/>
          <w:color w:val="000000"/>
          <w:sz w:val="28"/>
          <w:szCs w:val="28"/>
        </w:rPr>
        <w:lastRenderedPageBreak/>
        <w:t xml:space="preserve">ПРИЛОЖЕНИЕ Г </w:t>
      </w:r>
    </w:p>
    <w:p w:rsidR="00EA72C7" w:rsidRDefault="00EA72C7" w:rsidP="00EA72C7">
      <w:pPr>
        <w:pStyle w:val="2"/>
        <w:spacing w:before="0" w:line="240" w:lineRule="auto"/>
        <w:jc w:val="center"/>
        <w:rPr>
          <w:rFonts w:ascii="Times New Roman" w:eastAsia="Times New Roman" w:hAnsi="Times New Roman" w:cs="Times New Roman"/>
          <w:color w:val="000000"/>
          <w:sz w:val="28"/>
          <w:szCs w:val="28"/>
        </w:rPr>
      </w:pPr>
    </w:p>
    <w:p w:rsidR="00EA72C7" w:rsidRDefault="00EA72C7" w:rsidP="00EA72C7">
      <w:pPr>
        <w:spacing w:after="0" w:line="240" w:lineRule="auto"/>
      </w:pPr>
    </w:p>
    <w:p w:rsidR="00EA72C7" w:rsidRDefault="00EA72C7" w:rsidP="00EA72C7">
      <w:pPr>
        <w:spacing w:after="0" w:line="240" w:lineRule="auto"/>
        <w:jc w:val="center"/>
      </w:pPr>
      <w:r>
        <w:rPr>
          <w:noProof/>
        </w:rPr>
        <mc:AlternateContent>
          <mc:Choice Requires="wpg">
            <w:drawing>
              <wp:inline distT="0" distB="0" distL="0" distR="0" wp14:anchorId="2B5BD28D" wp14:editId="7CA92FA1">
                <wp:extent cx="5838825" cy="6953250"/>
                <wp:effectExtent l="0" t="0" r="0" b="0"/>
                <wp:docPr id="102" name="Группа 102"/>
                <wp:cNvGraphicFramePr/>
                <a:graphic xmlns:a="http://schemas.openxmlformats.org/drawingml/2006/main">
                  <a:graphicData uri="http://schemas.microsoft.com/office/word/2010/wordprocessingGroup">
                    <wpg:wgp>
                      <wpg:cNvGrpSpPr/>
                      <wpg:grpSpPr>
                        <a:xfrm>
                          <a:off x="0" y="0"/>
                          <a:ext cx="5838825" cy="6953250"/>
                          <a:chOff x="0" y="0"/>
                          <a:chExt cx="5838825" cy="7027575"/>
                        </a:xfrm>
                      </wpg:grpSpPr>
                      <wpg:grpSp>
                        <wpg:cNvPr id="103" name="Группа 103"/>
                        <wpg:cNvGrpSpPr/>
                        <wpg:grpSpPr>
                          <a:xfrm>
                            <a:off x="0" y="0"/>
                            <a:ext cx="5838825" cy="6953250"/>
                            <a:chOff x="0" y="0"/>
                            <a:chExt cx="5838825" cy="6953250"/>
                          </a:xfrm>
                        </wpg:grpSpPr>
                        <wps:wsp>
                          <wps:cNvPr id="104" name="Прямоугольник 104"/>
                          <wps:cNvSpPr/>
                          <wps:spPr>
                            <a:xfrm>
                              <a:off x="0" y="0"/>
                              <a:ext cx="5838825" cy="6953250"/>
                            </a:xfrm>
                            <a:prstGeom prst="rect">
                              <a:avLst/>
                            </a:prstGeom>
                            <a:noFill/>
                            <a:ln>
                              <a:noFill/>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05" name="Полилиния 105"/>
                          <wps:cNvSpPr/>
                          <wps:spPr>
                            <a:xfrm>
                              <a:off x="4100951" y="1539155"/>
                              <a:ext cx="133399" cy="5094592"/>
                            </a:xfrm>
                            <a:custGeom>
                              <a:avLst/>
                              <a:gdLst/>
                              <a:ahLst/>
                              <a:cxnLst/>
                              <a:rect l="l" t="t" r="r" b="b"/>
                              <a:pathLst>
                                <a:path w="120000" h="120000" extrusionOk="0">
                                  <a:moveTo>
                                    <a:pt x="0" y="0"/>
                                  </a:moveTo>
                                  <a:lnTo>
                                    <a:pt x="0" y="120000"/>
                                  </a:lnTo>
                                  <a:lnTo>
                                    <a:pt x="120000" y="120000"/>
                                  </a:lnTo>
                                </a:path>
                              </a:pathLst>
                            </a:custGeom>
                            <a:noFill/>
                            <a:ln w="12700" cap="flat" cmpd="sng">
                              <a:solidFill>
                                <a:srgbClr val="3D4B5F"/>
                              </a:solidFill>
                              <a:prstDash val="solid"/>
                              <a:miter lim="800000"/>
                              <a:headEnd type="none" w="sm" len="sm"/>
                              <a:tailEnd type="none" w="sm" len="sm"/>
                            </a:ln>
                          </wps:spPr>
                          <wps:bodyPr spcFirstLastPara="1" wrap="square" lIns="91425" tIns="91425" rIns="91425" bIns="91425" anchor="ctr" anchorCtr="0">
                            <a:noAutofit/>
                          </wps:bodyPr>
                        </wps:wsp>
                        <wps:wsp>
                          <wps:cNvPr id="106" name="Полилиния 106"/>
                          <wps:cNvSpPr/>
                          <wps:spPr>
                            <a:xfrm>
                              <a:off x="3967551" y="1539155"/>
                              <a:ext cx="133399" cy="5094592"/>
                            </a:xfrm>
                            <a:custGeom>
                              <a:avLst/>
                              <a:gdLst/>
                              <a:ahLst/>
                              <a:cxnLst/>
                              <a:rect l="l" t="t" r="r" b="b"/>
                              <a:pathLst>
                                <a:path w="120000" h="120000" extrusionOk="0">
                                  <a:moveTo>
                                    <a:pt x="120000" y="0"/>
                                  </a:moveTo>
                                  <a:lnTo>
                                    <a:pt x="120000" y="120000"/>
                                  </a:lnTo>
                                  <a:lnTo>
                                    <a:pt x="0" y="120000"/>
                                  </a:lnTo>
                                </a:path>
                              </a:pathLst>
                            </a:custGeom>
                            <a:noFill/>
                            <a:ln w="12700" cap="flat" cmpd="sng">
                              <a:solidFill>
                                <a:srgbClr val="3D4B5F"/>
                              </a:solidFill>
                              <a:prstDash val="solid"/>
                              <a:miter lim="800000"/>
                              <a:headEnd type="none" w="sm" len="sm"/>
                              <a:tailEnd type="none" w="sm" len="sm"/>
                            </a:ln>
                          </wps:spPr>
                          <wps:bodyPr spcFirstLastPara="1" wrap="square" lIns="91425" tIns="91425" rIns="91425" bIns="91425" anchor="ctr" anchorCtr="0">
                            <a:noAutofit/>
                          </wps:bodyPr>
                        </wps:wsp>
                        <wps:wsp>
                          <wps:cNvPr id="107" name="Полилиния 107"/>
                          <wps:cNvSpPr/>
                          <wps:spPr>
                            <a:xfrm>
                              <a:off x="4100951" y="1539155"/>
                              <a:ext cx="133399" cy="4192557"/>
                            </a:xfrm>
                            <a:custGeom>
                              <a:avLst/>
                              <a:gdLst/>
                              <a:ahLst/>
                              <a:cxnLst/>
                              <a:rect l="l" t="t" r="r" b="b"/>
                              <a:pathLst>
                                <a:path w="120000" h="120000" extrusionOk="0">
                                  <a:moveTo>
                                    <a:pt x="0" y="0"/>
                                  </a:moveTo>
                                  <a:lnTo>
                                    <a:pt x="0" y="120000"/>
                                  </a:lnTo>
                                  <a:lnTo>
                                    <a:pt x="120000" y="120000"/>
                                  </a:lnTo>
                                </a:path>
                              </a:pathLst>
                            </a:custGeom>
                            <a:noFill/>
                            <a:ln w="12700" cap="flat" cmpd="sng">
                              <a:solidFill>
                                <a:srgbClr val="3D4B5F"/>
                              </a:solidFill>
                              <a:prstDash val="solid"/>
                              <a:miter lim="800000"/>
                              <a:headEnd type="none" w="sm" len="sm"/>
                              <a:tailEnd type="none" w="sm" len="sm"/>
                            </a:ln>
                          </wps:spPr>
                          <wps:bodyPr spcFirstLastPara="1" wrap="square" lIns="91425" tIns="91425" rIns="91425" bIns="91425" anchor="ctr" anchorCtr="0">
                            <a:noAutofit/>
                          </wps:bodyPr>
                        </wps:wsp>
                        <wps:wsp>
                          <wps:cNvPr id="108" name="Полилиния 108"/>
                          <wps:cNvSpPr/>
                          <wps:spPr>
                            <a:xfrm>
                              <a:off x="3967551" y="1539155"/>
                              <a:ext cx="133399" cy="4192557"/>
                            </a:xfrm>
                            <a:custGeom>
                              <a:avLst/>
                              <a:gdLst/>
                              <a:ahLst/>
                              <a:cxnLst/>
                              <a:rect l="l" t="t" r="r" b="b"/>
                              <a:pathLst>
                                <a:path w="120000" h="120000" extrusionOk="0">
                                  <a:moveTo>
                                    <a:pt x="120000" y="0"/>
                                  </a:moveTo>
                                  <a:lnTo>
                                    <a:pt x="120000" y="120000"/>
                                  </a:lnTo>
                                  <a:lnTo>
                                    <a:pt x="0" y="120000"/>
                                  </a:lnTo>
                                </a:path>
                              </a:pathLst>
                            </a:custGeom>
                            <a:noFill/>
                            <a:ln w="12700" cap="flat" cmpd="sng">
                              <a:solidFill>
                                <a:srgbClr val="3D4B5F"/>
                              </a:solidFill>
                              <a:prstDash val="solid"/>
                              <a:miter lim="800000"/>
                              <a:headEnd type="none" w="sm" len="sm"/>
                              <a:tailEnd type="none" w="sm" len="sm"/>
                            </a:ln>
                          </wps:spPr>
                          <wps:bodyPr spcFirstLastPara="1" wrap="square" lIns="91425" tIns="91425" rIns="91425" bIns="91425" anchor="ctr" anchorCtr="0">
                            <a:noAutofit/>
                          </wps:bodyPr>
                        </wps:wsp>
                        <wps:wsp>
                          <wps:cNvPr id="109" name="Полилиния 109"/>
                          <wps:cNvSpPr/>
                          <wps:spPr>
                            <a:xfrm>
                              <a:off x="4100951" y="1539155"/>
                              <a:ext cx="133399" cy="3290522"/>
                            </a:xfrm>
                            <a:custGeom>
                              <a:avLst/>
                              <a:gdLst/>
                              <a:ahLst/>
                              <a:cxnLst/>
                              <a:rect l="l" t="t" r="r" b="b"/>
                              <a:pathLst>
                                <a:path w="120000" h="120000" extrusionOk="0">
                                  <a:moveTo>
                                    <a:pt x="0" y="0"/>
                                  </a:moveTo>
                                  <a:lnTo>
                                    <a:pt x="0" y="120000"/>
                                  </a:lnTo>
                                  <a:lnTo>
                                    <a:pt x="120000" y="120000"/>
                                  </a:lnTo>
                                </a:path>
                              </a:pathLst>
                            </a:custGeom>
                            <a:noFill/>
                            <a:ln w="12700" cap="flat" cmpd="sng">
                              <a:solidFill>
                                <a:srgbClr val="3D4B5F"/>
                              </a:solidFill>
                              <a:prstDash val="solid"/>
                              <a:miter lim="800000"/>
                              <a:headEnd type="none" w="sm" len="sm"/>
                              <a:tailEnd type="none" w="sm" len="sm"/>
                            </a:ln>
                          </wps:spPr>
                          <wps:bodyPr spcFirstLastPara="1" wrap="square" lIns="91425" tIns="91425" rIns="91425" bIns="91425" anchor="ctr" anchorCtr="0">
                            <a:noAutofit/>
                          </wps:bodyPr>
                        </wps:wsp>
                        <wps:wsp>
                          <wps:cNvPr id="110" name="Полилиния 110"/>
                          <wps:cNvSpPr/>
                          <wps:spPr>
                            <a:xfrm>
                              <a:off x="3967551" y="1539155"/>
                              <a:ext cx="133399" cy="3290522"/>
                            </a:xfrm>
                            <a:custGeom>
                              <a:avLst/>
                              <a:gdLst/>
                              <a:ahLst/>
                              <a:cxnLst/>
                              <a:rect l="l" t="t" r="r" b="b"/>
                              <a:pathLst>
                                <a:path w="120000" h="120000" extrusionOk="0">
                                  <a:moveTo>
                                    <a:pt x="120000" y="0"/>
                                  </a:moveTo>
                                  <a:lnTo>
                                    <a:pt x="120000" y="120000"/>
                                  </a:lnTo>
                                  <a:lnTo>
                                    <a:pt x="0" y="120000"/>
                                  </a:lnTo>
                                </a:path>
                              </a:pathLst>
                            </a:custGeom>
                            <a:noFill/>
                            <a:ln w="12700" cap="flat" cmpd="sng">
                              <a:solidFill>
                                <a:srgbClr val="3D4B5F"/>
                              </a:solidFill>
                              <a:prstDash val="solid"/>
                              <a:miter lim="800000"/>
                              <a:headEnd type="none" w="sm" len="sm"/>
                              <a:tailEnd type="none" w="sm" len="sm"/>
                            </a:ln>
                          </wps:spPr>
                          <wps:bodyPr spcFirstLastPara="1" wrap="square" lIns="91425" tIns="91425" rIns="91425" bIns="91425" anchor="ctr" anchorCtr="0">
                            <a:noAutofit/>
                          </wps:bodyPr>
                        </wps:wsp>
                        <wps:wsp>
                          <wps:cNvPr id="111" name="Полилиния 111"/>
                          <wps:cNvSpPr/>
                          <wps:spPr>
                            <a:xfrm>
                              <a:off x="4100951" y="1539155"/>
                              <a:ext cx="133399" cy="2388487"/>
                            </a:xfrm>
                            <a:custGeom>
                              <a:avLst/>
                              <a:gdLst/>
                              <a:ahLst/>
                              <a:cxnLst/>
                              <a:rect l="l" t="t" r="r" b="b"/>
                              <a:pathLst>
                                <a:path w="120000" h="120000" extrusionOk="0">
                                  <a:moveTo>
                                    <a:pt x="0" y="0"/>
                                  </a:moveTo>
                                  <a:lnTo>
                                    <a:pt x="0" y="120000"/>
                                  </a:lnTo>
                                  <a:lnTo>
                                    <a:pt x="120000" y="120000"/>
                                  </a:lnTo>
                                </a:path>
                              </a:pathLst>
                            </a:custGeom>
                            <a:noFill/>
                            <a:ln w="12700" cap="flat" cmpd="sng">
                              <a:solidFill>
                                <a:srgbClr val="3D4B5F"/>
                              </a:solidFill>
                              <a:prstDash val="solid"/>
                              <a:miter lim="800000"/>
                              <a:headEnd type="none" w="sm" len="sm"/>
                              <a:tailEnd type="none" w="sm" len="sm"/>
                            </a:ln>
                          </wps:spPr>
                          <wps:bodyPr spcFirstLastPara="1" wrap="square" lIns="91425" tIns="91425" rIns="91425" bIns="91425" anchor="ctr" anchorCtr="0">
                            <a:noAutofit/>
                          </wps:bodyPr>
                        </wps:wsp>
                        <wps:wsp>
                          <wps:cNvPr id="112" name="Полилиния 112"/>
                          <wps:cNvSpPr/>
                          <wps:spPr>
                            <a:xfrm>
                              <a:off x="3967551" y="1539155"/>
                              <a:ext cx="133399" cy="2388487"/>
                            </a:xfrm>
                            <a:custGeom>
                              <a:avLst/>
                              <a:gdLst/>
                              <a:ahLst/>
                              <a:cxnLst/>
                              <a:rect l="l" t="t" r="r" b="b"/>
                              <a:pathLst>
                                <a:path w="120000" h="120000" extrusionOk="0">
                                  <a:moveTo>
                                    <a:pt x="120000" y="0"/>
                                  </a:moveTo>
                                  <a:lnTo>
                                    <a:pt x="120000" y="120000"/>
                                  </a:lnTo>
                                  <a:lnTo>
                                    <a:pt x="0" y="120000"/>
                                  </a:lnTo>
                                </a:path>
                              </a:pathLst>
                            </a:custGeom>
                            <a:noFill/>
                            <a:ln w="12700" cap="flat" cmpd="sng">
                              <a:solidFill>
                                <a:srgbClr val="3D4B5F"/>
                              </a:solidFill>
                              <a:prstDash val="solid"/>
                              <a:miter lim="800000"/>
                              <a:headEnd type="none" w="sm" len="sm"/>
                              <a:tailEnd type="none" w="sm" len="sm"/>
                            </a:ln>
                          </wps:spPr>
                          <wps:bodyPr spcFirstLastPara="1" wrap="square" lIns="91425" tIns="91425" rIns="91425" bIns="91425" anchor="ctr" anchorCtr="0">
                            <a:noAutofit/>
                          </wps:bodyPr>
                        </wps:wsp>
                        <wps:wsp>
                          <wps:cNvPr id="113" name="Полилиния 113"/>
                          <wps:cNvSpPr/>
                          <wps:spPr>
                            <a:xfrm>
                              <a:off x="4100951" y="1539155"/>
                              <a:ext cx="133399" cy="1486452"/>
                            </a:xfrm>
                            <a:custGeom>
                              <a:avLst/>
                              <a:gdLst/>
                              <a:ahLst/>
                              <a:cxnLst/>
                              <a:rect l="l" t="t" r="r" b="b"/>
                              <a:pathLst>
                                <a:path w="120000" h="120000" extrusionOk="0">
                                  <a:moveTo>
                                    <a:pt x="0" y="0"/>
                                  </a:moveTo>
                                  <a:lnTo>
                                    <a:pt x="0" y="120000"/>
                                  </a:lnTo>
                                  <a:lnTo>
                                    <a:pt x="120000" y="120000"/>
                                  </a:lnTo>
                                </a:path>
                              </a:pathLst>
                            </a:custGeom>
                            <a:noFill/>
                            <a:ln w="12700" cap="flat" cmpd="sng">
                              <a:solidFill>
                                <a:srgbClr val="3D4B5F"/>
                              </a:solidFill>
                              <a:prstDash val="solid"/>
                              <a:miter lim="800000"/>
                              <a:headEnd type="none" w="sm" len="sm"/>
                              <a:tailEnd type="none" w="sm" len="sm"/>
                            </a:ln>
                          </wps:spPr>
                          <wps:bodyPr spcFirstLastPara="1" wrap="square" lIns="91425" tIns="91425" rIns="91425" bIns="91425" anchor="ctr" anchorCtr="0">
                            <a:noAutofit/>
                          </wps:bodyPr>
                        </wps:wsp>
                        <wps:wsp>
                          <wps:cNvPr id="114" name="Полилиния 114"/>
                          <wps:cNvSpPr/>
                          <wps:spPr>
                            <a:xfrm>
                              <a:off x="3967551" y="1539155"/>
                              <a:ext cx="133399" cy="1486452"/>
                            </a:xfrm>
                            <a:custGeom>
                              <a:avLst/>
                              <a:gdLst/>
                              <a:ahLst/>
                              <a:cxnLst/>
                              <a:rect l="l" t="t" r="r" b="b"/>
                              <a:pathLst>
                                <a:path w="120000" h="120000" extrusionOk="0">
                                  <a:moveTo>
                                    <a:pt x="120000" y="0"/>
                                  </a:moveTo>
                                  <a:lnTo>
                                    <a:pt x="120000" y="120000"/>
                                  </a:lnTo>
                                  <a:lnTo>
                                    <a:pt x="0" y="120000"/>
                                  </a:lnTo>
                                </a:path>
                              </a:pathLst>
                            </a:custGeom>
                            <a:noFill/>
                            <a:ln w="12700" cap="flat" cmpd="sng">
                              <a:solidFill>
                                <a:srgbClr val="3D4B5F"/>
                              </a:solidFill>
                              <a:prstDash val="solid"/>
                              <a:miter lim="800000"/>
                              <a:headEnd type="none" w="sm" len="sm"/>
                              <a:tailEnd type="none" w="sm" len="sm"/>
                            </a:ln>
                          </wps:spPr>
                          <wps:bodyPr spcFirstLastPara="1" wrap="square" lIns="91425" tIns="91425" rIns="91425" bIns="91425" anchor="ctr" anchorCtr="0">
                            <a:noAutofit/>
                          </wps:bodyPr>
                        </wps:wsp>
                        <wps:wsp>
                          <wps:cNvPr id="115" name="Полилиния 115"/>
                          <wps:cNvSpPr/>
                          <wps:spPr>
                            <a:xfrm>
                              <a:off x="4100951" y="1539155"/>
                              <a:ext cx="133399" cy="584417"/>
                            </a:xfrm>
                            <a:custGeom>
                              <a:avLst/>
                              <a:gdLst/>
                              <a:ahLst/>
                              <a:cxnLst/>
                              <a:rect l="l" t="t" r="r" b="b"/>
                              <a:pathLst>
                                <a:path w="120000" h="120000" extrusionOk="0">
                                  <a:moveTo>
                                    <a:pt x="0" y="0"/>
                                  </a:moveTo>
                                  <a:lnTo>
                                    <a:pt x="0" y="120000"/>
                                  </a:lnTo>
                                  <a:lnTo>
                                    <a:pt x="120000" y="120000"/>
                                  </a:lnTo>
                                </a:path>
                              </a:pathLst>
                            </a:custGeom>
                            <a:noFill/>
                            <a:ln w="12700" cap="flat" cmpd="sng">
                              <a:solidFill>
                                <a:srgbClr val="3D4B5F"/>
                              </a:solidFill>
                              <a:prstDash val="solid"/>
                              <a:miter lim="800000"/>
                              <a:headEnd type="none" w="sm" len="sm"/>
                              <a:tailEnd type="none" w="sm" len="sm"/>
                            </a:ln>
                          </wps:spPr>
                          <wps:bodyPr spcFirstLastPara="1" wrap="square" lIns="91425" tIns="91425" rIns="91425" bIns="91425" anchor="ctr" anchorCtr="0">
                            <a:noAutofit/>
                          </wps:bodyPr>
                        </wps:wsp>
                        <wps:wsp>
                          <wps:cNvPr id="116" name="Полилиния 116"/>
                          <wps:cNvSpPr/>
                          <wps:spPr>
                            <a:xfrm>
                              <a:off x="3967551" y="1539155"/>
                              <a:ext cx="133399" cy="584417"/>
                            </a:xfrm>
                            <a:custGeom>
                              <a:avLst/>
                              <a:gdLst/>
                              <a:ahLst/>
                              <a:cxnLst/>
                              <a:rect l="l" t="t" r="r" b="b"/>
                              <a:pathLst>
                                <a:path w="120000" h="120000" extrusionOk="0">
                                  <a:moveTo>
                                    <a:pt x="120000" y="0"/>
                                  </a:moveTo>
                                  <a:lnTo>
                                    <a:pt x="120000" y="120000"/>
                                  </a:lnTo>
                                  <a:lnTo>
                                    <a:pt x="0" y="120000"/>
                                  </a:lnTo>
                                </a:path>
                              </a:pathLst>
                            </a:custGeom>
                            <a:noFill/>
                            <a:ln w="12700" cap="flat" cmpd="sng">
                              <a:solidFill>
                                <a:srgbClr val="3D4B5F"/>
                              </a:solidFill>
                              <a:prstDash val="solid"/>
                              <a:miter lim="800000"/>
                              <a:headEnd type="none" w="sm" len="sm"/>
                              <a:tailEnd type="none" w="sm" len="sm"/>
                            </a:ln>
                          </wps:spPr>
                          <wps:bodyPr spcFirstLastPara="1" wrap="square" lIns="91425" tIns="91425" rIns="91425" bIns="91425" anchor="ctr" anchorCtr="0">
                            <a:noAutofit/>
                          </wps:bodyPr>
                        </wps:wsp>
                        <wps:wsp>
                          <wps:cNvPr id="117" name="Полилиния 117"/>
                          <wps:cNvSpPr/>
                          <wps:spPr>
                            <a:xfrm>
                              <a:off x="2563680" y="637120"/>
                              <a:ext cx="902035" cy="584417"/>
                            </a:xfrm>
                            <a:custGeom>
                              <a:avLst/>
                              <a:gdLst/>
                              <a:ahLst/>
                              <a:cxnLst/>
                              <a:rect l="l" t="t" r="r" b="b"/>
                              <a:pathLst>
                                <a:path w="120000" h="120000" extrusionOk="0">
                                  <a:moveTo>
                                    <a:pt x="0" y="0"/>
                                  </a:moveTo>
                                  <a:lnTo>
                                    <a:pt x="0" y="120000"/>
                                  </a:lnTo>
                                  <a:lnTo>
                                    <a:pt x="120000" y="120000"/>
                                  </a:lnTo>
                                </a:path>
                              </a:pathLst>
                            </a:custGeom>
                            <a:noFill/>
                            <a:ln w="12700" cap="flat" cmpd="sng">
                              <a:solidFill>
                                <a:srgbClr val="354254"/>
                              </a:solidFill>
                              <a:prstDash val="solid"/>
                              <a:miter lim="800000"/>
                              <a:headEnd type="none" w="sm" len="sm"/>
                              <a:tailEnd type="none" w="sm" len="sm"/>
                            </a:ln>
                          </wps:spPr>
                          <wps:bodyPr spcFirstLastPara="1" wrap="square" lIns="91425" tIns="91425" rIns="91425" bIns="91425" anchor="ctr" anchorCtr="0">
                            <a:noAutofit/>
                          </wps:bodyPr>
                        </wps:wsp>
                        <wps:wsp>
                          <wps:cNvPr id="118" name="Полилиния 118"/>
                          <wps:cNvSpPr/>
                          <wps:spPr>
                            <a:xfrm>
                              <a:off x="969238" y="1539155"/>
                              <a:ext cx="190570" cy="4192557"/>
                            </a:xfrm>
                            <a:custGeom>
                              <a:avLst/>
                              <a:gdLst/>
                              <a:ahLst/>
                              <a:cxnLst/>
                              <a:rect l="l" t="t" r="r" b="b"/>
                              <a:pathLst>
                                <a:path w="120000" h="120000" extrusionOk="0">
                                  <a:moveTo>
                                    <a:pt x="0" y="0"/>
                                  </a:moveTo>
                                  <a:lnTo>
                                    <a:pt x="0" y="120000"/>
                                  </a:lnTo>
                                  <a:lnTo>
                                    <a:pt x="120000" y="120000"/>
                                  </a:lnTo>
                                </a:path>
                              </a:pathLst>
                            </a:custGeom>
                            <a:noFill/>
                            <a:ln w="12700" cap="flat" cmpd="sng">
                              <a:solidFill>
                                <a:srgbClr val="3D4B5F"/>
                              </a:solidFill>
                              <a:prstDash val="solid"/>
                              <a:miter lim="800000"/>
                              <a:headEnd type="none" w="sm" len="sm"/>
                              <a:tailEnd type="none" w="sm" len="sm"/>
                            </a:ln>
                          </wps:spPr>
                          <wps:bodyPr spcFirstLastPara="1" wrap="square" lIns="91425" tIns="91425" rIns="91425" bIns="91425" anchor="ctr" anchorCtr="0">
                            <a:noAutofit/>
                          </wps:bodyPr>
                        </wps:wsp>
                        <wps:wsp>
                          <wps:cNvPr id="119" name="Полилиния 119"/>
                          <wps:cNvSpPr/>
                          <wps:spPr>
                            <a:xfrm>
                              <a:off x="969238" y="1539155"/>
                              <a:ext cx="190570" cy="3290522"/>
                            </a:xfrm>
                            <a:custGeom>
                              <a:avLst/>
                              <a:gdLst/>
                              <a:ahLst/>
                              <a:cxnLst/>
                              <a:rect l="l" t="t" r="r" b="b"/>
                              <a:pathLst>
                                <a:path w="120000" h="120000" extrusionOk="0">
                                  <a:moveTo>
                                    <a:pt x="0" y="0"/>
                                  </a:moveTo>
                                  <a:lnTo>
                                    <a:pt x="0" y="120000"/>
                                  </a:lnTo>
                                  <a:lnTo>
                                    <a:pt x="120000" y="120000"/>
                                  </a:lnTo>
                                </a:path>
                              </a:pathLst>
                            </a:custGeom>
                            <a:noFill/>
                            <a:ln w="12700" cap="flat" cmpd="sng">
                              <a:solidFill>
                                <a:srgbClr val="3D4B5F"/>
                              </a:solidFill>
                              <a:prstDash val="solid"/>
                              <a:miter lim="800000"/>
                              <a:headEnd type="none" w="sm" len="sm"/>
                              <a:tailEnd type="none" w="sm" len="sm"/>
                            </a:ln>
                          </wps:spPr>
                          <wps:bodyPr spcFirstLastPara="1" wrap="square" lIns="91425" tIns="91425" rIns="91425" bIns="91425" anchor="ctr" anchorCtr="0">
                            <a:noAutofit/>
                          </wps:bodyPr>
                        </wps:wsp>
                        <wps:wsp>
                          <wps:cNvPr id="120" name="Полилиния 120"/>
                          <wps:cNvSpPr/>
                          <wps:spPr>
                            <a:xfrm>
                              <a:off x="969238" y="1539155"/>
                              <a:ext cx="190570" cy="2388487"/>
                            </a:xfrm>
                            <a:custGeom>
                              <a:avLst/>
                              <a:gdLst/>
                              <a:ahLst/>
                              <a:cxnLst/>
                              <a:rect l="l" t="t" r="r" b="b"/>
                              <a:pathLst>
                                <a:path w="120000" h="120000" extrusionOk="0">
                                  <a:moveTo>
                                    <a:pt x="0" y="0"/>
                                  </a:moveTo>
                                  <a:lnTo>
                                    <a:pt x="0" y="120000"/>
                                  </a:lnTo>
                                  <a:lnTo>
                                    <a:pt x="120000" y="120000"/>
                                  </a:lnTo>
                                </a:path>
                              </a:pathLst>
                            </a:custGeom>
                            <a:noFill/>
                            <a:ln w="12700" cap="flat" cmpd="sng">
                              <a:solidFill>
                                <a:srgbClr val="3D4B5F"/>
                              </a:solidFill>
                              <a:prstDash val="solid"/>
                              <a:miter lim="800000"/>
                              <a:headEnd type="none" w="sm" len="sm"/>
                              <a:tailEnd type="none" w="sm" len="sm"/>
                            </a:ln>
                          </wps:spPr>
                          <wps:bodyPr spcFirstLastPara="1" wrap="square" lIns="91425" tIns="91425" rIns="91425" bIns="91425" anchor="ctr" anchorCtr="0">
                            <a:noAutofit/>
                          </wps:bodyPr>
                        </wps:wsp>
                        <wps:wsp>
                          <wps:cNvPr id="121" name="Полилиния 121"/>
                          <wps:cNvSpPr/>
                          <wps:spPr>
                            <a:xfrm>
                              <a:off x="969238" y="1539155"/>
                              <a:ext cx="190570" cy="1486452"/>
                            </a:xfrm>
                            <a:custGeom>
                              <a:avLst/>
                              <a:gdLst/>
                              <a:ahLst/>
                              <a:cxnLst/>
                              <a:rect l="l" t="t" r="r" b="b"/>
                              <a:pathLst>
                                <a:path w="120000" h="120000" extrusionOk="0">
                                  <a:moveTo>
                                    <a:pt x="0" y="0"/>
                                  </a:moveTo>
                                  <a:lnTo>
                                    <a:pt x="0" y="120000"/>
                                  </a:lnTo>
                                  <a:lnTo>
                                    <a:pt x="120000" y="120000"/>
                                  </a:lnTo>
                                </a:path>
                              </a:pathLst>
                            </a:custGeom>
                            <a:noFill/>
                            <a:ln w="12700" cap="flat" cmpd="sng">
                              <a:solidFill>
                                <a:srgbClr val="3D4B5F"/>
                              </a:solidFill>
                              <a:prstDash val="solid"/>
                              <a:miter lim="800000"/>
                              <a:headEnd type="none" w="sm" len="sm"/>
                              <a:tailEnd type="none" w="sm" len="sm"/>
                            </a:ln>
                          </wps:spPr>
                          <wps:bodyPr spcFirstLastPara="1" wrap="square" lIns="91425" tIns="91425" rIns="91425" bIns="91425" anchor="ctr" anchorCtr="0">
                            <a:noAutofit/>
                          </wps:bodyPr>
                        </wps:wsp>
                        <wps:wsp>
                          <wps:cNvPr id="122" name="Полилиния 122"/>
                          <wps:cNvSpPr/>
                          <wps:spPr>
                            <a:xfrm>
                              <a:off x="969238" y="1539155"/>
                              <a:ext cx="190570" cy="584417"/>
                            </a:xfrm>
                            <a:custGeom>
                              <a:avLst/>
                              <a:gdLst/>
                              <a:ahLst/>
                              <a:cxnLst/>
                              <a:rect l="l" t="t" r="r" b="b"/>
                              <a:pathLst>
                                <a:path w="120000" h="120000" extrusionOk="0">
                                  <a:moveTo>
                                    <a:pt x="0" y="0"/>
                                  </a:moveTo>
                                  <a:lnTo>
                                    <a:pt x="0" y="120000"/>
                                  </a:lnTo>
                                  <a:lnTo>
                                    <a:pt x="120000" y="120000"/>
                                  </a:lnTo>
                                </a:path>
                              </a:pathLst>
                            </a:custGeom>
                            <a:noFill/>
                            <a:ln w="12700" cap="flat" cmpd="sng">
                              <a:solidFill>
                                <a:srgbClr val="3D4B5F"/>
                              </a:solidFill>
                              <a:prstDash val="solid"/>
                              <a:miter lim="800000"/>
                              <a:headEnd type="none" w="sm" len="sm"/>
                              <a:tailEnd type="none" w="sm" len="sm"/>
                            </a:ln>
                          </wps:spPr>
                          <wps:bodyPr spcFirstLastPara="1" wrap="square" lIns="91425" tIns="91425" rIns="91425" bIns="91425" anchor="ctr" anchorCtr="0">
                            <a:noAutofit/>
                          </wps:bodyPr>
                        </wps:wsp>
                        <wps:wsp>
                          <wps:cNvPr id="123" name="Полилиния 123"/>
                          <wps:cNvSpPr/>
                          <wps:spPr>
                            <a:xfrm>
                              <a:off x="1604474" y="637120"/>
                              <a:ext cx="959206" cy="584417"/>
                            </a:xfrm>
                            <a:custGeom>
                              <a:avLst/>
                              <a:gdLst/>
                              <a:ahLst/>
                              <a:cxnLst/>
                              <a:rect l="l" t="t" r="r" b="b"/>
                              <a:pathLst>
                                <a:path w="120000" h="120000" extrusionOk="0">
                                  <a:moveTo>
                                    <a:pt x="120000" y="0"/>
                                  </a:moveTo>
                                  <a:lnTo>
                                    <a:pt x="120000" y="120000"/>
                                  </a:lnTo>
                                  <a:lnTo>
                                    <a:pt x="0" y="120000"/>
                                  </a:lnTo>
                                </a:path>
                              </a:pathLst>
                            </a:custGeom>
                            <a:noFill/>
                            <a:ln w="12700" cap="flat" cmpd="sng">
                              <a:solidFill>
                                <a:srgbClr val="354254"/>
                              </a:solidFill>
                              <a:prstDash val="solid"/>
                              <a:miter lim="800000"/>
                              <a:headEnd type="none" w="sm" len="sm"/>
                              <a:tailEnd type="none" w="sm" len="sm"/>
                            </a:ln>
                          </wps:spPr>
                          <wps:bodyPr spcFirstLastPara="1" wrap="square" lIns="91425" tIns="91425" rIns="91425" bIns="91425" anchor="ctr" anchorCtr="0">
                            <a:noAutofit/>
                          </wps:bodyPr>
                        </wps:wsp>
                        <wps:wsp>
                          <wps:cNvPr id="124" name="Прямоугольник 124"/>
                          <wps:cNvSpPr/>
                          <wps:spPr>
                            <a:xfrm>
                              <a:off x="1928444" y="1884"/>
                              <a:ext cx="1270471" cy="635235"/>
                            </a:xfrm>
                            <a:prstGeom prst="rect">
                              <a:avLst/>
                            </a:prstGeom>
                            <a:gradFill>
                              <a:gsLst>
                                <a:gs pos="0">
                                  <a:schemeClr val="lt1"/>
                                </a:gs>
                                <a:gs pos="50000">
                                  <a:schemeClr val="lt1"/>
                                </a:gs>
                                <a:gs pos="100000">
                                  <a:srgbClr val="E1E1E1"/>
                                </a:gs>
                              </a:gsLst>
                              <a:lin ang="5400000" scaled="0"/>
                            </a:gradFill>
                            <a:ln>
                              <a:noFill/>
                            </a:ln>
                            <a:effectLst>
                              <a:outerShdw blurRad="57150" dist="19050" dir="5400000" algn="ctr" rotWithShape="0">
                                <a:srgbClr val="000000">
                                  <a:alpha val="62745"/>
                                </a:srgbClr>
                              </a:outerShdw>
                            </a:effectLst>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25" name="Надпись 125"/>
                          <wps:cNvSpPr txBox="1"/>
                          <wps:spPr>
                            <a:xfrm>
                              <a:off x="1928444" y="1884"/>
                              <a:ext cx="1270471" cy="635235"/>
                            </a:xfrm>
                            <a:prstGeom prst="rect">
                              <a:avLst/>
                            </a:prstGeom>
                            <a:noFill/>
                            <a:ln>
                              <a:noFill/>
                            </a:ln>
                          </wps:spPr>
                          <wps:txbx>
                            <w:txbxContent>
                              <w:p w:rsidR="00D06B63" w:rsidRPr="009F4317" w:rsidRDefault="00D06B63" w:rsidP="00EA72C7">
                                <w:pPr>
                                  <w:spacing w:after="0" w:line="240" w:lineRule="auto"/>
                                  <w:jc w:val="center"/>
                                  <w:textDirection w:val="btLr"/>
                                  <w:rPr>
                                    <w:sz w:val="24"/>
                                    <w:szCs w:val="24"/>
                                  </w:rPr>
                                </w:pPr>
                                <w:r w:rsidRPr="009F4317">
                                  <w:rPr>
                                    <w:rFonts w:ascii="Times New Roman" w:eastAsia="Times New Roman" w:hAnsi="Times New Roman" w:cs="Times New Roman"/>
                                    <w:color w:val="000000"/>
                                    <w:sz w:val="24"/>
                                    <w:szCs w:val="24"/>
                                  </w:rPr>
                                  <w:t>Министерство</w:t>
                                </w:r>
                              </w:p>
                            </w:txbxContent>
                          </wps:txbx>
                          <wps:bodyPr spcFirstLastPara="1" wrap="square" lIns="6350" tIns="6350" rIns="6350" bIns="6350" anchor="ctr" anchorCtr="0">
                            <a:noAutofit/>
                          </wps:bodyPr>
                        </wps:wsp>
                        <wps:wsp>
                          <wps:cNvPr id="126" name="Прямоугольник 126"/>
                          <wps:cNvSpPr/>
                          <wps:spPr>
                            <a:xfrm>
                              <a:off x="334002" y="903919"/>
                              <a:ext cx="1270471" cy="635235"/>
                            </a:xfrm>
                            <a:prstGeom prst="rect">
                              <a:avLst/>
                            </a:prstGeom>
                            <a:gradFill>
                              <a:gsLst>
                                <a:gs pos="0">
                                  <a:schemeClr val="lt1"/>
                                </a:gs>
                                <a:gs pos="50000">
                                  <a:schemeClr val="lt1"/>
                                </a:gs>
                                <a:gs pos="100000">
                                  <a:srgbClr val="E1E1E1"/>
                                </a:gs>
                              </a:gsLst>
                              <a:lin ang="5400000" scaled="0"/>
                            </a:gradFill>
                            <a:ln>
                              <a:noFill/>
                            </a:ln>
                            <a:effectLst>
                              <a:outerShdw blurRad="57150" dist="19050" dir="5400000" algn="ctr" rotWithShape="0">
                                <a:srgbClr val="000000">
                                  <a:alpha val="62745"/>
                                </a:srgbClr>
                              </a:outerShdw>
                            </a:effectLst>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27" name="Надпись 127"/>
                          <wps:cNvSpPr txBox="1"/>
                          <wps:spPr>
                            <a:xfrm>
                              <a:off x="334002" y="903919"/>
                              <a:ext cx="1270471" cy="635235"/>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Комитеты</w:t>
                                </w:r>
                              </w:p>
                            </w:txbxContent>
                          </wps:txbx>
                          <wps:bodyPr spcFirstLastPara="1" wrap="square" lIns="6350" tIns="6350" rIns="6350" bIns="6350" anchor="ctr" anchorCtr="0">
                            <a:noAutofit/>
                          </wps:bodyPr>
                        </wps:wsp>
                        <wps:wsp>
                          <wps:cNvPr id="128" name="Прямоугольник 128"/>
                          <wps:cNvSpPr/>
                          <wps:spPr>
                            <a:xfrm>
                              <a:off x="1159808" y="1805954"/>
                              <a:ext cx="1270471" cy="635235"/>
                            </a:xfrm>
                            <a:prstGeom prst="rect">
                              <a:avLst/>
                            </a:prstGeom>
                            <a:gradFill>
                              <a:gsLst>
                                <a:gs pos="0">
                                  <a:schemeClr val="lt1"/>
                                </a:gs>
                                <a:gs pos="50000">
                                  <a:schemeClr val="lt1"/>
                                </a:gs>
                                <a:gs pos="100000">
                                  <a:srgbClr val="E1E1E1"/>
                                </a:gs>
                              </a:gsLst>
                              <a:lin ang="5400000" scaled="0"/>
                            </a:gradFill>
                            <a:ln>
                              <a:noFill/>
                            </a:ln>
                            <a:effectLst>
                              <a:outerShdw blurRad="57150" dist="19050" dir="5400000" algn="ctr" rotWithShape="0">
                                <a:srgbClr val="000000">
                                  <a:alpha val="62745"/>
                                </a:srgbClr>
                              </a:outerShdw>
                            </a:effectLst>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29" name="Надпись 129"/>
                          <wps:cNvSpPr txBox="1"/>
                          <wps:spPr>
                            <a:xfrm>
                              <a:off x="1159808" y="1805954"/>
                              <a:ext cx="1270471" cy="635235"/>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Комитет геологии</w:t>
                                </w:r>
                              </w:p>
                            </w:txbxContent>
                          </wps:txbx>
                          <wps:bodyPr spcFirstLastPara="1" wrap="square" lIns="6350" tIns="6350" rIns="6350" bIns="6350" anchor="ctr" anchorCtr="0">
                            <a:noAutofit/>
                          </wps:bodyPr>
                        </wps:wsp>
                        <wps:wsp>
                          <wps:cNvPr id="130" name="Прямоугольник 130"/>
                          <wps:cNvSpPr/>
                          <wps:spPr>
                            <a:xfrm>
                              <a:off x="1159808" y="2707989"/>
                              <a:ext cx="1270471" cy="635235"/>
                            </a:xfrm>
                            <a:prstGeom prst="rect">
                              <a:avLst/>
                            </a:prstGeom>
                            <a:gradFill>
                              <a:gsLst>
                                <a:gs pos="0">
                                  <a:schemeClr val="lt1"/>
                                </a:gs>
                                <a:gs pos="50000">
                                  <a:schemeClr val="lt1"/>
                                </a:gs>
                                <a:gs pos="100000">
                                  <a:srgbClr val="E1E1E1"/>
                                </a:gs>
                              </a:gsLst>
                              <a:lin ang="5400000" scaled="0"/>
                            </a:gradFill>
                            <a:ln>
                              <a:noFill/>
                            </a:ln>
                            <a:effectLst>
                              <a:outerShdw blurRad="57150" dist="19050" dir="5400000" algn="ctr" rotWithShape="0">
                                <a:srgbClr val="000000">
                                  <a:alpha val="62745"/>
                                </a:srgbClr>
                              </a:outerShdw>
                            </a:effectLst>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31" name="Надпись 131"/>
                          <wps:cNvSpPr txBox="1"/>
                          <wps:spPr>
                            <a:xfrm>
                              <a:off x="1159808" y="2707989"/>
                              <a:ext cx="1270471" cy="635235"/>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Комитет по водным ресурсам</w:t>
                                </w:r>
                              </w:p>
                            </w:txbxContent>
                          </wps:txbx>
                          <wps:bodyPr spcFirstLastPara="1" wrap="square" lIns="6350" tIns="6350" rIns="6350" bIns="6350" anchor="ctr" anchorCtr="0">
                            <a:noAutofit/>
                          </wps:bodyPr>
                        </wps:wsp>
                        <wps:wsp>
                          <wps:cNvPr id="132" name="Прямоугольник 132"/>
                          <wps:cNvSpPr/>
                          <wps:spPr>
                            <a:xfrm>
                              <a:off x="1159808" y="3610024"/>
                              <a:ext cx="1270471" cy="635235"/>
                            </a:xfrm>
                            <a:prstGeom prst="rect">
                              <a:avLst/>
                            </a:prstGeom>
                            <a:gradFill>
                              <a:gsLst>
                                <a:gs pos="0">
                                  <a:schemeClr val="lt1"/>
                                </a:gs>
                                <a:gs pos="50000">
                                  <a:schemeClr val="lt1"/>
                                </a:gs>
                                <a:gs pos="100000">
                                  <a:srgbClr val="E1E1E1"/>
                                </a:gs>
                              </a:gsLst>
                              <a:lin ang="5400000" scaled="0"/>
                            </a:gradFill>
                            <a:ln>
                              <a:noFill/>
                            </a:ln>
                            <a:effectLst>
                              <a:outerShdw blurRad="57150" dist="19050" dir="5400000" algn="ctr" rotWithShape="0">
                                <a:srgbClr val="000000">
                                  <a:alpha val="62745"/>
                                </a:srgbClr>
                              </a:outerShdw>
                            </a:effectLst>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33" name="Надпись 133"/>
                          <wps:cNvSpPr txBox="1"/>
                          <wps:spPr>
                            <a:xfrm>
                              <a:off x="1159808" y="3610024"/>
                              <a:ext cx="1270471" cy="635235"/>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Комитет экологического регулирования и контроля</w:t>
                                </w:r>
                              </w:p>
                            </w:txbxContent>
                          </wps:txbx>
                          <wps:bodyPr spcFirstLastPara="1" wrap="square" lIns="6350" tIns="6350" rIns="6350" bIns="6350" anchor="ctr" anchorCtr="0">
                            <a:noAutofit/>
                          </wps:bodyPr>
                        </wps:wsp>
                        <wps:wsp>
                          <wps:cNvPr id="134" name="Прямоугольник 134"/>
                          <wps:cNvSpPr/>
                          <wps:spPr>
                            <a:xfrm>
                              <a:off x="1159808" y="4512059"/>
                              <a:ext cx="1270471" cy="635235"/>
                            </a:xfrm>
                            <a:prstGeom prst="rect">
                              <a:avLst/>
                            </a:prstGeom>
                            <a:gradFill>
                              <a:gsLst>
                                <a:gs pos="0">
                                  <a:schemeClr val="lt1"/>
                                </a:gs>
                                <a:gs pos="50000">
                                  <a:schemeClr val="lt1"/>
                                </a:gs>
                                <a:gs pos="100000">
                                  <a:srgbClr val="E1E1E1"/>
                                </a:gs>
                              </a:gsLst>
                              <a:lin ang="5400000" scaled="0"/>
                            </a:gradFill>
                            <a:ln>
                              <a:noFill/>
                            </a:ln>
                            <a:effectLst>
                              <a:outerShdw blurRad="57150" dist="19050" dir="5400000" algn="ctr" rotWithShape="0">
                                <a:srgbClr val="000000">
                                  <a:alpha val="62745"/>
                                </a:srgbClr>
                              </a:outerShdw>
                            </a:effectLst>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35" name="Надпись 135"/>
                          <wps:cNvSpPr txBox="1"/>
                          <wps:spPr>
                            <a:xfrm>
                              <a:off x="1159808" y="4512059"/>
                              <a:ext cx="1270471" cy="635235"/>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Комитет лесного хозяйства и животного мира</w:t>
                                </w:r>
                              </w:p>
                            </w:txbxContent>
                          </wps:txbx>
                          <wps:bodyPr spcFirstLastPara="1" wrap="square" lIns="6350" tIns="6350" rIns="6350" bIns="6350" anchor="ctr" anchorCtr="0">
                            <a:noAutofit/>
                          </wps:bodyPr>
                        </wps:wsp>
                        <wps:wsp>
                          <wps:cNvPr id="136" name="Прямоугольник 136"/>
                          <wps:cNvSpPr/>
                          <wps:spPr>
                            <a:xfrm>
                              <a:off x="1159808" y="5414094"/>
                              <a:ext cx="1270471" cy="635235"/>
                            </a:xfrm>
                            <a:prstGeom prst="rect">
                              <a:avLst/>
                            </a:prstGeom>
                            <a:gradFill>
                              <a:gsLst>
                                <a:gs pos="0">
                                  <a:schemeClr val="lt1"/>
                                </a:gs>
                                <a:gs pos="50000">
                                  <a:schemeClr val="lt1"/>
                                </a:gs>
                                <a:gs pos="100000">
                                  <a:srgbClr val="E1E1E1"/>
                                </a:gs>
                              </a:gsLst>
                              <a:lin ang="5400000" scaled="0"/>
                            </a:gradFill>
                            <a:ln>
                              <a:noFill/>
                            </a:ln>
                            <a:effectLst>
                              <a:outerShdw blurRad="57150" dist="19050" dir="5400000" algn="ctr" rotWithShape="0">
                                <a:srgbClr val="000000">
                                  <a:alpha val="62745"/>
                                </a:srgbClr>
                              </a:outerShdw>
                            </a:effectLst>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37" name="Надпись 137"/>
                          <wps:cNvSpPr txBox="1"/>
                          <wps:spPr>
                            <a:xfrm>
                              <a:off x="1159808" y="5414094"/>
                              <a:ext cx="1270471" cy="635235"/>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Комитет рыбного хозяйства</w:t>
                                </w:r>
                              </w:p>
                            </w:txbxContent>
                          </wps:txbx>
                          <wps:bodyPr spcFirstLastPara="1" wrap="square" lIns="6350" tIns="6350" rIns="6350" bIns="6350" anchor="ctr" anchorCtr="0">
                            <a:noAutofit/>
                          </wps:bodyPr>
                        </wps:wsp>
                        <wps:wsp>
                          <wps:cNvPr id="138" name="Прямоугольник 138"/>
                          <wps:cNvSpPr/>
                          <wps:spPr>
                            <a:xfrm>
                              <a:off x="3465715" y="903919"/>
                              <a:ext cx="1270471" cy="635235"/>
                            </a:xfrm>
                            <a:prstGeom prst="rect">
                              <a:avLst/>
                            </a:prstGeom>
                            <a:gradFill>
                              <a:gsLst>
                                <a:gs pos="0">
                                  <a:schemeClr val="lt1"/>
                                </a:gs>
                                <a:gs pos="50000">
                                  <a:schemeClr val="lt1"/>
                                </a:gs>
                                <a:gs pos="100000">
                                  <a:srgbClr val="E1E1E1"/>
                                </a:gs>
                              </a:gsLst>
                              <a:lin ang="5400000" scaled="0"/>
                            </a:gradFill>
                            <a:ln>
                              <a:noFill/>
                            </a:ln>
                            <a:effectLst>
                              <a:outerShdw blurRad="57150" dist="19050" dir="5400000" algn="ctr" rotWithShape="0">
                                <a:srgbClr val="000000">
                                  <a:alpha val="62745"/>
                                </a:srgbClr>
                              </a:outerShdw>
                            </a:effectLst>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39" name="Надпись 139"/>
                          <wps:cNvSpPr txBox="1"/>
                          <wps:spPr>
                            <a:xfrm>
                              <a:off x="3465715" y="903919"/>
                              <a:ext cx="1270471" cy="635235"/>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Департаменты</w:t>
                                </w:r>
                              </w:p>
                            </w:txbxContent>
                          </wps:txbx>
                          <wps:bodyPr spcFirstLastPara="1" wrap="square" lIns="6350" tIns="6350" rIns="6350" bIns="6350" anchor="ctr" anchorCtr="0">
                            <a:noAutofit/>
                          </wps:bodyPr>
                        </wps:wsp>
                        <wps:wsp>
                          <wps:cNvPr id="140" name="Прямоугольник 140"/>
                          <wps:cNvSpPr/>
                          <wps:spPr>
                            <a:xfrm>
                              <a:off x="2697079" y="1805954"/>
                              <a:ext cx="1270471" cy="635235"/>
                            </a:xfrm>
                            <a:prstGeom prst="rect">
                              <a:avLst/>
                            </a:prstGeom>
                            <a:gradFill>
                              <a:gsLst>
                                <a:gs pos="0">
                                  <a:schemeClr val="lt1"/>
                                </a:gs>
                                <a:gs pos="50000">
                                  <a:schemeClr val="lt1"/>
                                </a:gs>
                                <a:gs pos="100000">
                                  <a:srgbClr val="E1E1E1"/>
                                </a:gs>
                              </a:gsLst>
                              <a:lin ang="5400000" scaled="0"/>
                            </a:gradFill>
                            <a:ln>
                              <a:noFill/>
                            </a:ln>
                            <a:effectLst>
                              <a:outerShdw blurRad="57150" dist="19050" dir="5400000" algn="ctr" rotWithShape="0">
                                <a:srgbClr val="000000">
                                  <a:alpha val="62745"/>
                                </a:srgbClr>
                              </a:outerShdw>
                            </a:effectLst>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41" name="Надпись 141"/>
                          <wps:cNvSpPr txBox="1"/>
                          <wps:spPr>
                            <a:xfrm>
                              <a:off x="2697079" y="1805954"/>
                              <a:ext cx="1270471" cy="635235"/>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 климатической политики и зеленых технологий</w:t>
                                </w:r>
                              </w:p>
                            </w:txbxContent>
                          </wps:txbx>
                          <wps:bodyPr spcFirstLastPara="1" wrap="square" lIns="6350" tIns="6350" rIns="6350" bIns="6350" anchor="ctr" anchorCtr="0">
                            <a:noAutofit/>
                          </wps:bodyPr>
                        </wps:wsp>
                        <wps:wsp>
                          <wps:cNvPr id="142" name="Прямоугольник 142"/>
                          <wps:cNvSpPr/>
                          <wps:spPr>
                            <a:xfrm>
                              <a:off x="4234350" y="1805954"/>
                              <a:ext cx="1270471" cy="635235"/>
                            </a:xfrm>
                            <a:prstGeom prst="rect">
                              <a:avLst/>
                            </a:prstGeom>
                            <a:gradFill>
                              <a:gsLst>
                                <a:gs pos="0">
                                  <a:schemeClr val="lt1"/>
                                </a:gs>
                                <a:gs pos="50000">
                                  <a:schemeClr val="lt1"/>
                                </a:gs>
                                <a:gs pos="100000">
                                  <a:srgbClr val="E1E1E1"/>
                                </a:gs>
                              </a:gsLst>
                              <a:lin ang="5400000" scaled="0"/>
                            </a:gradFill>
                            <a:ln>
                              <a:noFill/>
                            </a:ln>
                            <a:effectLst>
                              <a:outerShdw blurRad="57150" dist="19050" dir="5400000" algn="ctr" rotWithShape="0">
                                <a:srgbClr val="000000">
                                  <a:alpha val="62745"/>
                                </a:srgbClr>
                              </a:outerShdw>
                            </a:effectLst>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43" name="Надпись 143"/>
                          <wps:cNvSpPr txBox="1"/>
                          <wps:spPr>
                            <a:xfrm>
                              <a:off x="4234350" y="1805954"/>
                              <a:ext cx="1270471" cy="635235"/>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 трансграничных рек</w:t>
                                </w:r>
                              </w:p>
                            </w:txbxContent>
                          </wps:txbx>
                          <wps:bodyPr spcFirstLastPara="1" wrap="square" lIns="6350" tIns="6350" rIns="6350" bIns="6350" anchor="ctr" anchorCtr="0">
                            <a:noAutofit/>
                          </wps:bodyPr>
                        </wps:wsp>
                        <wps:wsp>
                          <wps:cNvPr id="144" name="Прямоугольник 144"/>
                          <wps:cNvSpPr/>
                          <wps:spPr>
                            <a:xfrm>
                              <a:off x="2697079" y="2707989"/>
                              <a:ext cx="1270471" cy="635235"/>
                            </a:xfrm>
                            <a:prstGeom prst="rect">
                              <a:avLst/>
                            </a:prstGeom>
                            <a:gradFill>
                              <a:gsLst>
                                <a:gs pos="0">
                                  <a:schemeClr val="lt1"/>
                                </a:gs>
                                <a:gs pos="50000">
                                  <a:schemeClr val="lt1"/>
                                </a:gs>
                                <a:gs pos="100000">
                                  <a:srgbClr val="E1E1E1"/>
                                </a:gs>
                              </a:gsLst>
                              <a:lin ang="5400000" scaled="0"/>
                            </a:gradFill>
                            <a:ln>
                              <a:noFill/>
                            </a:ln>
                            <a:effectLst>
                              <a:outerShdw blurRad="57150" dist="19050" dir="5400000" algn="ctr" rotWithShape="0">
                                <a:srgbClr val="000000">
                                  <a:alpha val="62745"/>
                                </a:srgbClr>
                              </a:outerShdw>
                            </a:effectLst>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45" name="Надпись 145"/>
                          <wps:cNvSpPr txBox="1"/>
                          <wps:spPr>
                            <a:xfrm>
                              <a:off x="2697079" y="2707989"/>
                              <a:ext cx="1270471" cy="635235"/>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 геологии и развития минерально-сырьевой базы</w:t>
                                </w:r>
                              </w:p>
                            </w:txbxContent>
                          </wps:txbx>
                          <wps:bodyPr spcFirstLastPara="1" wrap="square" lIns="6350" tIns="6350" rIns="6350" bIns="6350" anchor="ctr" anchorCtr="0">
                            <a:noAutofit/>
                          </wps:bodyPr>
                        </wps:wsp>
                        <wps:wsp>
                          <wps:cNvPr id="146" name="Прямоугольник 146"/>
                          <wps:cNvSpPr/>
                          <wps:spPr>
                            <a:xfrm>
                              <a:off x="4234350" y="2707989"/>
                              <a:ext cx="1270471" cy="635235"/>
                            </a:xfrm>
                            <a:prstGeom prst="rect">
                              <a:avLst/>
                            </a:prstGeom>
                            <a:gradFill>
                              <a:gsLst>
                                <a:gs pos="0">
                                  <a:schemeClr val="lt1"/>
                                </a:gs>
                                <a:gs pos="50000">
                                  <a:schemeClr val="lt1"/>
                                </a:gs>
                                <a:gs pos="100000">
                                  <a:srgbClr val="E1E1E1"/>
                                </a:gs>
                              </a:gsLst>
                              <a:lin ang="5400000" scaled="0"/>
                            </a:gradFill>
                            <a:ln>
                              <a:noFill/>
                            </a:ln>
                            <a:effectLst>
                              <a:outerShdw blurRad="57150" dist="19050" dir="5400000" algn="ctr" rotWithShape="0">
                                <a:srgbClr val="000000">
                                  <a:alpha val="62745"/>
                                </a:srgbClr>
                              </a:outerShdw>
                            </a:effectLst>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47" name="Надпись 147"/>
                          <wps:cNvSpPr txBox="1"/>
                          <wps:spPr>
                            <a:xfrm>
                              <a:off x="4234350" y="2707989"/>
                              <a:ext cx="1270471" cy="635235"/>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 экологической политики и устойчивого развития</w:t>
                                </w:r>
                              </w:p>
                            </w:txbxContent>
                          </wps:txbx>
                          <wps:bodyPr spcFirstLastPara="1" wrap="square" lIns="6350" tIns="6350" rIns="6350" bIns="6350" anchor="ctr" anchorCtr="0">
                            <a:noAutofit/>
                          </wps:bodyPr>
                        </wps:wsp>
                        <wps:wsp>
                          <wps:cNvPr id="148" name="Прямоугольник 148"/>
                          <wps:cNvSpPr/>
                          <wps:spPr>
                            <a:xfrm>
                              <a:off x="2697079" y="3610024"/>
                              <a:ext cx="1270471" cy="635235"/>
                            </a:xfrm>
                            <a:prstGeom prst="rect">
                              <a:avLst/>
                            </a:prstGeom>
                            <a:gradFill>
                              <a:gsLst>
                                <a:gs pos="0">
                                  <a:schemeClr val="lt1"/>
                                </a:gs>
                                <a:gs pos="50000">
                                  <a:schemeClr val="lt1"/>
                                </a:gs>
                                <a:gs pos="100000">
                                  <a:srgbClr val="E1E1E1"/>
                                </a:gs>
                              </a:gsLst>
                              <a:lin ang="5400000" scaled="0"/>
                            </a:gradFill>
                            <a:ln>
                              <a:noFill/>
                            </a:ln>
                            <a:effectLst>
                              <a:outerShdw blurRad="57150" dist="19050" dir="5400000" algn="ctr" rotWithShape="0">
                                <a:srgbClr val="000000">
                                  <a:alpha val="62745"/>
                                </a:srgbClr>
                              </a:outerShdw>
                            </a:effectLst>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49" name="Надпись 149"/>
                          <wps:cNvSpPr txBox="1"/>
                          <wps:spPr>
                            <a:xfrm>
                              <a:off x="2697079" y="3610024"/>
                              <a:ext cx="1270471" cy="635235"/>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 государственной политики и управлении отходами</w:t>
                                </w:r>
                              </w:p>
                            </w:txbxContent>
                          </wps:txbx>
                          <wps:bodyPr spcFirstLastPara="1" wrap="square" lIns="6350" tIns="6350" rIns="6350" bIns="6350" anchor="ctr" anchorCtr="0">
                            <a:noAutofit/>
                          </wps:bodyPr>
                        </wps:wsp>
                        <wps:wsp>
                          <wps:cNvPr id="150" name="Прямоугольник 150"/>
                          <wps:cNvSpPr/>
                          <wps:spPr>
                            <a:xfrm>
                              <a:off x="4234350" y="3610024"/>
                              <a:ext cx="1270471" cy="635235"/>
                            </a:xfrm>
                            <a:prstGeom prst="rect">
                              <a:avLst/>
                            </a:prstGeom>
                            <a:gradFill>
                              <a:gsLst>
                                <a:gs pos="0">
                                  <a:schemeClr val="lt1"/>
                                </a:gs>
                                <a:gs pos="50000">
                                  <a:schemeClr val="lt1"/>
                                </a:gs>
                                <a:gs pos="100000">
                                  <a:srgbClr val="E1E1E1"/>
                                </a:gs>
                              </a:gsLst>
                              <a:lin ang="5400000" scaled="0"/>
                            </a:gradFill>
                            <a:ln>
                              <a:noFill/>
                            </a:ln>
                            <a:effectLst>
                              <a:outerShdw blurRad="57150" dist="19050" dir="5400000" algn="ctr" rotWithShape="0">
                                <a:srgbClr val="000000">
                                  <a:alpha val="62745"/>
                                </a:srgbClr>
                              </a:outerShdw>
                            </a:effectLst>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51" name="Надпись 151"/>
                          <wps:cNvSpPr txBox="1"/>
                          <wps:spPr>
                            <a:xfrm>
                              <a:off x="4234350" y="3610024"/>
                              <a:ext cx="1270471" cy="635235"/>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 цифровизации и информатизации</w:t>
                                </w:r>
                              </w:p>
                            </w:txbxContent>
                          </wps:txbx>
                          <wps:bodyPr spcFirstLastPara="1" wrap="square" lIns="6350" tIns="6350" rIns="6350" bIns="6350" anchor="ctr" anchorCtr="0">
                            <a:noAutofit/>
                          </wps:bodyPr>
                        </wps:wsp>
                        <wps:wsp>
                          <wps:cNvPr id="152" name="Прямоугольник 152"/>
                          <wps:cNvSpPr/>
                          <wps:spPr>
                            <a:xfrm>
                              <a:off x="2697079" y="4512059"/>
                              <a:ext cx="1270471" cy="635235"/>
                            </a:xfrm>
                            <a:prstGeom prst="rect">
                              <a:avLst/>
                            </a:prstGeom>
                            <a:gradFill>
                              <a:gsLst>
                                <a:gs pos="0">
                                  <a:schemeClr val="lt1"/>
                                </a:gs>
                                <a:gs pos="50000">
                                  <a:schemeClr val="lt1"/>
                                </a:gs>
                                <a:gs pos="100000">
                                  <a:srgbClr val="E1E1E1"/>
                                </a:gs>
                              </a:gsLst>
                              <a:lin ang="5400000" scaled="0"/>
                            </a:gradFill>
                            <a:ln>
                              <a:noFill/>
                            </a:ln>
                            <a:effectLst>
                              <a:outerShdw blurRad="57150" dist="19050" dir="5400000" algn="ctr" rotWithShape="0">
                                <a:srgbClr val="000000">
                                  <a:alpha val="62745"/>
                                </a:srgbClr>
                              </a:outerShdw>
                            </a:effectLst>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53" name="Надпись 153"/>
                          <wps:cNvSpPr txBox="1"/>
                          <wps:spPr>
                            <a:xfrm>
                              <a:off x="2697079" y="4512059"/>
                              <a:ext cx="1270471" cy="635235"/>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 международного сотрудничества</w:t>
                                </w:r>
                              </w:p>
                            </w:txbxContent>
                          </wps:txbx>
                          <wps:bodyPr spcFirstLastPara="1" wrap="square" lIns="6350" tIns="6350" rIns="6350" bIns="6350" anchor="ctr" anchorCtr="0">
                            <a:noAutofit/>
                          </wps:bodyPr>
                        </wps:wsp>
                        <wps:wsp>
                          <wps:cNvPr id="154" name="Прямоугольник 154"/>
                          <wps:cNvSpPr/>
                          <wps:spPr>
                            <a:xfrm>
                              <a:off x="4234350" y="4512059"/>
                              <a:ext cx="1270471" cy="635235"/>
                            </a:xfrm>
                            <a:prstGeom prst="rect">
                              <a:avLst/>
                            </a:prstGeom>
                            <a:gradFill>
                              <a:gsLst>
                                <a:gs pos="0">
                                  <a:schemeClr val="lt1"/>
                                </a:gs>
                                <a:gs pos="50000">
                                  <a:schemeClr val="lt1"/>
                                </a:gs>
                                <a:gs pos="100000">
                                  <a:srgbClr val="E1E1E1"/>
                                </a:gs>
                              </a:gsLst>
                              <a:lin ang="5400000" scaled="0"/>
                            </a:gradFill>
                            <a:ln>
                              <a:noFill/>
                            </a:ln>
                            <a:effectLst>
                              <a:outerShdw blurRad="57150" dist="19050" dir="5400000" algn="ctr" rotWithShape="0">
                                <a:srgbClr val="000000">
                                  <a:alpha val="62745"/>
                                </a:srgbClr>
                              </a:outerShdw>
                            </a:effectLst>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55" name="Надпись 155"/>
                          <wps:cNvSpPr txBox="1"/>
                          <wps:spPr>
                            <a:xfrm>
                              <a:off x="4234350" y="4512059"/>
                              <a:ext cx="1270471" cy="635235"/>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 юридической службы</w:t>
                                </w:r>
                              </w:p>
                            </w:txbxContent>
                          </wps:txbx>
                          <wps:bodyPr spcFirstLastPara="1" wrap="square" lIns="6350" tIns="6350" rIns="6350" bIns="6350" anchor="ctr" anchorCtr="0">
                            <a:noAutofit/>
                          </wps:bodyPr>
                        </wps:wsp>
                        <wps:wsp>
                          <wps:cNvPr id="156" name="Прямоугольник 156"/>
                          <wps:cNvSpPr/>
                          <wps:spPr>
                            <a:xfrm>
                              <a:off x="2697079" y="5414094"/>
                              <a:ext cx="1270471" cy="635235"/>
                            </a:xfrm>
                            <a:prstGeom prst="rect">
                              <a:avLst/>
                            </a:prstGeom>
                            <a:gradFill>
                              <a:gsLst>
                                <a:gs pos="0">
                                  <a:schemeClr val="lt1"/>
                                </a:gs>
                                <a:gs pos="50000">
                                  <a:schemeClr val="lt1"/>
                                </a:gs>
                                <a:gs pos="100000">
                                  <a:srgbClr val="E1E1E1"/>
                                </a:gs>
                              </a:gsLst>
                              <a:lin ang="5400000" scaled="0"/>
                            </a:gradFill>
                            <a:ln>
                              <a:noFill/>
                            </a:ln>
                            <a:effectLst>
                              <a:outerShdw blurRad="57150" dist="19050" dir="5400000" algn="ctr" rotWithShape="0">
                                <a:srgbClr val="000000">
                                  <a:alpha val="62745"/>
                                </a:srgbClr>
                              </a:outerShdw>
                            </a:effectLst>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57" name="Надпись 157"/>
                          <wps:cNvSpPr txBox="1"/>
                          <wps:spPr>
                            <a:xfrm>
                              <a:off x="2697079" y="5414094"/>
                              <a:ext cx="1270471" cy="635235"/>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 стратегического планирования и анализа</w:t>
                                </w:r>
                              </w:p>
                            </w:txbxContent>
                          </wps:txbx>
                          <wps:bodyPr spcFirstLastPara="1" wrap="square" lIns="6350" tIns="6350" rIns="6350" bIns="6350" anchor="ctr" anchorCtr="0">
                            <a:noAutofit/>
                          </wps:bodyPr>
                        </wps:wsp>
                        <wps:wsp>
                          <wps:cNvPr id="158" name="Прямоугольник 158"/>
                          <wps:cNvSpPr/>
                          <wps:spPr>
                            <a:xfrm>
                              <a:off x="4234350" y="5414094"/>
                              <a:ext cx="1270471" cy="635235"/>
                            </a:xfrm>
                            <a:prstGeom prst="rect">
                              <a:avLst/>
                            </a:prstGeom>
                            <a:gradFill>
                              <a:gsLst>
                                <a:gs pos="0">
                                  <a:schemeClr val="lt1"/>
                                </a:gs>
                                <a:gs pos="50000">
                                  <a:schemeClr val="lt1"/>
                                </a:gs>
                                <a:gs pos="100000">
                                  <a:srgbClr val="E1E1E1"/>
                                </a:gs>
                              </a:gsLst>
                              <a:lin ang="5400000" scaled="0"/>
                            </a:gradFill>
                            <a:ln>
                              <a:noFill/>
                            </a:ln>
                            <a:effectLst>
                              <a:outerShdw blurRad="57150" dist="19050" dir="5400000" algn="ctr" rotWithShape="0">
                                <a:srgbClr val="000000">
                                  <a:alpha val="62745"/>
                                </a:srgbClr>
                              </a:outerShdw>
                            </a:effectLst>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59" name="Надпись 159"/>
                          <wps:cNvSpPr txBox="1"/>
                          <wps:spPr>
                            <a:xfrm>
                              <a:off x="4234350" y="5414094"/>
                              <a:ext cx="1270471" cy="635235"/>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 бюджета и финансовых процедур</w:t>
                                </w:r>
                              </w:p>
                            </w:txbxContent>
                          </wps:txbx>
                          <wps:bodyPr spcFirstLastPara="1" wrap="square" lIns="6350" tIns="6350" rIns="6350" bIns="6350" anchor="ctr" anchorCtr="0">
                            <a:noAutofit/>
                          </wps:bodyPr>
                        </wps:wsp>
                        <wps:wsp>
                          <wps:cNvPr id="160" name="Прямоугольник 160"/>
                          <wps:cNvSpPr/>
                          <wps:spPr>
                            <a:xfrm>
                              <a:off x="2697079" y="6316129"/>
                              <a:ext cx="1270471" cy="635235"/>
                            </a:xfrm>
                            <a:prstGeom prst="rect">
                              <a:avLst/>
                            </a:prstGeom>
                            <a:gradFill>
                              <a:gsLst>
                                <a:gs pos="0">
                                  <a:schemeClr val="lt1"/>
                                </a:gs>
                                <a:gs pos="50000">
                                  <a:schemeClr val="lt1"/>
                                </a:gs>
                                <a:gs pos="100000">
                                  <a:srgbClr val="E1E1E1"/>
                                </a:gs>
                              </a:gsLst>
                              <a:lin ang="5400000" scaled="0"/>
                            </a:gradFill>
                            <a:ln>
                              <a:noFill/>
                            </a:ln>
                            <a:effectLst>
                              <a:outerShdw blurRad="57150" dist="19050" dir="5400000" algn="ctr" rotWithShape="0">
                                <a:srgbClr val="000000">
                                  <a:alpha val="62745"/>
                                </a:srgbClr>
                              </a:outerShdw>
                            </a:effectLst>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61" name="Надпись 161"/>
                          <wps:cNvSpPr txBox="1"/>
                          <wps:spPr>
                            <a:xfrm>
                              <a:off x="2697079" y="6316129"/>
                              <a:ext cx="1270471" cy="635235"/>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 кадровой работы</w:t>
                                </w:r>
                              </w:p>
                            </w:txbxContent>
                          </wps:txbx>
                          <wps:bodyPr spcFirstLastPara="1" wrap="square" lIns="6350" tIns="6350" rIns="6350" bIns="6350" anchor="ctr" anchorCtr="0">
                            <a:noAutofit/>
                          </wps:bodyPr>
                        </wps:wsp>
                        <wps:wsp>
                          <wps:cNvPr id="162" name="Прямоугольник 162"/>
                          <wps:cNvSpPr/>
                          <wps:spPr>
                            <a:xfrm>
                              <a:off x="4234350" y="6316129"/>
                              <a:ext cx="1270471" cy="635235"/>
                            </a:xfrm>
                            <a:prstGeom prst="rect">
                              <a:avLst/>
                            </a:prstGeom>
                            <a:gradFill>
                              <a:gsLst>
                                <a:gs pos="0">
                                  <a:schemeClr val="lt1"/>
                                </a:gs>
                                <a:gs pos="50000">
                                  <a:schemeClr val="lt1"/>
                                </a:gs>
                                <a:gs pos="100000">
                                  <a:srgbClr val="E1E1E1"/>
                                </a:gs>
                              </a:gsLst>
                              <a:lin ang="5400000" scaled="0"/>
                            </a:gradFill>
                            <a:ln>
                              <a:noFill/>
                            </a:ln>
                            <a:effectLst>
                              <a:outerShdw blurRad="57150" dist="19050" dir="5400000" algn="ctr" rotWithShape="0">
                                <a:srgbClr val="000000">
                                  <a:alpha val="62745"/>
                                </a:srgbClr>
                              </a:outerShdw>
                            </a:effectLst>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63" name="Надпись 163"/>
                          <wps:cNvSpPr txBox="1"/>
                          <wps:spPr>
                            <a:xfrm>
                              <a:off x="4234350" y="6316129"/>
                              <a:ext cx="1270471" cy="635235"/>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 внутреннего аудита</w:t>
                                </w:r>
                              </w:p>
                            </w:txbxContent>
                          </wps:txbx>
                          <wps:bodyPr spcFirstLastPara="1" wrap="square" lIns="6350" tIns="6350" rIns="6350" bIns="6350" anchor="ctr" anchorCtr="0">
                            <a:noAutofit/>
                          </wps:bodyPr>
                        </wps:wsp>
                      </wpg:grpSp>
                    </wpg:wgp>
                  </a:graphicData>
                </a:graphic>
              </wp:inline>
            </w:drawing>
          </mc:Choice>
          <mc:Fallback xmlns:w16se="http://schemas.microsoft.com/office/word/2015/wordml/symex" xmlns:cx="http://schemas.microsoft.com/office/drawing/2014/chartex">
            <w:pict>
              <v:group w14:anchorId="2B5BD28D" id="Группа 102" o:spid="_x0000_s1093" style="width:459.75pt;height:547.5pt;mso-position-horizontal-relative:char;mso-position-vertical-relative:line" coordsize="58388,7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">
                <v:group id="Группа 103" o:spid="_x0000_s1094" style="position:absolute;width:58388;height:69532" coordsize="58388,6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Прямоугольник 104" o:spid="_x0000_s1095" style="position:absolute;width:58388;height:69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" filled="f" stroked="f">
                    <v:textbox inset="2.53958mm,2.53958mm,2.53958mm,2.53958mm">
                      <w:txbxContent>
                        <w:p w:rsidR="00D06B63" w:rsidRDefault="00D06B63" w:rsidP="00EA72C7">
                          <w:pPr>
                            <w:spacing w:after="0" w:line="240" w:lineRule="auto"/>
                            <w:textDirection w:val="btLr"/>
                          </w:pPr>
                        </w:p>
                      </w:txbxContent>
                    </v:textbox>
                  </v:rect>
                  <v:shape id="Полилиния 105" o:spid="_x0000_s1096" style="position:absolute;left:41009;top:15391;width:1334;height:5094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" path="m,l,120000r120000,e" filled="f" strokecolor="#3d4b5f" strokeweight="1pt">
                    <v:stroke startarrowwidth="narrow" startarrowlength="short" endarrowwidth="narrow" endarrowlength="short" joinstyle="miter"/>
                    <v:path arrowok="t" o:extrusionok="f"/>
                  </v:shape>
                  <v:shape id="Полилиния 106" o:spid="_x0000_s1097" style="position:absolute;left:39675;top:15391;width:1334;height:5094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" path="m120000,r,120000l,120000e" filled="f" strokecolor="#3d4b5f" strokeweight="1pt">
                    <v:stroke startarrowwidth="narrow" startarrowlength="short" endarrowwidth="narrow" endarrowlength="short" joinstyle="miter"/>
                    <v:path arrowok="t" o:extrusionok="f"/>
                  </v:shape>
                  <v:shape id="Полилиния 107" o:spid="_x0000_s1098" style="position:absolute;left:41009;top:15391;width:1334;height:4192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" path="m,l,120000r120000,e" filled="f" strokecolor="#3d4b5f" strokeweight="1pt">
                    <v:stroke startarrowwidth="narrow" startarrowlength="short" endarrowwidth="narrow" endarrowlength="short" joinstyle="miter"/>
                    <v:path arrowok="t" o:extrusionok="f"/>
                  </v:shape>
                  <v:shape id="Полилиния 108" o:spid="_x0000_s1099" style="position:absolute;left:39675;top:15391;width:1334;height:4192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" path="m120000,r,120000l,120000e" filled="f" strokecolor="#3d4b5f" strokeweight="1pt">
                    <v:stroke startarrowwidth="narrow" startarrowlength="short" endarrowwidth="narrow" endarrowlength="short" joinstyle="miter"/>
                    <v:path arrowok="t" o:extrusionok="f"/>
                  </v:shape>
                  <v:shape id="Полилиния 109" o:spid="_x0000_s1100" style="position:absolute;left:41009;top:15391;width:1334;height:3290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" path="m,l,120000r120000,e" filled="f" strokecolor="#3d4b5f" strokeweight="1pt">
                    <v:stroke startarrowwidth="narrow" startarrowlength="short" endarrowwidth="narrow" endarrowlength="short" joinstyle="miter"/>
                    <v:path arrowok="t" o:extrusionok="f"/>
                  </v:shape>
                  <v:shape id="Полилиния 110" o:spid="_x0000_s1101" style="position:absolute;left:39675;top:15391;width:1334;height:3290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" path="m120000,r,120000l,120000e" filled="f" strokecolor="#3d4b5f" strokeweight="1pt">
                    <v:stroke startarrowwidth="narrow" startarrowlength="short" endarrowwidth="narrow" endarrowlength="short" joinstyle="miter"/>
                    <v:path arrowok="t" o:extrusionok="f"/>
                  </v:shape>
                  <v:shape id="Полилиния 111" o:spid="_x0000_s1102" style="position:absolute;left:41009;top:15391;width:1334;height:2388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" path="m,l,120000r120000,e" filled="f" strokecolor="#3d4b5f" strokeweight="1pt">
                    <v:stroke startarrowwidth="narrow" startarrowlength="short" endarrowwidth="narrow" endarrowlength="short" joinstyle="miter"/>
                    <v:path arrowok="t" o:extrusionok="f"/>
                  </v:shape>
                  <v:shape id="Полилиния 112" o:spid="_x0000_s1103" style="position:absolute;left:39675;top:15391;width:1334;height:2388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" path="m120000,r,120000l,120000e" filled="f" strokecolor="#3d4b5f" strokeweight="1pt">
                    <v:stroke startarrowwidth="narrow" startarrowlength="short" endarrowwidth="narrow" endarrowlength="short" joinstyle="miter"/>
                    <v:path arrowok="t" o:extrusionok="f"/>
                  </v:shape>
                  <v:shape id="Полилиния 113" o:spid="_x0000_s1104" style="position:absolute;left:41009;top:15391;width:1334;height:1486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" path="m,l,120000r120000,e" filled="f" strokecolor="#3d4b5f" strokeweight="1pt">
                    <v:stroke startarrowwidth="narrow" startarrowlength="short" endarrowwidth="narrow" endarrowlength="short" joinstyle="miter"/>
                    <v:path arrowok="t" o:extrusionok="f"/>
                  </v:shape>
                  <v:shape id="Полилиния 114" o:spid="_x0000_s1105" style="position:absolute;left:39675;top:15391;width:1334;height:1486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" path="m120000,r,120000l,120000e" filled="f" strokecolor="#3d4b5f" strokeweight="1pt">
                    <v:stroke startarrowwidth="narrow" startarrowlength="short" endarrowwidth="narrow" endarrowlength="short" joinstyle="miter"/>
                    <v:path arrowok="t" o:extrusionok="f"/>
                  </v:shape>
                  <v:shape id="Полилиния 115" o:spid="_x0000_s1106" style="position:absolute;left:41009;top:15391;width:1334;height:584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" path="m,l,120000r120000,e" filled="f" strokecolor="#3d4b5f" strokeweight="1pt">
                    <v:stroke startarrowwidth="narrow" startarrowlength="short" endarrowwidth="narrow" endarrowlength="short" joinstyle="miter"/>
                    <v:path arrowok="t" o:extrusionok="f"/>
                  </v:shape>
                  <v:shape id="Полилиния 116" o:spid="_x0000_s1107" style="position:absolute;left:39675;top:15391;width:1334;height:584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" path="m120000,r,120000l,120000e" filled="f" strokecolor="#3d4b5f" strokeweight="1pt">
                    <v:stroke startarrowwidth="narrow" startarrowlength="short" endarrowwidth="narrow" endarrowlength="short" joinstyle="miter"/>
                    <v:path arrowok="t" o:extrusionok="f"/>
                  </v:shape>
                  <v:shape id="Полилиния 117" o:spid="_x0000_s1108" style="position:absolute;left:25636;top:6371;width:9021;height:584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" path="m,l,120000r120000,e" filled="f" strokecolor="#354254" strokeweight="1pt">
                    <v:stroke startarrowwidth="narrow" startarrowlength="short" endarrowwidth="narrow" endarrowlength="short" joinstyle="miter"/>
                    <v:path arrowok="t" o:extrusionok="f"/>
                  </v:shape>
                  <v:shape id="Полилиния 118" o:spid="_x0000_s1109" style="position:absolute;left:9692;top:15391;width:1906;height:4192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" path="m,l,120000r120000,e" filled="f" strokecolor="#3d4b5f" strokeweight="1pt">
                    <v:stroke startarrowwidth="narrow" startarrowlength="short" endarrowwidth="narrow" endarrowlength="short" joinstyle="miter"/>
                    <v:path arrowok="t" o:extrusionok="f"/>
                  </v:shape>
                  <v:shape id="Полилиния 119" o:spid="_x0000_s1110" style="position:absolute;left:9692;top:15391;width:1906;height:3290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" path="m,l,120000r120000,e" filled="f" strokecolor="#3d4b5f" strokeweight="1pt">
                    <v:stroke startarrowwidth="narrow" startarrowlength="short" endarrowwidth="narrow" endarrowlength="short" joinstyle="miter"/>
                    <v:path arrowok="t" o:extrusionok="f"/>
                  </v:shape>
                  <v:shape id="Полилиния 120" o:spid="_x0000_s1111" style="position:absolute;left:9692;top:15391;width:1906;height:2388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" path="m,l,120000r120000,e" filled="f" strokecolor="#3d4b5f" strokeweight="1pt">
                    <v:stroke startarrowwidth="narrow" startarrowlength="short" endarrowwidth="narrow" endarrowlength="short" joinstyle="miter"/>
                    <v:path arrowok="t" o:extrusionok="f"/>
                  </v:shape>
                  <v:shape id="Полилиния 121" o:spid="_x0000_s1112" style="position:absolute;left:9692;top:15391;width:1906;height:1486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" path="m,l,120000r120000,e" filled="f" strokecolor="#3d4b5f" strokeweight="1pt">
                    <v:stroke startarrowwidth="narrow" startarrowlength="short" endarrowwidth="narrow" endarrowlength="short" joinstyle="miter"/>
                    <v:path arrowok="t" o:extrusionok="f"/>
                  </v:shape>
                  <v:shape id="Полилиния 122" o:spid="_x0000_s1113" style="position:absolute;left:9692;top:15391;width:1906;height:584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" path="m,l,120000r120000,e" filled="f" strokecolor="#3d4b5f" strokeweight="1pt">
                    <v:stroke startarrowwidth="narrow" startarrowlength="short" endarrowwidth="narrow" endarrowlength="short" joinstyle="miter"/>
                    <v:path arrowok="t" o:extrusionok="f"/>
                  </v:shape>
                  <v:shape id="Полилиния 123" o:spid="_x0000_s1114" style="position:absolute;left:16044;top:6371;width:9592;height:584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" path="m120000,r,120000l,120000e" filled="f" strokecolor="#354254" strokeweight="1pt">
                    <v:stroke startarrowwidth="narrow" startarrowlength="short" endarrowwidth="narrow" endarrowlength="short" joinstyle="miter"/>
                    <v:path arrowok="t" o:extrusionok="f"/>
                  </v:shape>
                  <v:rect id="Прямоугольник 124" o:spid="_x0000_s1115" style="position:absolute;left:19284;top:18;width:12705;height:6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" fillcolor="white [3201]" stroked="f">
                    <v:fill color2="#e1e1e1" colors="0 white;.5 white;1 #e1e1e1" focus="100%" type="gradient">
                      <o:fill v:ext="view" type="gradientUnscaled"/>
                    </v:fill>
                    <v:shadow on="t" color="black" opacity="41120f" offset="0,1.5pt"/>
                    <v:textbox inset="2.53958mm,2.53958mm,2.53958mm,2.53958mm">
                      <w:txbxContent>
                        <w:p w:rsidR="00D06B63" w:rsidRDefault="00D06B63" w:rsidP="00EA72C7">
                          <w:pPr>
                            <w:spacing w:after="0" w:line="240" w:lineRule="auto"/>
                            <w:textDirection w:val="btLr"/>
                          </w:pPr>
                        </w:p>
                      </w:txbxContent>
                    </v:textbox>
                  </v:rect>
                  <v:shape id="Надпись 125" o:spid="_x0000_s1116" type="#_x0000_t202" style="position:absolute;left:19284;top:18;width:12705;height:6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" filled="f" stroked="f">
                    <v:textbox inset=".5pt,.5pt,.5pt,.5pt">
                      <w:txbxContent>
                        <w:p w:rsidR="00D06B63" w:rsidRPr="009F4317" w:rsidRDefault="00D06B63" w:rsidP="00EA72C7">
                          <w:pPr>
                            <w:spacing w:after="0" w:line="240" w:lineRule="auto"/>
                            <w:jc w:val="center"/>
                            <w:textDirection w:val="btLr"/>
                            <w:rPr>
                              <w:sz w:val="24"/>
                              <w:szCs w:val="24"/>
                            </w:rPr>
                          </w:pPr>
                          <w:r w:rsidRPr="009F4317">
                            <w:rPr>
                              <w:rFonts w:ascii="Times New Roman" w:eastAsia="Times New Roman" w:hAnsi="Times New Roman" w:cs="Times New Roman"/>
                              <w:color w:val="000000"/>
                              <w:sz w:val="24"/>
                              <w:szCs w:val="24"/>
                            </w:rPr>
                            <w:t>Министерство</w:t>
                          </w:r>
                        </w:p>
                      </w:txbxContent>
                    </v:textbox>
                  </v:shape>
                  <v:rect id="Прямоугольник 126" o:spid="_x0000_s1117" style="position:absolute;left:3340;top:9039;width:12704;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" fillcolor="white [3201]" stroked="f">
                    <v:fill color2="#e1e1e1" colors="0 white;.5 white;1 #e1e1e1" focus="100%" type="gradient">
                      <o:fill v:ext="view" type="gradientUnscaled"/>
                    </v:fill>
                    <v:shadow on="t" color="black" opacity="41120f" offset="0,1.5pt"/>
                    <v:textbox inset="2.53958mm,2.53958mm,2.53958mm,2.53958mm">
                      <w:txbxContent>
                        <w:p w:rsidR="00D06B63" w:rsidRDefault="00D06B63" w:rsidP="00EA72C7">
                          <w:pPr>
                            <w:spacing w:after="0" w:line="240" w:lineRule="auto"/>
                            <w:textDirection w:val="btLr"/>
                          </w:pPr>
                        </w:p>
                      </w:txbxContent>
                    </v:textbox>
                  </v:rect>
                  <v:shape id="Надпись 127" o:spid="_x0000_s1118" type="#_x0000_t202" style="position:absolute;left:3340;top:9039;width:12704;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" filled="f" stroked="f">
                    <v:textbox inset=".5pt,.5pt,.5pt,.5pt">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Комитеты</w:t>
                          </w:r>
                        </w:p>
                      </w:txbxContent>
                    </v:textbox>
                  </v:shape>
                  <v:rect id="Прямоугольник 128" o:spid="_x0000_s1119" style="position:absolute;left:11598;top:18059;width:12704;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" fillcolor="white [3201]" stroked="f">
                    <v:fill color2="#e1e1e1" colors="0 white;.5 white;1 #e1e1e1" focus="100%" type="gradient">
                      <o:fill v:ext="view" type="gradientUnscaled"/>
                    </v:fill>
                    <v:shadow on="t" color="black" opacity="41120f" offset="0,1.5pt"/>
                    <v:textbox inset="2.53958mm,2.53958mm,2.53958mm,2.53958mm">
                      <w:txbxContent>
                        <w:p w:rsidR="00D06B63" w:rsidRDefault="00D06B63" w:rsidP="00EA72C7">
                          <w:pPr>
                            <w:spacing w:after="0" w:line="240" w:lineRule="auto"/>
                            <w:textDirection w:val="btLr"/>
                          </w:pPr>
                        </w:p>
                      </w:txbxContent>
                    </v:textbox>
                  </v:rect>
                  <v:shape id="Надпись 129" o:spid="_x0000_s1120" type="#_x0000_t202" style="position:absolute;left:11598;top:18059;width:12704;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" filled="f" stroked="f">
                    <v:textbox inset=".5pt,.5pt,.5pt,.5pt">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Комитет геологии</w:t>
                          </w:r>
                        </w:p>
                      </w:txbxContent>
                    </v:textbox>
                  </v:shape>
                  <v:rect id="Прямоугольник 130" o:spid="_x0000_s1121" style="position:absolute;left:11598;top:27079;width:12704;height:6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" fillcolor="white [3201]" stroked="f">
                    <v:fill color2="#e1e1e1" colors="0 white;.5 white;1 #e1e1e1" focus="100%" type="gradient">
                      <o:fill v:ext="view" type="gradientUnscaled"/>
                    </v:fill>
                    <v:shadow on="t" color="black" opacity="41120f" offset="0,1.5pt"/>
                    <v:textbox inset="2.53958mm,2.53958mm,2.53958mm,2.53958mm">
                      <w:txbxContent>
                        <w:p w:rsidR="00D06B63" w:rsidRDefault="00D06B63" w:rsidP="00EA72C7">
                          <w:pPr>
                            <w:spacing w:after="0" w:line="240" w:lineRule="auto"/>
                            <w:textDirection w:val="btLr"/>
                          </w:pPr>
                        </w:p>
                      </w:txbxContent>
                    </v:textbox>
                  </v:rect>
                  <v:shape id="Надпись 131" o:spid="_x0000_s1122" type="#_x0000_t202" style="position:absolute;left:11598;top:27079;width:12704;height:6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" filled="f" stroked="f">
                    <v:textbox inset=".5pt,.5pt,.5pt,.5pt">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Комитет по водным ресурсам</w:t>
                          </w:r>
                        </w:p>
                      </w:txbxContent>
                    </v:textbox>
                  </v:shape>
                  <v:rect id="Прямоугольник 132" o:spid="_x0000_s1123" style="position:absolute;left:11598;top:36100;width:12704;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" fillcolor="white [3201]" stroked="f">
                    <v:fill color2="#e1e1e1" colors="0 white;.5 white;1 #e1e1e1" focus="100%" type="gradient">
                      <o:fill v:ext="view" type="gradientUnscaled"/>
                    </v:fill>
                    <v:shadow on="t" color="black" opacity="41120f" offset="0,1.5pt"/>
                    <v:textbox inset="2.53958mm,2.53958mm,2.53958mm,2.53958mm">
                      <w:txbxContent>
                        <w:p w:rsidR="00D06B63" w:rsidRDefault="00D06B63" w:rsidP="00EA72C7">
                          <w:pPr>
                            <w:spacing w:after="0" w:line="240" w:lineRule="auto"/>
                            <w:textDirection w:val="btLr"/>
                          </w:pPr>
                        </w:p>
                      </w:txbxContent>
                    </v:textbox>
                  </v:rect>
                  <v:shape id="Надпись 133" o:spid="_x0000_s1124" type="#_x0000_t202" style="position:absolute;left:11598;top:36100;width:12704;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" filled="f" stroked="f">
                    <v:textbox inset=".5pt,.5pt,.5pt,.5pt">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Комитет экологического регулирования и контроля</w:t>
                          </w:r>
                        </w:p>
                      </w:txbxContent>
                    </v:textbox>
                  </v:shape>
                  <v:rect id="Прямоугольник 134" o:spid="_x0000_s1125" style="position:absolute;left:11598;top:45120;width:12704;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" fillcolor="white [3201]" stroked="f">
                    <v:fill color2="#e1e1e1" colors="0 white;.5 white;1 #e1e1e1" focus="100%" type="gradient">
                      <o:fill v:ext="view" type="gradientUnscaled"/>
                    </v:fill>
                    <v:shadow on="t" color="black" opacity="41120f" offset="0,1.5pt"/>
                    <v:textbox inset="2.53958mm,2.53958mm,2.53958mm,2.53958mm">
                      <w:txbxContent>
                        <w:p w:rsidR="00D06B63" w:rsidRDefault="00D06B63" w:rsidP="00EA72C7">
                          <w:pPr>
                            <w:spacing w:after="0" w:line="240" w:lineRule="auto"/>
                            <w:textDirection w:val="btLr"/>
                          </w:pPr>
                        </w:p>
                      </w:txbxContent>
                    </v:textbox>
                  </v:rect>
                  <v:shape id="Надпись 135" o:spid="_x0000_s1126" type="#_x0000_t202" style="position:absolute;left:11598;top:45120;width:12704;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" filled="f" stroked="f">
                    <v:textbox inset=".5pt,.5pt,.5pt,.5pt">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Комитет лесного хозяйства и животного мира</w:t>
                          </w:r>
                        </w:p>
                      </w:txbxContent>
                    </v:textbox>
                  </v:shape>
                  <v:rect id="Прямоугольник 136" o:spid="_x0000_s1127" style="position:absolute;left:11598;top:54140;width:12704;height:6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" fillcolor="white [3201]" stroked="f">
                    <v:fill color2="#e1e1e1" colors="0 white;.5 white;1 #e1e1e1" focus="100%" type="gradient">
                      <o:fill v:ext="view" type="gradientUnscaled"/>
                    </v:fill>
                    <v:shadow on="t" color="black" opacity="41120f" offset="0,1.5pt"/>
                    <v:textbox inset="2.53958mm,2.53958mm,2.53958mm,2.53958mm">
                      <w:txbxContent>
                        <w:p w:rsidR="00D06B63" w:rsidRDefault="00D06B63" w:rsidP="00EA72C7">
                          <w:pPr>
                            <w:spacing w:after="0" w:line="240" w:lineRule="auto"/>
                            <w:textDirection w:val="btLr"/>
                          </w:pPr>
                        </w:p>
                      </w:txbxContent>
                    </v:textbox>
                  </v:rect>
                  <v:shape id="Надпись 137" o:spid="_x0000_s1128" type="#_x0000_t202" style="position:absolute;left:11598;top:54140;width:12704;height:6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" filled="f" stroked="f">
                    <v:textbox inset=".5pt,.5pt,.5pt,.5pt">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Комитет рыбного хозяйства</w:t>
                          </w:r>
                        </w:p>
                      </w:txbxContent>
                    </v:textbox>
                  </v:shape>
                  <v:rect id="Прямоугольник 138" o:spid="_x0000_s1129" style="position:absolute;left:34657;top:9039;width:12704;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" fillcolor="white [3201]" stroked="f">
                    <v:fill color2="#e1e1e1" colors="0 white;.5 white;1 #e1e1e1" focus="100%" type="gradient">
                      <o:fill v:ext="view" type="gradientUnscaled"/>
                    </v:fill>
                    <v:shadow on="t" color="black" opacity="41120f" offset="0,1.5pt"/>
                    <v:textbox inset="2.53958mm,2.53958mm,2.53958mm,2.53958mm">
                      <w:txbxContent>
                        <w:p w:rsidR="00D06B63" w:rsidRDefault="00D06B63" w:rsidP="00EA72C7">
                          <w:pPr>
                            <w:spacing w:after="0" w:line="240" w:lineRule="auto"/>
                            <w:textDirection w:val="btLr"/>
                          </w:pPr>
                        </w:p>
                      </w:txbxContent>
                    </v:textbox>
                  </v:rect>
                  <v:shape id="Надпись 139" o:spid="_x0000_s1130" type="#_x0000_t202" style="position:absolute;left:34657;top:9039;width:12704;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" filled="f" stroked="f">
                    <v:textbox inset=".5pt,.5pt,.5pt,.5pt">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Департаменты</w:t>
                          </w:r>
                        </w:p>
                      </w:txbxContent>
                    </v:textbox>
                  </v:shape>
                  <v:rect id="Прямоугольник 140" o:spid="_x0000_s1131" style="position:absolute;left:26970;top:18059;width:12705;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" fillcolor="white [3201]" stroked="f">
                    <v:fill color2="#e1e1e1" colors="0 white;.5 white;1 #e1e1e1" focus="100%" type="gradient">
                      <o:fill v:ext="view" type="gradientUnscaled"/>
                    </v:fill>
                    <v:shadow on="t" color="black" opacity="41120f" offset="0,1.5pt"/>
                    <v:textbox inset="2.53958mm,2.53958mm,2.53958mm,2.53958mm">
                      <w:txbxContent>
                        <w:p w:rsidR="00D06B63" w:rsidRDefault="00D06B63" w:rsidP="00EA72C7">
                          <w:pPr>
                            <w:spacing w:after="0" w:line="240" w:lineRule="auto"/>
                            <w:textDirection w:val="btLr"/>
                          </w:pPr>
                        </w:p>
                      </w:txbxContent>
                    </v:textbox>
                  </v:rect>
                  <v:shape id="Надпись 141" o:spid="_x0000_s1132" type="#_x0000_t202" style="position:absolute;left:26970;top:18059;width:12705;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" filled="f" stroked="f">
                    <v:textbox inset=".5pt,.5pt,.5pt,.5pt">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 климатической политики и зеленых технологий</w:t>
                          </w:r>
                        </w:p>
                      </w:txbxContent>
                    </v:textbox>
                  </v:shape>
                  <v:rect id="Прямоугольник 142" o:spid="_x0000_s1133" style="position:absolute;left:42343;top:18059;width:12705;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" fillcolor="white [3201]" stroked="f">
                    <v:fill color2="#e1e1e1" colors="0 white;.5 white;1 #e1e1e1" focus="100%" type="gradient">
                      <o:fill v:ext="view" type="gradientUnscaled"/>
                    </v:fill>
                    <v:shadow on="t" color="black" opacity="41120f" offset="0,1.5pt"/>
                    <v:textbox inset="2.53958mm,2.53958mm,2.53958mm,2.53958mm">
                      <w:txbxContent>
                        <w:p w:rsidR="00D06B63" w:rsidRDefault="00D06B63" w:rsidP="00EA72C7">
                          <w:pPr>
                            <w:spacing w:after="0" w:line="240" w:lineRule="auto"/>
                            <w:textDirection w:val="btLr"/>
                          </w:pPr>
                        </w:p>
                      </w:txbxContent>
                    </v:textbox>
                  </v:rect>
                  <v:shape id="Надпись 143" o:spid="_x0000_s1134" type="#_x0000_t202" style="position:absolute;left:42343;top:18059;width:12705;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" filled="f" stroked="f">
                    <v:textbox inset=".5pt,.5pt,.5pt,.5pt">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 трансграничных рек</w:t>
                          </w:r>
                        </w:p>
                      </w:txbxContent>
                    </v:textbox>
                  </v:shape>
                  <v:rect id="Прямоугольник 144" o:spid="_x0000_s1135" style="position:absolute;left:26970;top:27079;width:12705;height:6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" fillcolor="white [3201]" stroked="f">
                    <v:fill color2="#e1e1e1" colors="0 white;.5 white;1 #e1e1e1" focus="100%" type="gradient">
                      <o:fill v:ext="view" type="gradientUnscaled"/>
                    </v:fill>
                    <v:shadow on="t" color="black" opacity="41120f" offset="0,1.5pt"/>
                    <v:textbox inset="2.53958mm,2.53958mm,2.53958mm,2.53958mm">
                      <w:txbxContent>
                        <w:p w:rsidR="00D06B63" w:rsidRDefault="00D06B63" w:rsidP="00EA72C7">
                          <w:pPr>
                            <w:spacing w:after="0" w:line="240" w:lineRule="auto"/>
                            <w:textDirection w:val="btLr"/>
                          </w:pPr>
                        </w:p>
                      </w:txbxContent>
                    </v:textbox>
                  </v:rect>
                  <v:shape id="Надпись 145" o:spid="_x0000_s1136" type="#_x0000_t202" style="position:absolute;left:26970;top:27079;width:12705;height:6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" filled="f" stroked="f">
                    <v:textbox inset=".5pt,.5pt,.5pt,.5pt">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 геологии и развития минерально-сырьевой базы</w:t>
                          </w:r>
                        </w:p>
                      </w:txbxContent>
                    </v:textbox>
                  </v:shape>
                  <v:rect id="Прямоугольник 146" o:spid="_x0000_s1137" style="position:absolute;left:42343;top:27079;width:12705;height:6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" fillcolor="white [3201]" stroked="f">
                    <v:fill color2="#e1e1e1" colors="0 white;.5 white;1 #e1e1e1" focus="100%" type="gradient">
                      <o:fill v:ext="view" type="gradientUnscaled"/>
                    </v:fill>
                    <v:shadow on="t" color="black" opacity="41120f" offset="0,1.5pt"/>
                    <v:textbox inset="2.53958mm,2.53958mm,2.53958mm,2.53958mm">
                      <w:txbxContent>
                        <w:p w:rsidR="00D06B63" w:rsidRDefault="00D06B63" w:rsidP="00EA72C7">
                          <w:pPr>
                            <w:spacing w:after="0" w:line="240" w:lineRule="auto"/>
                            <w:textDirection w:val="btLr"/>
                          </w:pPr>
                        </w:p>
                      </w:txbxContent>
                    </v:textbox>
                  </v:rect>
                  <v:shape id="Надпись 147" o:spid="_x0000_s1138" type="#_x0000_t202" style="position:absolute;left:42343;top:27079;width:12705;height:6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" filled="f" stroked="f">
                    <v:textbox inset=".5pt,.5pt,.5pt,.5pt">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 экологической политики и устойчивого развития</w:t>
                          </w:r>
                        </w:p>
                      </w:txbxContent>
                    </v:textbox>
                  </v:shape>
                  <v:rect id="Прямоугольник 148" o:spid="_x0000_s1139" style="position:absolute;left:26970;top:36100;width:12705;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" fillcolor="white [3201]" stroked="f">
                    <v:fill color2="#e1e1e1" colors="0 white;.5 white;1 #e1e1e1" focus="100%" type="gradient">
                      <o:fill v:ext="view" type="gradientUnscaled"/>
                    </v:fill>
                    <v:shadow on="t" color="black" opacity="41120f" offset="0,1.5pt"/>
                    <v:textbox inset="2.53958mm,2.53958mm,2.53958mm,2.53958mm">
                      <w:txbxContent>
                        <w:p w:rsidR="00D06B63" w:rsidRDefault="00D06B63" w:rsidP="00EA72C7">
                          <w:pPr>
                            <w:spacing w:after="0" w:line="240" w:lineRule="auto"/>
                            <w:textDirection w:val="btLr"/>
                          </w:pPr>
                        </w:p>
                      </w:txbxContent>
                    </v:textbox>
                  </v:rect>
                  <v:shape id="Надпись 149" o:spid="_x0000_s1140" type="#_x0000_t202" style="position:absolute;left:26970;top:36100;width:12705;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" filled="f" stroked="f">
                    <v:textbox inset=".5pt,.5pt,.5pt,.5pt">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 государственной политики и управлении отходами</w:t>
                          </w:r>
                        </w:p>
                      </w:txbxContent>
                    </v:textbox>
                  </v:shape>
                  <v:rect id="Прямоугольник 150" o:spid="_x0000_s1141" style="position:absolute;left:42343;top:36100;width:12705;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" fillcolor="white [3201]" stroked="f">
                    <v:fill color2="#e1e1e1" colors="0 white;.5 white;1 #e1e1e1" focus="100%" type="gradient">
                      <o:fill v:ext="view" type="gradientUnscaled"/>
                    </v:fill>
                    <v:shadow on="t" color="black" opacity="41120f" offset="0,1.5pt"/>
                    <v:textbox inset="2.53958mm,2.53958mm,2.53958mm,2.53958mm">
                      <w:txbxContent>
                        <w:p w:rsidR="00D06B63" w:rsidRDefault="00D06B63" w:rsidP="00EA72C7">
                          <w:pPr>
                            <w:spacing w:after="0" w:line="240" w:lineRule="auto"/>
                            <w:textDirection w:val="btLr"/>
                          </w:pPr>
                        </w:p>
                      </w:txbxContent>
                    </v:textbox>
                  </v:rect>
                  <v:shape id="Надпись 151" o:spid="_x0000_s1142" type="#_x0000_t202" style="position:absolute;left:42343;top:36100;width:12705;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" filled="f" stroked="f">
                    <v:textbox inset=".5pt,.5pt,.5pt,.5pt">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 цифровизации и информатизации</w:t>
                          </w:r>
                        </w:p>
                      </w:txbxContent>
                    </v:textbox>
                  </v:shape>
                  <v:rect id="Прямоугольник 152" o:spid="_x0000_s1143" style="position:absolute;left:26970;top:45120;width:12705;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" fillcolor="white [3201]" stroked="f">
                    <v:fill color2="#e1e1e1" colors="0 white;.5 white;1 #e1e1e1" focus="100%" type="gradient">
                      <o:fill v:ext="view" type="gradientUnscaled"/>
                    </v:fill>
                    <v:shadow on="t" color="black" opacity="41120f" offset="0,1.5pt"/>
                    <v:textbox inset="2.53958mm,2.53958mm,2.53958mm,2.53958mm">
                      <w:txbxContent>
                        <w:p w:rsidR="00D06B63" w:rsidRDefault="00D06B63" w:rsidP="00EA72C7">
                          <w:pPr>
                            <w:spacing w:after="0" w:line="240" w:lineRule="auto"/>
                            <w:textDirection w:val="btLr"/>
                          </w:pPr>
                        </w:p>
                      </w:txbxContent>
                    </v:textbox>
                  </v:rect>
                  <v:shape id="Надпись 153" o:spid="_x0000_s1144" type="#_x0000_t202" style="position:absolute;left:26970;top:45120;width:12705;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" filled="f" stroked="f">
                    <v:textbox inset=".5pt,.5pt,.5pt,.5pt">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 международного сотрудничества</w:t>
                          </w:r>
                        </w:p>
                      </w:txbxContent>
                    </v:textbox>
                  </v:shape>
                  <v:rect id="Прямоугольник 154" o:spid="_x0000_s1145" style="position:absolute;left:42343;top:45120;width:12705;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" fillcolor="white [3201]" stroked="f">
                    <v:fill color2="#e1e1e1" colors="0 white;.5 white;1 #e1e1e1" focus="100%" type="gradient">
                      <o:fill v:ext="view" type="gradientUnscaled"/>
                    </v:fill>
                    <v:shadow on="t" color="black" opacity="41120f" offset="0,1.5pt"/>
                    <v:textbox inset="2.53958mm,2.53958mm,2.53958mm,2.53958mm">
                      <w:txbxContent>
                        <w:p w:rsidR="00D06B63" w:rsidRDefault="00D06B63" w:rsidP="00EA72C7">
                          <w:pPr>
                            <w:spacing w:after="0" w:line="240" w:lineRule="auto"/>
                            <w:textDirection w:val="btLr"/>
                          </w:pPr>
                        </w:p>
                      </w:txbxContent>
                    </v:textbox>
                  </v:rect>
                  <v:shape id="Надпись 155" o:spid="_x0000_s1146" type="#_x0000_t202" style="position:absolute;left:42343;top:45120;width:12705;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" filled="f" stroked="f">
                    <v:textbox inset=".5pt,.5pt,.5pt,.5pt">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 юридической службы</w:t>
                          </w:r>
                        </w:p>
                      </w:txbxContent>
                    </v:textbox>
                  </v:shape>
                  <v:rect id="Прямоугольник 156" o:spid="_x0000_s1147" style="position:absolute;left:26970;top:54140;width:12705;height:6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" fillcolor="white [3201]" stroked="f">
                    <v:fill color2="#e1e1e1" colors="0 white;.5 white;1 #e1e1e1" focus="100%" type="gradient">
                      <o:fill v:ext="view" type="gradientUnscaled"/>
                    </v:fill>
                    <v:shadow on="t" color="black" opacity="41120f" offset="0,1.5pt"/>
                    <v:textbox inset="2.53958mm,2.53958mm,2.53958mm,2.53958mm">
                      <w:txbxContent>
                        <w:p w:rsidR="00D06B63" w:rsidRDefault="00D06B63" w:rsidP="00EA72C7">
                          <w:pPr>
                            <w:spacing w:after="0" w:line="240" w:lineRule="auto"/>
                            <w:textDirection w:val="btLr"/>
                          </w:pPr>
                        </w:p>
                      </w:txbxContent>
                    </v:textbox>
                  </v:rect>
                  <v:shape id="Надпись 157" o:spid="_x0000_s1148" type="#_x0000_t202" style="position:absolute;left:26970;top:54140;width:12705;height:6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" filled="f" stroked="f">
                    <v:textbox inset=".5pt,.5pt,.5pt,.5pt">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 стратегического планирования и анализа</w:t>
                          </w:r>
                        </w:p>
                      </w:txbxContent>
                    </v:textbox>
                  </v:shape>
                  <v:rect id="Прямоугольник 158" o:spid="_x0000_s1149" style="position:absolute;left:42343;top:54140;width:12705;height:6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" fillcolor="white [3201]" stroked="f">
                    <v:fill color2="#e1e1e1" colors="0 white;.5 white;1 #e1e1e1" focus="100%" type="gradient">
                      <o:fill v:ext="view" type="gradientUnscaled"/>
                    </v:fill>
                    <v:shadow on="t" color="black" opacity="41120f" offset="0,1.5pt"/>
                    <v:textbox inset="2.53958mm,2.53958mm,2.53958mm,2.53958mm">
                      <w:txbxContent>
                        <w:p w:rsidR="00D06B63" w:rsidRDefault="00D06B63" w:rsidP="00EA72C7">
                          <w:pPr>
                            <w:spacing w:after="0" w:line="240" w:lineRule="auto"/>
                            <w:textDirection w:val="btLr"/>
                          </w:pPr>
                        </w:p>
                      </w:txbxContent>
                    </v:textbox>
                  </v:rect>
                  <v:shape id="Надпись 159" o:spid="_x0000_s1150" type="#_x0000_t202" style="position:absolute;left:42343;top:54140;width:12705;height:6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" filled="f" stroked="f">
                    <v:textbox inset=".5pt,.5pt,.5pt,.5pt">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 бюджета и финансовых процедур</w:t>
                          </w:r>
                        </w:p>
                      </w:txbxContent>
                    </v:textbox>
                  </v:shape>
                  <v:rect id="Прямоугольник 160" o:spid="_x0000_s1151" style="position:absolute;left:26970;top:63161;width:12705;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" fillcolor="white [3201]" stroked="f">
                    <v:fill color2="#e1e1e1" colors="0 white;.5 white;1 #e1e1e1" focus="100%" type="gradient">
                      <o:fill v:ext="view" type="gradientUnscaled"/>
                    </v:fill>
                    <v:shadow on="t" color="black" opacity="41120f" offset="0,1.5pt"/>
                    <v:textbox inset="2.53958mm,2.53958mm,2.53958mm,2.53958mm">
                      <w:txbxContent>
                        <w:p w:rsidR="00D06B63" w:rsidRDefault="00D06B63" w:rsidP="00EA72C7">
                          <w:pPr>
                            <w:spacing w:after="0" w:line="240" w:lineRule="auto"/>
                            <w:textDirection w:val="btLr"/>
                          </w:pPr>
                        </w:p>
                      </w:txbxContent>
                    </v:textbox>
                  </v:rect>
                  <v:shape id="Надпись 161" o:spid="_x0000_s1152" type="#_x0000_t202" style="position:absolute;left:26970;top:63161;width:12705;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" filled="f" stroked="f">
                    <v:textbox inset=".5pt,.5pt,.5pt,.5pt">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 кадровой работы</w:t>
                          </w:r>
                        </w:p>
                      </w:txbxContent>
                    </v:textbox>
                  </v:shape>
                  <v:rect id="Прямоугольник 162" o:spid="_x0000_s1153" style="position:absolute;left:42343;top:63161;width:12705;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" fillcolor="white [3201]" stroked="f">
                    <v:fill color2="#e1e1e1" colors="0 white;.5 white;1 #e1e1e1" focus="100%" type="gradient">
                      <o:fill v:ext="view" type="gradientUnscaled"/>
                    </v:fill>
                    <v:shadow on="t" color="black" opacity="41120f" offset="0,1.5pt"/>
                    <v:textbox inset="2.53958mm,2.53958mm,2.53958mm,2.53958mm">
                      <w:txbxContent>
                        <w:p w:rsidR="00D06B63" w:rsidRDefault="00D06B63" w:rsidP="00EA72C7">
                          <w:pPr>
                            <w:spacing w:after="0" w:line="240" w:lineRule="auto"/>
                            <w:textDirection w:val="btLr"/>
                          </w:pPr>
                        </w:p>
                      </w:txbxContent>
                    </v:textbox>
                  </v:rect>
                  <v:shape id="Надпись 163" o:spid="_x0000_s1154" type="#_x0000_t202" style="position:absolute;left:42343;top:63161;width:12705;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" filled="f" stroked="f">
                    <v:textbox inset=".5pt,.5pt,.5pt,.5pt">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0"/>
                            </w:rPr>
                            <w:t>Департамент внутреннего аудита</w:t>
                          </w:r>
                        </w:p>
                      </w:txbxContent>
                    </v:textbox>
                  </v:shape>
                </v:group>
                <w10:anchorlock/>
              </v:group>
            </w:pict>
          </mc:Fallback>
        </mc:AlternateContent>
      </w:r>
    </w:p>
    <w:p w:rsidR="00EA72C7" w:rsidRDefault="00EA72C7" w:rsidP="00EA72C7">
      <w:pPr>
        <w:spacing w:after="0" w:line="240" w:lineRule="auto"/>
        <w:rPr>
          <w:rFonts w:ascii="Times New Roman" w:eastAsia="Times New Roman" w:hAnsi="Times New Roman" w:cs="Times New Roman"/>
          <w:sz w:val="24"/>
          <w:szCs w:val="24"/>
        </w:rPr>
      </w:pPr>
    </w:p>
    <w:p w:rsidR="00EA72C7" w:rsidRDefault="00EA72C7" w:rsidP="00EA72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Рисунок Г.1 – Структура Министерства экологии, геологии и природных ресурсов Республики Казахстан</w:t>
      </w:r>
    </w:p>
    <w:p w:rsidR="00EA72C7" w:rsidRDefault="00EA72C7" w:rsidP="00EA72C7">
      <w:pPr>
        <w:spacing w:after="0" w:line="240" w:lineRule="auto"/>
        <w:rPr>
          <w:rFonts w:ascii="Times New Roman" w:eastAsia="Times New Roman" w:hAnsi="Times New Roman" w:cs="Times New Roman"/>
          <w:sz w:val="16"/>
          <w:szCs w:val="16"/>
        </w:rPr>
      </w:pPr>
    </w:p>
    <w:p w:rsidR="00EA72C7" w:rsidRDefault="00EA72C7" w:rsidP="00EA72C7">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 Составлено по источнику </w:t>
      </w:r>
      <w:r w:rsidR="005738AE">
        <w:rPr>
          <w:rFonts w:ascii="Times New Roman" w:eastAsia="Times New Roman" w:hAnsi="Times New Roman" w:cs="Times New Roman"/>
          <w:sz w:val="24"/>
          <w:szCs w:val="24"/>
        </w:rPr>
        <w:t>[181</w:t>
      </w:r>
      <w:r>
        <w:rPr>
          <w:rFonts w:ascii="Times New Roman" w:eastAsia="Times New Roman" w:hAnsi="Times New Roman" w:cs="Times New Roman"/>
          <w:sz w:val="24"/>
          <w:szCs w:val="24"/>
        </w:rPr>
        <w:t>, с. 3-58]</w:t>
      </w:r>
    </w:p>
    <w:p w:rsidR="00EA72C7" w:rsidRDefault="00EA72C7" w:rsidP="00EA72C7">
      <w:pPr>
        <w:spacing w:after="0" w:line="240" w:lineRule="auto"/>
        <w:rPr>
          <w:rFonts w:ascii="Times New Roman" w:eastAsia="Times New Roman" w:hAnsi="Times New Roman" w:cs="Times New Roman"/>
          <w:b/>
          <w:sz w:val="28"/>
          <w:szCs w:val="28"/>
        </w:rPr>
      </w:pPr>
      <w:r>
        <w:br w:type="page"/>
      </w:r>
    </w:p>
    <w:p w:rsidR="00EA72C7" w:rsidRDefault="00EA72C7" w:rsidP="00EA72C7">
      <w:pPr>
        <w:pStyle w:val="2"/>
        <w:spacing w:before="0" w:line="240" w:lineRule="auto"/>
        <w:jc w:val="center"/>
        <w:rPr>
          <w:rFonts w:ascii="Times New Roman" w:eastAsia="Times New Roman" w:hAnsi="Times New Roman" w:cs="Times New Roman"/>
          <w:color w:val="000000"/>
          <w:sz w:val="28"/>
          <w:szCs w:val="28"/>
        </w:rPr>
      </w:pPr>
      <w:bookmarkStart w:id="31" w:name="_heading=h.2p2csry" w:colFirst="0" w:colLast="0"/>
      <w:bookmarkEnd w:id="31"/>
      <w:r>
        <w:rPr>
          <w:rFonts w:ascii="Times New Roman" w:eastAsia="Times New Roman" w:hAnsi="Times New Roman" w:cs="Times New Roman"/>
          <w:color w:val="000000"/>
          <w:sz w:val="28"/>
          <w:szCs w:val="28"/>
        </w:rPr>
        <w:lastRenderedPageBreak/>
        <w:t xml:space="preserve">ПРИЛОЖЕНИЕ Д </w:t>
      </w:r>
    </w:p>
    <w:p w:rsidR="00EA72C7" w:rsidRDefault="00EA72C7" w:rsidP="00EA72C7">
      <w:pPr>
        <w:pStyle w:val="2"/>
        <w:spacing w:before="0" w:line="240" w:lineRule="auto"/>
        <w:jc w:val="center"/>
        <w:rPr>
          <w:rFonts w:ascii="Times New Roman" w:eastAsia="Times New Roman" w:hAnsi="Times New Roman" w:cs="Times New Roman"/>
          <w:color w:val="000000"/>
          <w:sz w:val="28"/>
          <w:szCs w:val="28"/>
        </w:rPr>
      </w:pPr>
    </w:p>
    <w:p w:rsidR="00EA72C7" w:rsidRDefault="00EA72C7" w:rsidP="00EA72C7">
      <w:pPr>
        <w:spacing w:after="0" w:line="240" w:lineRule="auto"/>
      </w:pPr>
    </w:p>
    <w:p w:rsidR="00EA72C7" w:rsidRDefault="00EA72C7" w:rsidP="00EA72C7">
      <w:pPr>
        <w:spacing w:after="0" w:line="240" w:lineRule="auto"/>
        <w:jc w:val="center"/>
      </w:pPr>
      <w:r>
        <w:rPr>
          <w:rFonts w:ascii="Times New Roman" w:eastAsia="Times New Roman" w:hAnsi="Times New Roman" w:cs="Times New Roman"/>
          <w:b/>
          <w:noProof/>
          <w:sz w:val="24"/>
          <w:szCs w:val="24"/>
        </w:rPr>
        <w:drawing>
          <wp:inline distT="0" distB="0" distL="0" distR="0" wp14:anchorId="01952D7A" wp14:editId="52FE49B5">
            <wp:extent cx="3996190" cy="2923766"/>
            <wp:effectExtent l="0" t="0" r="0" b="0"/>
            <wp:docPr id="4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7"/>
                    <a:srcRect l="4857"/>
                    <a:stretch>
                      <a:fillRect/>
                    </a:stretch>
                  </pic:blipFill>
                  <pic:spPr>
                    <a:xfrm>
                      <a:off x="0" y="0"/>
                      <a:ext cx="3996190" cy="2923766"/>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14:anchorId="005E7AED" wp14:editId="439E90B1">
                <wp:simplePos x="0" y="0"/>
                <wp:positionH relativeFrom="column">
                  <wp:posOffset>2971800</wp:posOffset>
                </wp:positionH>
                <wp:positionV relativeFrom="paragraph">
                  <wp:posOffset>673100</wp:posOffset>
                </wp:positionV>
                <wp:extent cx="323850" cy="2933700"/>
                <wp:effectExtent l="0" t="0" r="0" b="0"/>
                <wp:wrapNone/>
                <wp:docPr id="164" name="Прямая со стрелкой 164"/>
                <wp:cNvGraphicFramePr/>
                <a:graphic xmlns:a="http://schemas.openxmlformats.org/drawingml/2006/main">
                  <a:graphicData uri="http://schemas.microsoft.com/office/word/2010/wordprocessingShape">
                    <wps:wsp>
                      <wps:cNvCnPr/>
                      <wps:spPr>
                        <a:xfrm rot="10800000" flipH="1">
                          <a:off x="5198363" y="2327438"/>
                          <a:ext cx="295275" cy="2905125"/>
                        </a:xfrm>
                        <a:prstGeom prst="straightConnector1">
                          <a:avLst/>
                        </a:prstGeom>
                        <a:noFill/>
                        <a:ln w="28575" cap="flat" cmpd="sng">
                          <a:solidFill>
                            <a:srgbClr val="C00000"/>
                          </a:solidFill>
                          <a:prstDash val="solid"/>
                          <a:round/>
                          <a:headEnd type="none" w="med" len="med"/>
                          <a:tailEnd type="triangle" w="med" len="med"/>
                        </a:ln>
                      </wps:spPr>
                      <wps:bodyPr/>
                    </wps:wsp>
                  </a:graphicData>
                </a:graphic>
              </wp:anchor>
            </w:drawing>
          </mc:Choice>
          <mc:Fallback xmlns:w16se="http://schemas.microsoft.com/office/word/2015/wordml/symex" xmlns:cx="http://schemas.microsoft.com/office/drawing/2014/chartex">
            <w:pict>
              <v:shapetype w14:anchorId="20D18808" id="_x0000_t32" coordsize="21600,21600" o:spt="32" o:oned="t" path="m,l21600,21600e" filled="f">
                <v:path arrowok="t" fillok="f" o:connecttype="none"/>
                <o:lock v:ext="edit" shapetype="t"/>
              </v:shapetype>
              <v:shape id="Прямая со стрелкой 164" o:spid="_x0000_s1026" type="#_x0000_t32" style="position:absolute;margin-left:234pt;margin-top:53pt;width:25.5pt;height:231pt;rotation:180;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" strokecolor="#c00000" strokeweight="2.25pt">
                <v:stroke endarrow="block"/>
              </v:shape>
            </w:pict>
          </mc:Fallback>
        </mc:AlternateContent>
      </w:r>
    </w:p>
    <w:p w:rsidR="00EA72C7" w:rsidRDefault="00EA72C7" w:rsidP="00EA72C7">
      <w:pPr>
        <w:spacing w:after="0" w:line="240" w:lineRule="auto"/>
      </w:pPr>
    </w:p>
    <w:p w:rsidR="00EA72C7" w:rsidRDefault="00EA72C7" w:rsidP="00EA72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p w:rsidR="00EA72C7" w:rsidRDefault="00EA72C7" w:rsidP="00EA72C7">
      <w:pPr>
        <w:spacing w:after="0" w:line="240" w:lineRule="auto"/>
        <w:jc w:val="center"/>
      </w:pPr>
      <w:r>
        <w:rPr>
          <w:rFonts w:ascii="Times New Roman" w:eastAsia="Times New Roman" w:hAnsi="Times New Roman" w:cs="Times New Roman"/>
          <w:noProof/>
          <w:sz w:val="24"/>
          <w:szCs w:val="24"/>
        </w:rPr>
        <w:drawing>
          <wp:inline distT="0" distB="0" distL="0" distR="0" wp14:anchorId="3521B1CA" wp14:editId="68AE724A">
            <wp:extent cx="3354237" cy="3247680"/>
            <wp:effectExtent l="0" t="0" r="0" b="0"/>
            <wp:docPr id="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8"/>
                    <a:srcRect l="35435" t="19003" r="19187" b="5527"/>
                    <a:stretch>
                      <a:fillRect/>
                    </a:stretch>
                  </pic:blipFill>
                  <pic:spPr>
                    <a:xfrm>
                      <a:off x="0" y="0"/>
                      <a:ext cx="3354237" cy="3247680"/>
                    </a:xfrm>
                    <a:prstGeom prst="rect">
                      <a:avLst/>
                    </a:prstGeom>
                    <a:ln/>
                  </pic:spPr>
                </pic:pic>
              </a:graphicData>
            </a:graphic>
          </wp:inline>
        </w:drawing>
      </w:r>
    </w:p>
    <w:p w:rsidR="00EA72C7" w:rsidRDefault="00EA72C7" w:rsidP="00EA72C7">
      <w:pPr>
        <w:spacing w:after="0" w:line="240" w:lineRule="auto"/>
        <w:jc w:val="center"/>
        <w:rPr>
          <w:rFonts w:ascii="Times New Roman" w:eastAsia="Times New Roman" w:hAnsi="Times New Roman" w:cs="Times New Roman"/>
          <w:sz w:val="24"/>
          <w:szCs w:val="24"/>
        </w:rPr>
      </w:pPr>
    </w:p>
    <w:p w:rsidR="00EA72C7" w:rsidRDefault="00EA72C7" w:rsidP="00EA72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
    <w:p w:rsidR="00EA72C7" w:rsidRDefault="00EA72C7" w:rsidP="00EA72C7">
      <w:pPr>
        <w:tabs>
          <w:tab w:val="left" w:pos="3852"/>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 географическая карта; б - озеро</w:t>
      </w:r>
    </w:p>
    <w:p w:rsidR="00EA72C7" w:rsidRDefault="00EA72C7" w:rsidP="00EA72C7">
      <w:pPr>
        <w:spacing w:after="0" w:line="240" w:lineRule="auto"/>
        <w:jc w:val="center"/>
        <w:rPr>
          <w:rFonts w:ascii="Times New Roman" w:eastAsia="Times New Roman" w:hAnsi="Times New Roman" w:cs="Times New Roman"/>
          <w:sz w:val="16"/>
          <w:szCs w:val="16"/>
        </w:rPr>
      </w:pPr>
    </w:p>
    <w:p w:rsidR="00EA72C7" w:rsidRDefault="00EA72C7" w:rsidP="00EA72C7">
      <w:pPr>
        <w:spacing w:after="0" w:line="240" w:lineRule="auto"/>
        <w:jc w:val="center"/>
      </w:pPr>
      <w:r>
        <w:rPr>
          <w:rFonts w:ascii="Times New Roman" w:eastAsia="Times New Roman" w:hAnsi="Times New Roman" w:cs="Times New Roman"/>
          <w:sz w:val="28"/>
          <w:szCs w:val="28"/>
        </w:rPr>
        <w:t>Рисунок Д.1 – Место исследования - озеро Малый Талдыколь</w:t>
      </w:r>
    </w:p>
    <w:p w:rsidR="00EA72C7" w:rsidRDefault="00EA72C7" w:rsidP="00EA72C7">
      <w:pPr>
        <w:spacing w:after="0" w:line="240" w:lineRule="auto"/>
      </w:pPr>
    </w:p>
    <w:p w:rsidR="00EA72C7" w:rsidRDefault="00EA72C7" w:rsidP="00EA72C7">
      <w:pPr>
        <w:spacing w:after="0" w:line="240" w:lineRule="auto"/>
      </w:pPr>
    </w:p>
    <w:p w:rsidR="00EA72C7" w:rsidRDefault="00EA72C7" w:rsidP="00EA72C7">
      <w:pPr>
        <w:spacing w:after="0" w:line="240" w:lineRule="auto"/>
        <w:sectPr w:rsidR="00EA72C7">
          <w:pgSz w:w="11906" w:h="16838"/>
          <w:pgMar w:top="1134" w:right="567" w:bottom="1134" w:left="1701" w:header="709" w:footer="709" w:gutter="0"/>
          <w:cols w:space="720"/>
          <w:titlePg/>
        </w:sectPr>
      </w:pPr>
    </w:p>
    <w:p w:rsidR="00EA72C7" w:rsidRDefault="00EA72C7" w:rsidP="00EA72C7">
      <w:pPr>
        <w:pStyle w:val="2"/>
        <w:spacing w:before="0" w:line="240" w:lineRule="auto"/>
        <w:jc w:val="center"/>
        <w:rPr>
          <w:rFonts w:ascii="Times New Roman" w:eastAsia="Times New Roman" w:hAnsi="Times New Roman" w:cs="Times New Roman"/>
          <w:color w:val="000000"/>
          <w:sz w:val="28"/>
          <w:szCs w:val="28"/>
        </w:rPr>
      </w:pPr>
      <w:bookmarkStart w:id="32" w:name="_heading=h.147n2zr" w:colFirst="0" w:colLast="0"/>
      <w:bookmarkEnd w:id="32"/>
      <w:r>
        <w:rPr>
          <w:rFonts w:ascii="Times New Roman" w:eastAsia="Times New Roman" w:hAnsi="Times New Roman" w:cs="Times New Roman"/>
          <w:color w:val="000000"/>
          <w:sz w:val="28"/>
          <w:szCs w:val="28"/>
        </w:rPr>
        <w:lastRenderedPageBreak/>
        <w:t xml:space="preserve">ПРИЛОЖЕНИЕ Е </w:t>
      </w:r>
    </w:p>
    <w:p w:rsidR="00EA72C7" w:rsidRDefault="00EA72C7" w:rsidP="00EA72C7">
      <w:pPr>
        <w:pStyle w:val="2"/>
        <w:spacing w:before="0" w:line="240" w:lineRule="auto"/>
        <w:jc w:val="center"/>
        <w:rPr>
          <w:rFonts w:ascii="Times New Roman" w:eastAsia="Times New Roman" w:hAnsi="Times New Roman" w:cs="Times New Roman"/>
          <w:color w:val="000000"/>
          <w:sz w:val="28"/>
          <w:szCs w:val="28"/>
        </w:rPr>
      </w:pPr>
    </w:p>
    <w:p w:rsidR="00EA72C7" w:rsidRDefault="00EA72C7" w:rsidP="00EA72C7">
      <w:pPr>
        <w:pStyle w:val="2"/>
        <w:spacing w:before="0" w:line="240" w:lineRule="auto"/>
        <w:jc w:val="center"/>
        <w:rPr>
          <w:rFonts w:ascii="Times New Roman" w:eastAsia="Times New Roman" w:hAnsi="Times New Roman" w:cs="Times New Roman"/>
          <w:b w:val="0"/>
          <w:color w:val="000000"/>
          <w:sz w:val="28"/>
          <w:szCs w:val="28"/>
        </w:rPr>
      </w:pPr>
      <w:r>
        <w:rPr>
          <w:rFonts w:ascii="Times New Roman" w:eastAsia="Times New Roman" w:hAnsi="Times New Roman" w:cs="Times New Roman"/>
          <w:b w:val="0"/>
          <w:color w:val="000000"/>
          <w:sz w:val="28"/>
          <w:szCs w:val="28"/>
        </w:rPr>
        <w:t xml:space="preserve">Опросник «Развитие экосистемного подхода при принятии </w:t>
      </w:r>
      <w:r>
        <w:rPr>
          <w:rFonts w:ascii="Times New Roman" w:eastAsia="Times New Roman" w:hAnsi="Times New Roman" w:cs="Times New Roman"/>
          <w:b w:val="0"/>
          <w:color w:val="000000"/>
          <w:sz w:val="28"/>
          <w:szCs w:val="28"/>
        </w:rPr>
        <w:br/>
        <w:t>управленческих решений»</w:t>
      </w:r>
    </w:p>
    <w:p w:rsidR="00EA72C7" w:rsidRDefault="00EA72C7" w:rsidP="00EA72C7">
      <w:pPr>
        <w:pStyle w:val="2"/>
        <w:spacing w:before="0" w:line="240" w:lineRule="auto"/>
        <w:rPr>
          <w:rFonts w:ascii="Times New Roman" w:eastAsia="Times New Roman" w:hAnsi="Times New Roman" w:cs="Times New Roman"/>
          <w:color w:val="000000"/>
          <w:sz w:val="28"/>
          <w:szCs w:val="28"/>
        </w:rPr>
      </w:pPr>
    </w:p>
    <w:p w:rsidR="00EA72C7" w:rsidRDefault="00EA72C7" w:rsidP="00EA72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Уважаемый эксперт, в рамках проводимого исследования по развитию экосистемного подхода при принятии управленческих решений, прошу ответить на несколько вопросов:</w:t>
      </w:r>
    </w:p>
    <w:p w:rsidR="00EA72C7" w:rsidRDefault="00EA72C7" w:rsidP="00EA72C7">
      <w:pPr>
        <w:numPr>
          <w:ilvl w:val="0"/>
          <w:numId w:val="1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Ваш пол;</w:t>
      </w:r>
    </w:p>
    <w:p w:rsidR="00EA72C7" w:rsidRDefault="00EA72C7" w:rsidP="00EA72C7">
      <w:pPr>
        <w:numPr>
          <w:ilvl w:val="0"/>
          <w:numId w:val="15"/>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мужской;</w:t>
      </w:r>
    </w:p>
    <w:p w:rsidR="00EA72C7" w:rsidRDefault="00EA72C7" w:rsidP="00EA72C7">
      <w:pPr>
        <w:numPr>
          <w:ilvl w:val="0"/>
          <w:numId w:val="15"/>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женский.</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Представителем какого государственного органа Вы являетесь?</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Центрального аппарата государственного органа (Комитет, Министерство);</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Территориального подразделения или подведомственной организацией центрального государственного органа;</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Акимата области, города, района или села;</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Территориального подразделения или подведомственной организацией местного исполнительного органа</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Другое.</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16"/>
          <w:szCs w:val="16"/>
        </w:rPr>
      </w:pP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Деятельность Вашего государственного органа связана с принятием следующих решений (допускается выбор нескольких вариантов):</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с реализацией экологической политики (климат, атмосферный воздух, ВИЭ, ТБО и т.п.)?</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по сохранению и/или использованию биологических ресурсов (лес, животный мир, рыба)?</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по сохранению и/или использованию водных и/или земельных ресурсов (в т.ч. водоснабжение, водоотведение, выдача земельных участком и т.п.)?</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 xml:space="preserve">по обеспечению санитарно-эпидемиологического и/или фитосанитарного контроля? </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по проектированию и/или строительству объектов инфраструктуры (дороги, здания, промышленные объекты и т.п.)?</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rPr>
        <w:tab/>
        <w:t>________________________________________________________.</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(свой вариант)</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Как вы считаете, от кого в большей мере зависит экологическая ситуация, состояние окружающей среды в нашей стране?</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от властей;</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от владельцев и руководства предприятий;</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от жителей страны;</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затрудняюсь ответить</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Выберите наиболее приемлемое на Ваш взгляд определение «экосистемным услугам»</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r>
        <w:rPr>
          <w:rFonts w:ascii="Times New Roman" w:eastAsia="Times New Roman" w:hAnsi="Times New Roman" w:cs="Times New Roman"/>
          <w:sz w:val="28"/>
          <w:szCs w:val="28"/>
        </w:rPr>
        <w:tab/>
        <w:t xml:space="preserve">обеспечивающие, регулирующие и культурные услуги, которые люди получают от государства бесплатно в ходе использования природных ресурсов; </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 xml:space="preserve">обеспечивающие, регулирующие и культурные услуги, которые люди получают от государства за определенную плату в ходе использования природных ресурсов; </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обеспечивающие, регулирующие, культурные и поддерживающие услуги, которые люди бесплатно получают от окружающей среды и экосистем;</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связано сугубо с деятельностью уполномоченного органа по охране окружающей среды и не имею представление об этом.</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16"/>
          <w:szCs w:val="16"/>
        </w:rPr>
      </w:pP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rPr>
        <w:tab/>
        <w:t>На ваш взгляд аспекты сохранения окружающей среды достаточно ли присутствуют в Ваших отраслевых программных и стратегических документах?</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Присутствует в полной мере;</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Присутствует, но требует качественного дополнения;</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Экологические аспекты отсутствует ввиду специфики деятельности государственного органа;</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________________________________________________________.</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(свой вариант)</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rPr>
        <w:tab/>
        <w:t>По Вашему мнению, механизмы ОВОС достаточно ли раскрывает вопросы сохранения экосистем?</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Да, достаточно;</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Нет;</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затрудняюсь ответить.</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16"/>
          <w:szCs w:val="16"/>
        </w:rPr>
      </w:pP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Pr>
          <w:rFonts w:ascii="Times New Roman" w:eastAsia="Times New Roman" w:hAnsi="Times New Roman" w:cs="Times New Roman"/>
          <w:sz w:val="28"/>
          <w:szCs w:val="28"/>
        </w:rPr>
        <w:tab/>
        <w:t>Принятие управленческих решений напрямую связано с качеством и достоверностью имеющейся информации. Оцените уровень достаточности информации о влиянии на состояние экосистемы при принятии Вами управленческих решений:</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Информации достаточно, и она устраивает;</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Не могу оценивать качество и достоверность указанной информации;</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Информации недостаточно для выработки наиболее правильного решения.</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16"/>
          <w:szCs w:val="16"/>
        </w:rPr>
      </w:pP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Pr>
          <w:rFonts w:ascii="Times New Roman" w:eastAsia="Times New Roman" w:hAnsi="Times New Roman" w:cs="Times New Roman"/>
          <w:sz w:val="28"/>
          <w:szCs w:val="28"/>
        </w:rPr>
        <w:tab/>
        <w:t>При подготовке конкурсной документации для организации государственных закупок отражается ли Вами условия об экологичности закупаемых товаров/услуг?</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Этот пункт почти всегда присутствует в техспецификации;</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 xml:space="preserve">Экологичность товаров не является требуемыми параметрами, закупаемых товаров; </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________________________________________________________.</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(свой вариант)</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Pr>
          <w:rFonts w:ascii="Times New Roman" w:eastAsia="Times New Roman" w:hAnsi="Times New Roman" w:cs="Times New Roman"/>
          <w:sz w:val="28"/>
          <w:szCs w:val="28"/>
        </w:rPr>
        <w:tab/>
        <w:t>Согласно ли вы утверждением о том, что переход к «зеленой» экономике опирается на природный капитал с вложением средств в него в интересах экономического развития:</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r>
        <w:rPr>
          <w:rFonts w:ascii="Times New Roman" w:eastAsia="Times New Roman" w:hAnsi="Times New Roman" w:cs="Times New Roman"/>
          <w:sz w:val="28"/>
          <w:szCs w:val="28"/>
        </w:rPr>
        <w:tab/>
        <w:t>Согласен;</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Частично согласен;</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Не согласен;</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Затрудняюсь ответить.</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16"/>
          <w:szCs w:val="16"/>
        </w:rPr>
      </w:pP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t>Назовите три основные категории активов природного капитала:</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активы, являющиеся запасами природных ресурсов (возобновляемых и не возобновляемых), земельных ресурсов и экосистем, обеспечивающих экологические функции и услуги</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активы, являющиеся запасами не возобновляемых ресурсов</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активы, являющиеся земельными ресурсами и экосистемами, обеспечивающие экологические функции и услуги</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16"/>
          <w:szCs w:val="16"/>
        </w:rPr>
      </w:pP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t>Считаете ли Вы что, инвестиции в природный капитал и подходы на основе экосистем, например, зеленая инфраструктура, могут быть экономически эффективными по сравнению с текущими решениями.</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Да, полностью согласен;</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Нет;</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затрудняюсь ответить.</w:t>
      </w: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16"/>
          <w:szCs w:val="16"/>
        </w:rPr>
      </w:pPr>
    </w:p>
    <w:p w:rsidR="00EA72C7" w:rsidRDefault="00EA72C7" w:rsidP="00EA72C7">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Pr>
          <w:rFonts w:ascii="Times New Roman" w:eastAsia="Times New Roman" w:hAnsi="Times New Roman" w:cs="Times New Roman"/>
          <w:sz w:val="28"/>
          <w:szCs w:val="28"/>
        </w:rPr>
        <w:tab/>
        <w:t>Оцените по приоритету от 1 до 5 ценность здоровой экосистемы для государства и человека (1-самое важное)?</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Экономическая;</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Экологическая;</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Социальная;</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Научная;</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(свой вариант)</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p>
    <w:p w:rsidR="00EA72C7" w:rsidRDefault="00EA72C7" w:rsidP="00EA72C7">
      <w:pPr>
        <w:tabs>
          <w:tab w:val="left" w:pos="1134"/>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Pr>
          <w:rFonts w:ascii="Times New Roman" w:eastAsia="Times New Roman" w:hAnsi="Times New Roman" w:cs="Times New Roman"/>
          <w:sz w:val="28"/>
          <w:szCs w:val="28"/>
        </w:rPr>
        <w:tab/>
        <w:t>Дайте определение Экосистемному подходу:</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экосистемный подход представляет собой стратегию комплексного управления земельными, водными и живыми ресурсами, которая обеспечивает их сохранение и устойчивое использование на справедливой основе;</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экосистемный подход – это экологическая устойчивость и продуктивность окружающей среды;</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экосистемный подход - важный инструмент для усиления устойчивого развития и борьбы с нищетой;</w:t>
      </w:r>
    </w:p>
    <w:p w:rsidR="00EA72C7" w:rsidRDefault="00EA72C7" w:rsidP="00EA72C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все вышеперечисленное.</w:t>
      </w:r>
    </w:p>
    <w:p w:rsidR="00EA72C7" w:rsidRDefault="00EA72C7" w:rsidP="00EA72C7">
      <w:pPr>
        <w:spacing w:after="0" w:line="240" w:lineRule="auto"/>
        <w:ind w:firstLine="709"/>
        <w:jc w:val="both"/>
        <w:rPr>
          <w:rFonts w:ascii="Times New Roman" w:eastAsia="Times New Roman" w:hAnsi="Times New Roman" w:cs="Times New Roman"/>
          <w:sz w:val="28"/>
          <w:szCs w:val="28"/>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Благодарим за участие в опросе!</w:t>
      </w:r>
    </w:p>
    <w:p w:rsidR="00EA72C7" w:rsidRDefault="00EA72C7" w:rsidP="00EA72C7">
      <w:pPr>
        <w:spacing w:after="0" w:line="240" w:lineRule="auto"/>
        <w:ind w:firstLine="709"/>
        <w:jc w:val="center"/>
        <w:rPr>
          <w:rFonts w:ascii="Times New Roman" w:eastAsia="Times New Roman" w:hAnsi="Times New Roman" w:cs="Times New Roman"/>
          <w:sz w:val="24"/>
          <w:szCs w:val="24"/>
        </w:rPr>
      </w:pPr>
    </w:p>
    <w:p w:rsidR="00EA72C7" w:rsidRDefault="00EA72C7" w:rsidP="00EA72C7">
      <w:pPr>
        <w:spacing w:after="0" w:line="240" w:lineRule="auto"/>
        <w:ind w:firstLine="709"/>
        <w:jc w:val="center"/>
        <w:rPr>
          <w:rFonts w:ascii="Times New Roman" w:eastAsia="Times New Roman" w:hAnsi="Times New Roman" w:cs="Times New Roman"/>
          <w:sz w:val="24"/>
          <w:szCs w:val="24"/>
        </w:rPr>
        <w:sectPr w:rsidR="00EA72C7">
          <w:pgSz w:w="11906" w:h="16838"/>
          <w:pgMar w:top="1134" w:right="567" w:bottom="1134" w:left="1701" w:header="709" w:footer="709" w:gutter="0"/>
          <w:cols w:space="720"/>
          <w:titlePg/>
        </w:sectPr>
      </w:pPr>
    </w:p>
    <w:p w:rsidR="00EA72C7" w:rsidRDefault="00EA72C7" w:rsidP="00EA72C7">
      <w:pPr>
        <w:pStyle w:val="2"/>
        <w:spacing w:before="0" w:line="240" w:lineRule="auto"/>
        <w:jc w:val="center"/>
        <w:rPr>
          <w:rFonts w:ascii="Times New Roman" w:eastAsia="Times New Roman" w:hAnsi="Times New Roman" w:cs="Times New Roman"/>
          <w:color w:val="000000"/>
          <w:sz w:val="28"/>
          <w:szCs w:val="28"/>
        </w:rPr>
      </w:pPr>
      <w:bookmarkStart w:id="33" w:name="_heading=h.3o7alnk" w:colFirst="0" w:colLast="0"/>
      <w:bookmarkEnd w:id="33"/>
      <w:r>
        <w:rPr>
          <w:rFonts w:ascii="Times New Roman" w:eastAsia="Times New Roman" w:hAnsi="Times New Roman" w:cs="Times New Roman"/>
          <w:color w:val="000000"/>
          <w:sz w:val="28"/>
          <w:szCs w:val="28"/>
        </w:rPr>
        <w:lastRenderedPageBreak/>
        <w:t>ПРИЛОЖЕНИЕ Ж</w:t>
      </w:r>
    </w:p>
    <w:p w:rsidR="00EA72C7" w:rsidRDefault="00EA72C7" w:rsidP="00EA72C7">
      <w:pPr>
        <w:pStyle w:val="2"/>
        <w:spacing w:before="0" w:line="240" w:lineRule="auto"/>
        <w:rPr>
          <w:rFonts w:ascii="Times New Roman" w:eastAsia="Times New Roman" w:hAnsi="Times New Roman" w:cs="Times New Roman"/>
          <w:color w:val="000000"/>
          <w:sz w:val="16"/>
          <w:szCs w:val="16"/>
        </w:rPr>
      </w:pPr>
    </w:p>
    <w:p w:rsidR="00EA72C7" w:rsidRDefault="00EA72C7" w:rsidP="00EA72C7">
      <w:pPr>
        <w:pStyle w:val="2"/>
        <w:spacing w:before="0" w:line="240" w:lineRule="auto"/>
        <w:rPr>
          <w:rFonts w:ascii="Times New Roman" w:eastAsia="Times New Roman" w:hAnsi="Times New Roman" w:cs="Times New Roman"/>
          <w:b w:val="0"/>
          <w:color w:val="000000"/>
          <w:sz w:val="28"/>
          <w:szCs w:val="28"/>
        </w:rPr>
      </w:pPr>
      <w:r>
        <w:rPr>
          <w:rFonts w:ascii="Times New Roman" w:eastAsia="Times New Roman" w:hAnsi="Times New Roman" w:cs="Times New Roman"/>
          <w:b w:val="0"/>
          <w:color w:val="000000"/>
          <w:sz w:val="28"/>
          <w:szCs w:val="28"/>
        </w:rPr>
        <w:t>Таблица Ж.1 – Логическая рамка проекта «Молодежная инициатива по сохранению озера Малый Талдыколь»</w:t>
      </w:r>
    </w:p>
    <w:p w:rsidR="00EA72C7" w:rsidRDefault="00EA72C7" w:rsidP="00EA72C7">
      <w:pPr>
        <w:spacing w:after="0" w:line="240" w:lineRule="auto"/>
        <w:jc w:val="right"/>
        <w:rPr>
          <w:rFonts w:ascii="Times New Roman" w:eastAsia="Times New Roman" w:hAnsi="Times New Roman" w:cs="Times New Roman"/>
          <w:sz w:val="16"/>
          <w:szCs w:val="16"/>
        </w:rPr>
      </w:pPr>
    </w:p>
    <w:tbl>
      <w:tblPr>
        <w:tblW w:w="1458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8"/>
        <w:gridCol w:w="3352"/>
        <w:gridCol w:w="2141"/>
        <w:gridCol w:w="1638"/>
        <w:gridCol w:w="2156"/>
        <w:gridCol w:w="1469"/>
        <w:gridCol w:w="2142"/>
      </w:tblGrid>
      <w:tr w:rsidR="00EA72C7" w:rsidTr="003E7002">
        <w:trPr>
          <w:trHeight w:val="286"/>
        </w:trPr>
        <w:tc>
          <w:tcPr>
            <w:tcW w:w="14586" w:type="dxa"/>
            <w:gridSpan w:val="7"/>
            <w:tcBorders>
              <w:bottom w:val="single" w:sz="4" w:space="0" w:color="000000"/>
            </w:tcBorders>
            <w:shd w:val="clear" w:color="auto" w:fill="auto"/>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Логическая рамка проекта</w:t>
            </w:r>
          </w:p>
        </w:tc>
      </w:tr>
      <w:tr w:rsidR="00EA72C7" w:rsidTr="003E7002">
        <w:trPr>
          <w:trHeight w:val="286"/>
        </w:trPr>
        <w:tc>
          <w:tcPr>
            <w:tcW w:w="14586" w:type="dxa"/>
            <w:gridSpan w:val="7"/>
            <w:tcBorders>
              <w:bottom w:val="single" w:sz="4" w:space="0" w:color="000000"/>
            </w:tcBorders>
            <w:shd w:val="clear" w:color="auto" w:fill="auto"/>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A72C7" w:rsidTr="003E7002">
        <w:trPr>
          <w:trHeight w:val="286"/>
        </w:trPr>
        <w:tc>
          <w:tcPr>
            <w:tcW w:w="1688" w:type="dxa"/>
            <w:tcBorders>
              <w:bottom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проекта:</w:t>
            </w:r>
          </w:p>
        </w:tc>
        <w:tc>
          <w:tcPr>
            <w:tcW w:w="12898" w:type="dxa"/>
            <w:gridSpan w:val="6"/>
            <w:tcBorders>
              <w:bottom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Основной целью проекта является актуализация внимания общественности к проблеме уничтожения системы озер Малый Талдыколь, расположенном в черте столицы Казахстана; формирования экологической культуры населения и развития познания об окружающем биоразнообразии посредством организации городского субботника.</w:t>
            </w:r>
          </w:p>
        </w:tc>
      </w:tr>
      <w:tr w:rsidR="00EA72C7" w:rsidTr="003E7002">
        <w:trPr>
          <w:trHeight w:val="1456"/>
        </w:trPr>
        <w:tc>
          <w:tcPr>
            <w:tcW w:w="1688" w:type="dxa"/>
            <w:tcBorders>
              <w:top w:val="single" w:sz="4" w:space="0" w:color="000000"/>
              <w:bottom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Основной индикатор достижения цели проекта (качественные изменения):</w:t>
            </w:r>
          </w:p>
        </w:tc>
        <w:tc>
          <w:tcPr>
            <w:tcW w:w="12898" w:type="dxa"/>
            <w:gridSpan w:val="6"/>
            <w:tcBorders>
              <w:top w:val="single" w:sz="4" w:space="0" w:color="000000"/>
              <w:bottom w:val="single" w:sz="4" w:space="0" w:color="000000"/>
            </w:tcBorders>
            <w:shd w:val="clear" w:color="auto" w:fill="auto"/>
          </w:tcPr>
          <w:p w:rsidR="00EA72C7" w:rsidRDefault="00EA72C7" w:rsidP="003E7002">
            <w:pPr>
              <w:numPr>
                <w:ilvl w:val="0"/>
                <w:numId w:val="2"/>
              </w:numPr>
              <w:pBdr>
                <w:top w:val="nil"/>
                <w:left w:val="nil"/>
                <w:bottom w:val="nil"/>
                <w:right w:val="nil"/>
                <w:between w:val="nil"/>
              </w:pBdr>
              <w:spacing w:after="0" w:line="240" w:lineRule="auto"/>
              <w:ind w:left="353"/>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Формирование информационного поля по улучшению экологической культуры, мотивация на грамотные действия по решению экологических проблем.</w:t>
            </w:r>
          </w:p>
          <w:p w:rsidR="00EA72C7" w:rsidRDefault="00EA72C7" w:rsidP="003E7002">
            <w:pPr>
              <w:numPr>
                <w:ilvl w:val="0"/>
                <w:numId w:val="2"/>
              </w:numPr>
              <w:pBdr>
                <w:top w:val="nil"/>
                <w:left w:val="nil"/>
                <w:bottom w:val="nil"/>
                <w:right w:val="nil"/>
                <w:between w:val="nil"/>
              </w:pBdr>
              <w:spacing w:after="0" w:line="240" w:lineRule="auto"/>
              <w:ind w:left="353"/>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Формирование системы представлений, ценностей, ориентаций в обществе.</w:t>
            </w:r>
          </w:p>
          <w:p w:rsidR="00EA72C7" w:rsidRDefault="00EA72C7" w:rsidP="003E7002">
            <w:pPr>
              <w:numPr>
                <w:ilvl w:val="0"/>
                <w:numId w:val="2"/>
              </w:numPr>
              <w:pBdr>
                <w:top w:val="nil"/>
                <w:left w:val="nil"/>
                <w:bottom w:val="nil"/>
                <w:right w:val="nil"/>
                <w:between w:val="nil"/>
              </w:pBdr>
              <w:spacing w:after="0" w:line="240" w:lineRule="auto"/>
              <w:ind w:left="353"/>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Формирование бережного, гуманного отношения к окружающей среде и чувство ответственности за свои поступки; экологического восприятия и сознания общественной активности.</w:t>
            </w:r>
          </w:p>
          <w:p w:rsidR="00EA72C7" w:rsidRDefault="00EA72C7" w:rsidP="003E7002">
            <w:pPr>
              <w:numPr>
                <w:ilvl w:val="0"/>
                <w:numId w:val="2"/>
              </w:numPr>
              <w:pBdr>
                <w:top w:val="nil"/>
                <w:left w:val="nil"/>
                <w:bottom w:val="nil"/>
                <w:right w:val="nil"/>
                <w:between w:val="nil"/>
              </w:pBdr>
              <w:spacing w:after="0" w:line="240" w:lineRule="auto"/>
              <w:ind w:left="353"/>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Развить вовлеченность молодежи в решениях социального-экономических вопросах города.</w:t>
            </w:r>
          </w:p>
          <w:p w:rsidR="00EA72C7" w:rsidRDefault="00EA72C7" w:rsidP="003E7002">
            <w:pPr>
              <w:numPr>
                <w:ilvl w:val="0"/>
                <w:numId w:val="2"/>
              </w:numPr>
              <w:pBdr>
                <w:top w:val="nil"/>
                <w:left w:val="nil"/>
                <w:bottom w:val="nil"/>
                <w:right w:val="nil"/>
                <w:between w:val="nil"/>
              </w:pBdr>
              <w:spacing w:after="0" w:line="240" w:lineRule="auto"/>
              <w:ind w:left="353"/>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Надеемся, что мероприятие положит начало ежегодному экологическому фестивалю на озере Малый Талдыколь</w:t>
            </w:r>
          </w:p>
        </w:tc>
      </w:tr>
      <w:tr w:rsidR="00EA72C7" w:rsidTr="003E7002">
        <w:trPr>
          <w:trHeight w:val="231"/>
        </w:trPr>
        <w:tc>
          <w:tcPr>
            <w:tcW w:w="1688" w:type="dxa"/>
            <w:tcBorders>
              <w:bottom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Задачи</w:t>
            </w:r>
          </w:p>
        </w:tc>
        <w:tc>
          <w:tcPr>
            <w:tcW w:w="3352" w:type="dxa"/>
            <w:tcBorders>
              <w:bottom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Мероприятия (описание деятельности)</w:t>
            </w:r>
          </w:p>
        </w:tc>
        <w:tc>
          <w:tcPr>
            <w:tcW w:w="2141" w:type="dxa"/>
            <w:tcBorders>
              <w:bottom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Ожидаемые результаты</w:t>
            </w:r>
          </w:p>
        </w:tc>
        <w:tc>
          <w:tcPr>
            <w:tcW w:w="1638" w:type="dxa"/>
            <w:tcBorders>
              <w:bottom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Индикаторы</w:t>
            </w:r>
          </w:p>
        </w:tc>
        <w:tc>
          <w:tcPr>
            <w:tcW w:w="2156" w:type="dxa"/>
            <w:tcBorders>
              <w:bottom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Документы, подтверждающие проведение меро приятий проекта</w:t>
            </w:r>
          </w:p>
        </w:tc>
        <w:tc>
          <w:tcPr>
            <w:tcW w:w="1469" w:type="dxa"/>
            <w:tcBorders>
              <w:bottom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Риски проекта</w:t>
            </w:r>
          </w:p>
        </w:tc>
        <w:tc>
          <w:tcPr>
            <w:tcW w:w="2142" w:type="dxa"/>
            <w:tcBorders>
              <w:bottom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Пути устранения/ преодоления /минимизации рисков</w:t>
            </w:r>
          </w:p>
        </w:tc>
      </w:tr>
      <w:tr w:rsidR="00EA72C7" w:rsidTr="003E7002">
        <w:trPr>
          <w:trHeight w:val="276"/>
        </w:trPr>
        <w:tc>
          <w:tcPr>
            <w:tcW w:w="1688" w:type="dxa"/>
            <w:vMerge w:val="restart"/>
            <w:tcBorders>
              <w:bottom w:val="nil"/>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Задача 1: (подготовка к мероприя тию)</w:t>
            </w:r>
          </w:p>
          <w:p w:rsidR="00EA72C7" w:rsidRDefault="00EA72C7" w:rsidP="003E7002">
            <w:pPr>
              <w:spacing w:after="0" w:line="240" w:lineRule="auto"/>
              <w:rPr>
                <w:rFonts w:ascii="Times New Roman" w:eastAsia="Times New Roman" w:hAnsi="Times New Roman" w:cs="Times New Roman"/>
                <w:sz w:val="23"/>
                <w:szCs w:val="23"/>
              </w:rPr>
            </w:pPr>
          </w:p>
        </w:tc>
        <w:tc>
          <w:tcPr>
            <w:tcW w:w="335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90" w:right="146"/>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Создание информационного материала для распространения онлайн </w:t>
            </w:r>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136" w:right="-115"/>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Вовлечение блогеров и СМИ в создание информа ционного материала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6 базовых публикаций </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Скрин, ссылки</w:t>
            </w: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Препятствие лобби застройщиков</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3"/>
                <w:szCs w:val="23"/>
              </w:rPr>
            </w:pPr>
          </w:p>
        </w:tc>
      </w:tr>
      <w:tr w:rsidR="00EA72C7" w:rsidTr="003E7002">
        <w:trPr>
          <w:trHeight w:val="276"/>
        </w:trPr>
        <w:tc>
          <w:tcPr>
            <w:tcW w:w="1688" w:type="dxa"/>
            <w:vMerge/>
            <w:tcBorders>
              <w:bottom w:val="nil"/>
              <w:right w:val="single" w:sz="4" w:space="0" w:color="000000"/>
            </w:tcBorders>
            <w:shd w:val="clear" w:color="auto" w:fill="auto"/>
          </w:tcPr>
          <w:p w:rsidR="00EA72C7" w:rsidRDefault="00EA72C7" w:rsidP="003E7002">
            <w:pPr>
              <w:widowControl w:val="0"/>
              <w:pBdr>
                <w:top w:val="nil"/>
                <w:left w:val="nil"/>
                <w:bottom w:val="nil"/>
                <w:right w:val="nil"/>
                <w:between w:val="nil"/>
              </w:pBdr>
              <w:spacing w:after="0" w:line="276" w:lineRule="auto"/>
              <w:rPr>
                <w:rFonts w:ascii="Times New Roman" w:eastAsia="Times New Roman" w:hAnsi="Times New Roman" w:cs="Times New Roman"/>
                <w:sz w:val="23"/>
                <w:szCs w:val="23"/>
              </w:rPr>
            </w:pPr>
          </w:p>
        </w:tc>
        <w:tc>
          <w:tcPr>
            <w:tcW w:w="335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90" w:right="-52"/>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Подготовка  карты организа ции субботника, с указанием места сбора участников, точек сбора мусора, биотуалетов, точек питания и парковки</w:t>
            </w:r>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86" w:right="106"/>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Наглядное руководства к действию на месте</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Карта-схема территории озера Малый Талдыколь</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Скрин, Фото на месте</w:t>
            </w: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Временные ограни чения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3"/>
                <w:szCs w:val="23"/>
              </w:rPr>
            </w:pPr>
          </w:p>
        </w:tc>
      </w:tr>
      <w:tr w:rsidR="00EA72C7" w:rsidTr="003E7002">
        <w:trPr>
          <w:trHeight w:val="276"/>
        </w:trPr>
        <w:tc>
          <w:tcPr>
            <w:tcW w:w="1688" w:type="dxa"/>
            <w:vMerge/>
            <w:tcBorders>
              <w:bottom w:val="nil"/>
              <w:right w:val="single" w:sz="4" w:space="0" w:color="000000"/>
            </w:tcBorders>
            <w:shd w:val="clear" w:color="auto" w:fill="auto"/>
          </w:tcPr>
          <w:p w:rsidR="00EA72C7" w:rsidRDefault="00EA72C7" w:rsidP="003E7002">
            <w:pPr>
              <w:widowControl w:val="0"/>
              <w:pBdr>
                <w:top w:val="nil"/>
                <w:left w:val="nil"/>
                <w:bottom w:val="nil"/>
                <w:right w:val="nil"/>
                <w:between w:val="nil"/>
              </w:pBdr>
              <w:spacing w:after="0" w:line="276" w:lineRule="auto"/>
              <w:rPr>
                <w:rFonts w:ascii="Times New Roman" w:eastAsia="Times New Roman" w:hAnsi="Times New Roman" w:cs="Times New Roman"/>
                <w:sz w:val="23"/>
                <w:szCs w:val="23"/>
              </w:rPr>
            </w:pPr>
          </w:p>
        </w:tc>
        <w:tc>
          <w:tcPr>
            <w:tcW w:w="3352" w:type="dxa"/>
            <w:tcBorders>
              <w:top w:val="single" w:sz="4" w:space="0" w:color="000000"/>
              <w:left w:val="single" w:sz="4" w:space="0" w:color="000000"/>
              <w:bottom w:val="nil"/>
              <w:right w:val="single" w:sz="4" w:space="0" w:color="000000"/>
            </w:tcBorders>
            <w:shd w:val="clear" w:color="auto" w:fill="auto"/>
          </w:tcPr>
          <w:p w:rsidR="00EA72C7" w:rsidRDefault="00EA72C7" w:rsidP="003E7002">
            <w:pPr>
              <w:spacing w:after="0" w:line="240" w:lineRule="auto"/>
              <w:ind w:left="90" w:right="146"/>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Продвижение  информации о субботнике в социальных сетях через экоактивистов блогеров</w:t>
            </w:r>
          </w:p>
        </w:tc>
        <w:tc>
          <w:tcPr>
            <w:tcW w:w="2141" w:type="dxa"/>
            <w:tcBorders>
              <w:top w:val="single" w:sz="4" w:space="0" w:color="000000"/>
              <w:left w:val="single" w:sz="4" w:space="0" w:color="000000"/>
              <w:bottom w:val="nil"/>
              <w:right w:val="single" w:sz="4" w:space="0" w:color="000000"/>
            </w:tcBorders>
            <w:shd w:val="clear" w:color="auto" w:fill="auto"/>
          </w:tcPr>
          <w:p w:rsidR="00EA72C7" w:rsidRDefault="00EA72C7" w:rsidP="003E7002">
            <w:pPr>
              <w:spacing w:after="0" w:line="240" w:lineRule="auto"/>
              <w:ind w:left="86" w:right="106"/>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Вовлечение и информирование широких слоёв населения</w:t>
            </w:r>
          </w:p>
        </w:tc>
        <w:tc>
          <w:tcPr>
            <w:tcW w:w="1638" w:type="dxa"/>
            <w:tcBorders>
              <w:top w:val="single" w:sz="4" w:space="0" w:color="000000"/>
              <w:left w:val="single" w:sz="4" w:space="0" w:color="000000"/>
              <w:bottom w:val="nil"/>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300 подписчиков экоблогеров</w:t>
            </w:r>
          </w:p>
          <w:p w:rsidR="00EA72C7" w:rsidRDefault="00EA72C7" w:rsidP="003E7002">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Приход 1000 </w:t>
            </w:r>
          </w:p>
        </w:tc>
        <w:tc>
          <w:tcPr>
            <w:tcW w:w="2156" w:type="dxa"/>
            <w:tcBorders>
              <w:top w:val="single" w:sz="4" w:space="0" w:color="000000"/>
              <w:left w:val="single" w:sz="4" w:space="0" w:color="000000"/>
              <w:bottom w:val="nil"/>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Скрин, ссылки, фото с мероприятия</w:t>
            </w:r>
          </w:p>
        </w:tc>
        <w:tc>
          <w:tcPr>
            <w:tcW w:w="1469" w:type="dxa"/>
            <w:tcBorders>
              <w:top w:val="single" w:sz="4" w:space="0" w:color="000000"/>
              <w:left w:val="single" w:sz="4" w:space="0" w:color="000000"/>
              <w:bottom w:val="nil"/>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Некоторые блогеры могут отказаться, </w:t>
            </w:r>
          </w:p>
        </w:tc>
        <w:tc>
          <w:tcPr>
            <w:tcW w:w="2142" w:type="dxa"/>
            <w:tcBorders>
              <w:top w:val="single" w:sz="4" w:space="0" w:color="000000"/>
              <w:left w:val="single" w:sz="4" w:space="0" w:color="000000"/>
              <w:bottom w:val="nil"/>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3"/>
                <w:szCs w:val="23"/>
              </w:rPr>
            </w:pPr>
          </w:p>
        </w:tc>
      </w:tr>
      <w:tr w:rsidR="00EA72C7" w:rsidTr="003E7002">
        <w:trPr>
          <w:trHeight w:val="210"/>
        </w:trPr>
        <w:tc>
          <w:tcPr>
            <w:tcW w:w="14586" w:type="dxa"/>
            <w:gridSpan w:val="7"/>
            <w:tcBorders>
              <w:top w:val="nil"/>
              <w:left w:val="nil"/>
              <w:right w:val="nil"/>
            </w:tcBorders>
            <w:shd w:val="clear" w:color="auto" w:fill="auto"/>
          </w:tcPr>
          <w:p w:rsidR="00EA72C7" w:rsidRDefault="00EA72C7" w:rsidP="003E7002">
            <w:pPr>
              <w:spacing w:after="0" w:line="240" w:lineRule="auto"/>
              <w:ind w:hanging="108"/>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Продолжение таблицы Ж.1</w:t>
            </w:r>
          </w:p>
          <w:p w:rsidR="00EA72C7" w:rsidRDefault="00EA72C7" w:rsidP="003E7002">
            <w:pPr>
              <w:spacing w:after="0" w:line="240" w:lineRule="auto"/>
              <w:ind w:hanging="108"/>
              <w:rPr>
                <w:rFonts w:ascii="Times New Roman" w:eastAsia="Times New Roman" w:hAnsi="Times New Roman" w:cs="Times New Roman"/>
                <w:sz w:val="16"/>
                <w:szCs w:val="16"/>
              </w:rPr>
            </w:pPr>
          </w:p>
        </w:tc>
      </w:tr>
      <w:tr w:rsidR="00EA72C7" w:rsidTr="003E7002">
        <w:trPr>
          <w:trHeight w:val="210"/>
        </w:trPr>
        <w:tc>
          <w:tcPr>
            <w:tcW w:w="14586" w:type="dxa"/>
            <w:gridSpan w:val="7"/>
            <w:tcBorders>
              <w:right w:val="single" w:sz="4" w:space="0" w:color="000000"/>
            </w:tcBorders>
            <w:shd w:val="clear" w:color="auto" w:fill="auto"/>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A72C7" w:rsidTr="003E7002">
        <w:trPr>
          <w:trHeight w:val="2175"/>
        </w:trPr>
        <w:tc>
          <w:tcPr>
            <w:tcW w:w="1688" w:type="dxa"/>
            <w:vMerge w:val="restart"/>
            <w:tcBorders>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p>
        </w:tc>
        <w:tc>
          <w:tcPr>
            <w:tcW w:w="335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90" w:right="146"/>
              <w:rPr>
                <w:rFonts w:ascii="Times New Roman" w:eastAsia="Times New Roman" w:hAnsi="Times New Roman" w:cs="Times New Roman"/>
                <w:color w:val="000000"/>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86" w:right="106"/>
              <w:jc w:val="center"/>
              <w:rPr>
                <w:rFonts w:ascii="Times New Roman" w:eastAsia="Times New Roman" w:hAnsi="Times New Roman" w:cs="Times New Roman"/>
                <w:color w:val="000000"/>
                <w:sz w:val="24"/>
                <w:szCs w:val="24"/>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на место</w:t>
            </w:r>
          </w:p>
          <w:p w:rsidR="00EA72C7" w:rsidRDefault="00EA72C7" w:rsidP="003E700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 мость реаги рования влас тями положи тельно</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Препят ствие лобби застрой щиков</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p>
        </w:tc>
      </w:tr>
      <w:tr w:rsidR="00EA72C7" w:rsidTr="003E7002">
        <w:trPr>
          <w:trHeight w:val="210"/>
        </w:trPr>
        <w:tc>
          <w:tcPr>
            <w:tcW w:w="1688" w:type="dxa"/>
            <w:vMerge/>
            <w:tcBorders>
              <w:right w:val="single" w:sz="4" w:space="0" w:color="000000"/>
            </w:tcBorders>
            <w:shd w:val="clear" w:color="auto" w:fill="auto"/>
          </w:tcPr>
          <w:p w:rsidR="00EA72C7" w:rsidRDefault="00EA72C7" w:rsidP="003E700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35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90" w:right="1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Переписка  с госорганами для получения разрешения (акимат, Министерство экологии)</w:t>
            </w:r>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80" w:righ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Направление пи сем, заявок через e-gov и контакт центр Разрешение на проведение суб ботника, инфор мационная под держка местных органов власти</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Разрешаю щее письмо </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Архив переписки </w:t>
            </w: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Долгое ожидание ответа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интернет каналов e-gov и контакт центра</w:t>
            </w:r>
          </w:p>
        </w:tc>
      </w:tr>
      <w:tr w:rsidR="00EA72C7" w:rsidTr="003E7002">
        <w:trPr>
          <w:trHeight w:val="210"/>
        </w:trPr>
        <w:tc>
          <w:tcPr>
            <w:tcW w:w="1688" w:type="dxa"/>
            <w:vMerge/>
            <w:tcBorders>
              <w:right w:val="single" w:sz="4" w:space="0" w:color="000000"/>
            </w:tcBorders>
            <w:shd w:val="clear" w:color="auto" w:fill="auto"/>
          </w:tcPr>
          <w:p w:rsidR="00EA72C7" w:rsidRDefault="00EA72C7" w:rsidP="003E700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35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90" w:right="1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Переписка с бизнес-структу рами по предоставлению биотуалетов, точек быстро го питания, транспорта по выносу мусора</w:t>
            </w:r>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86" w:right="1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Направление  писем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Медийная поддержка бизнесом, организация питания</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Архив переписки</w:t>
            </w: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могут пойти на контакт</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Замена партнеров</w:t>
            </w:r>
          </w:p>
        </w:tc>
      </w:tr>
      <w:tr w:rsidR="00EA72C7" w:rsidTr="003E7002">
        <w:trPr>
          <w:trHeight w:val="1952"/>
        </w:trPr>
        <w:tc>
          <w:tcPr>
            <w:tcW w:w="1688" w:type="dxa"/>
            <w:tcBorders>
              <w:bottom w:val="nil"/>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2: (Проведение мероприятий на месте)</w:t>
            </w:r>
          </w:p>
          <w:p w:rsidR="00EA72C7" w:rsidRDefault="00EA72C7" w:rsidP="003E7002">
            <w:pPr>
              <w:spacing w:after="0" w:line="240" w:lineRule="auto"/>
              <w:rPr>
                <w:rFonts w:ascii="Times New Roman" w:eastAsia="Times New Roman" w:hAnsi="Times New Roman" w:cs="Times New Roman"/>
                <w:sz w:val="24"/>
                <w:szCs w:val="24"/>
              </w:rPr>
            </w:pPr>
          </w:p>
        </w:tc>
        <w:tc>
          <w:tcPr>
            <w:tcW w:w="3352" w:type="dxa"/>
            <w:tcBorders>
              <w:top w:val="single" w:sz="4" w:space="0" w:color="000000"/>
              <w:left w:val="single" w:sz="4" w:space="0" w:color="000000"/>
              <w:bottom w:val="nil"/>
              <w:right w:val="single" w:sz="4" w:space="0" w:color="000000"/>
            </w:tcBorders>
            <w:shd w:val="clear" w:color="auto" w:fill="auto"/>
          </w:tcPr>
          <w:p w:rsidR="00EA72C7" w:rsidRDefault="00EA72C7" w:rsidP="003E7002">
            <w:pPr>
              <w:spacing w:after="0" w:line="240" w:lineRule="auto"/>
              <w:ind w:left="90" w:right="1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Сбор и регистрация участников субботника с 09.00 по 10.00</w:t>
            </w:r>
          </w:p>
        </w:tc>
        <w:tc>
          <w:tcPr>
            <w:tcW w:w="2141" w:type="dxa"/>
            <w:tcBorders>
              <w:top w:val="single" w:sz="4" w:space="0" w:color="000000"/>
              <w:left w:val="single" w:sz="4" w:space="0" w:color="000000"/>
              <w:bottom w:val="nil"/>
              <w:right w:val="single" w:sz="4" w:space="0" w:color="000000"/>
            </w:tcBorders>
            <w:shd w:val="clear" w:color="auto" w:fill="auto"/>
          </w:tcPr>
          <w:p w:rsidR="00EA72C7" w:rsidRDefault="00EA72C7" w:rsidP="003E7002">
            <w:pPr>
              <w:spacing w:after="0" w:line="240" w:lineRule="auto"/>
              <w:ind w:left="86" w:right="1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Учет числа участников </w:t>
            </w:r>
          </w:p>
        </w:tc>
        <w:tc>
          <w:tcPr>
            <w:tcW w:w="1638" w:type="dxa"/>
            <w:tcBorders>
              <w:top w:val="single" w:sz="4" w:space="0" w:color="000000"/>
              <w:left w:val="single" w:sz="4" w:space="0" w:color="000000"/>
              <w:bottom w:val="nil"/>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 человек</w:t>
            </w:r>
          </w:p>
        </w:tc>
        <w:tc>
          <w:tcPr>
            <w:tcW w:w="2156" w:type="dxa"/>
            <w:tcBorders>
              <w:top w:val="single" w:sz="4" w:space="0" w:color="000000"/>
              <w:left w:val="single" w:sz="4" w:space="0" w:color="000000"/>
              <w:bottom w:val="nil"/>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Фото отчет</w:t>
            </w:r>
          </w:p>
        </w:tc>
        <w:tc>
          <w:tcPr>
            <w:tcW w:w="1469" w:type="dxa"/>
            <w:tcBorders>
              <w:top w:val="single" w:sz="4" w:space="0" w:color="000000"/>
              <w:left w:val="single" w:sz="4" w:space="0" w:color="000000"/>
              <w:bottom w:val="nil"/>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карантина</w:t>
            </w:r>
          </w:p>
        </w:tc>
        <w:tc>
          <w:tcPr>
            <w:tcW w:w="2142" w:type="dxa"/>
            <w:tcBorders>
              <w:top w:val="single" w:sz="4" w:space="0" w:color="000000"/>
              <w:left w:val="single" w:sz="4" w:space="0" w:color="000000"/>
              <w:bottom w:val="nil"/>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Перенос сроков акции и органи зация медийного мероприятия онлайн</w:t>
            </w:r>
          </w:p>
        </w:tc>
      </w:tr>
      <w:tr w:rsidR="00EA72C7" w:rsidTr="003E7002">
        <w:trPr>
          <w:trHeight w:val="210"/>
        </w:trPr>
        <w:tc>
          <w:tcPr>
            <w:tcW w:w="14586" w:type="dxa"/>
            <w:gridSpan w:val="7"/>
            <w:tcBorders>
              <w:top w:val="nil"/>
              <w:left w:val="nil"/>
              <w:right w:val="nil"/>
            </w:tcBorders>
            <w:shd w:val="clear" w:color="auto" w:fill="auto"/>
          </w:tcPr>
          <w:p w:rsidR="00EA72C7" w:rsidRDefault="00EA72C7" w:rsidP="003E7002">
            <w:pPr>
              <w:spacing w:after="0" w:line="240" w:lineRule="auto"/>
              <w:ind w:hanging="108"/>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Продолжение таблицы Ж.1</w:t>
            </w:r>
          </w:p>
          <w:p w:rsidR="00EA72C7" w:rsidRDefault="00EA72C7" w:rsidP="003E7002">
            <w:pPr>
              <w:spacing w:after="0" w:line="240" w:lineRule="auto"/>
              <w:ind w:hanging="108"/>
              <w:rPr>
                <w:rFonts w:ascii="Times New Roman" w:eastAsia="Times New Roman" w:hAnsi="Times New Roman" w:cs="Times New Roman"/>
                <w:sz w:val="16"/>
                <w:szCs w:val="16"/>
              </w:rPr>
            </w:pPr>
          </w:p>
        </w:tc>
      </w:tr>
      <w:tr w:rsidR="00EA72C7" w:rsidTr="003E7002">
        <w:trPr>
          <w:trHeight w:val="210"/>
        </w:trPr>
        <w:tc>
          <w:tcPr>
            <w:tcW w:w="14586" w:type="dxa"/>
            <w:gridSpan w:val="7"/>
            <w:tcBorders>
              <w:right w:val="single" w:sz="4" w:space="0" w:color="000000"/>
            </w:tcBorders>
            <w:shd w:val="clear" w:color="auto" w:fill="auto"/>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A72C7" w:rsidTr="003E7002">
        <w:trPr>
          <w:trHeight w:val="348"/>
        </w:trPr>
        <w:tc>
          <w:tcPr>
            <w:tcW w:w="1688" w:type="dxa"/>
            <w:vMerge w:val="restart"/>
            <w:tcBorders>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p>
        </w:tc>
        <w:tc>
          <w:tcPr>
            <w:tcW w:w="335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90" w:right="1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Установить карту схему расположения точек сбора мусора, биотуалетов, точек питания и парковки</w:t>
            </w:r>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86" w:right="1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Наглядное руководства к действию на месте</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Наличие  1 стенда на месте сбора</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Фото отчет</w:t>
            </w: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карантина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Перенос сроков акции и организа ция медийного ме роприятия онлайн</w:t>
            </w:r>
          </w:p>
        </w:tc>
      </w:tr>
      <w:tr w:rsidR="00EA72C7" w:rsidTr="003E7002">
        <w:trPr>
          <w:trHeight w:val="348"/>
        </w:trPr>
        <w:tc>
          <w:tcPr>
            <w:tcW w:w="1688" w:type="dxa"/>
            <w:vMerge/>
            <w:tcBorders>
              <w:right w:val="single" w:sz="4" w:space="0" w:color="000000"/>
            </w:tcBorders>
            <w:shd w:val="clear" w:color="auto" w:fill="auto"/>
          </w:tcPr>
          <w:p w:rsidR="00EA72C7" w:rsidRDefault="00EA72C7" w:rsidP="003E700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35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90" w:right="14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Распределение участников по группам, выдача мусорных мешков, перчаток и закрепление по участкам</w:t>
            </w:r>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86" w:right="1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Обеспечение участников инвентарём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Распределе ние 1000 пер чаток, 350 му сорных меш ков, санитай зер</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Фотоотчет </w:t>
            </w: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карантина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Перенос сроков акции и организа ция медийного мероприятия онлайн</w:t>
            </w:r>
          </w:p>
        </w:tc>
      </w:tr>
      <w:tr w:rsidR="00EA72C7" w:rsidTr="003E7002">
        <w:trPr>
          <w:trHeight w:val="348"/>
        </w:trPr>
        <w:tc>
          <w:tcPr>
            <w:tcW w:w="1688" w:type="dxa"/>
            <w:vMerge/>
            <w:tcBorders>
              <w:right w:val="single" w:sz="4" w:space="0" w:color="000000"/>
            </w:tcBorders>
            <w:shd w:val="clear" w:color="auto" w:fill="auto"/>
          </w:tcPr>
          <w:p w:rsidR="00EA72C7" w:rsidRDefault="00EA72C7" w:rsidP="003E700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35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90" w:right="14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Посещение журналистами Талдыколь с целью демонст рации состояния водно-бо лотного комплекса (пресс-тур). </w:t>
            </w:r>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86" w:right="1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Широкое освещение в традиционных СМИ</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Представители не менее 2 телеканалов</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Репортаж на телевидении</w:t>
            </w: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карантина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Перенос сроков акции и организа ция медийного мероприятия онлайн</w:t>
            </w:r>
          </w:p>
        </w:tc>
      </w:tr>
      <w:tr w:rsidR="00EA72C7" w:rsidTr="003E7002">
        <w:trPr>
          <w:trHeight w:val="348"/>
        </w:trPr>
        <w:tc>
          <w:tcPr>
            <w:tcW w:w="1688" w:type="dxa"/>
            <w:vMerge/>
            <w:tcBorders>
              <w:right w:val="single" w:sz="4" w:space="0" w:color="000000"/>
            </w:tcBorders>
            <w:shd w:val="clear" w:color="auto" w:fill="auto"/>
          </w:tcPr>
          <w:p w:rsidR="00EA72C7" w:rsidRDefault="00EA72C7" w:rsidP="003E700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35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90" w:right="14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Краткое выступление лидеров- экоактивистов перед началом субботника</w:t>
            </w:r>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86" w:right="1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Широкое освещение в традиционных СМИ</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выступление</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Фото-видео материалы</w:t>
            </w: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карантина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Перенос сроков акции и организа ция медийного мероприятия онлайн</w:t>
            </w:r>
          </w:p>
        </w:tc>
      </w:tr>
      <w:tr w:rsidR="00EA72C7" w:rsidTr="003E7002">
        <w:trPr>
          <w:trHeight w:val="348"/>
        </w:trPr>
        <w:tc>
          <w:tcPr>
            <w:tcW w:w="1688" w:type="dxa"/>
            <w:vMerge/>
            <w:tcBorders>
              <w:right w:val="single" w:sz="4" w:space="0" w:color="000000"/>
            </w:tcBorders>
            <w:shd w:val="clear" w:color="auto" w:fill="auto"/>
          </w:tcPr>
          <w:p w:rsidR="00EA72C7" w:rsidRDefault="00EA72C7" w:rsidP="003E700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72C7" w:rsidRDefault="00EA72C7" w:rsidP="003E7002">
            <w:pPr>
              <w:spacing w:after="0" w:line="240" w:lineRule="auto"/>
              <w:ind w:left="90" w:right="14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Факт уборки мусора</w:t>
            </w:r>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86" w:right="106"/>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Чистота прилегающей территории</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Обеспечение участия в уборке 1000 горожан</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Фото-видео материалы</w:t>
            </w: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карантина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Перенос сроков акции и организа ция медийного мероприятия онлайн</w:t>
            </w:r>
          </w:p>
        </w:tc>
      </w:tr>
      <w:tr w:rsidR="00EA72C7" w:rsidTr="003E7002">
        <w:trPr>
          <w:trHeight w:val="348"/>
        </w:trPr>
        <w:tc>
          <w:tcPr>
            <w:tcW w:w="1688" w:type="dxa"/>
            <w:tcBorders>
              <w:bottom w:val="nil"/>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Задача 3: (Организационные мероприятия, </w:t>
            </w:r>
          </w:p>
        </w:tc>
        <w:tc>
          <w:tcPr>
            <w:tcW w:w="3352" w:type="dxa"/>
            <w:tcBorders>
              <w:top w:val="single" w:sz="4" w:space="0" w:color="000000"/>
              <w:left w:val="single" w:sz="4" w:space="0" w:color="000000"/>
              <w:bottom w:val="nil"/>
              <w:right w:val="single" w:sz="4" w:space="0" w:color="000000"/>
            </w:tcBorders>
            <w:shd w:val="clear" w:color="auto" w:fill="auto"/>
          </w:tcPr>
          <w:p w:rsidR="00EA72C7" w:rsidRDefault="00EA72C7" w:rsidP="003E7002">
            <w:pPr>
              <w:spacing w:after="0" w:line="240" w:lineRule="auto"/>
              <w:ind w:left="90" w:right="1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пресс-конференции о субботнике</w:t>
            </w:r>
          </w:p>
          <w:p w:rsidR="00EA72C7" w:rsidRDefault="00EA72C7" w:rsidP="003E7002">
            <w:pPr>
              <w:spacing w:after="0" w:line="240" w:lineRule="auto"/>
              <w:ind w:left="90" w:right="146"/>
              <w:rPr>
                <w:rFonts w:ascii="Times New Roman" w:eastAsia="Times New Roman" w:hAnsi="Times New Roman" w:cs="Times New Roman"/>
                <w:color w:val="FF0000"/>
                <w:sz w:val="24"/>
                <w:szCs w:val="24"/>
              </w:rPr>
            </w:pPr>
          </w:p>
        </w:tc>
        <w:tc>
          <w:tcPr>
            <w:tcW w:w="2141" w:type="dxa"/>
            <w:tcBorders>
              <w:top w:val="single" w:sz="4" w:space="0" w:color="000000"/>
              <w:left w:val="single" w:sz="4" w:space="0" w:color="000000"/>
              <w:bottom w:val="nil"/>
              <w:right w:val="single" w:sz="4" w:space="0" w:color="000000"/>
            </w:tcBorders>
            <w:shd w:val="clear" w:color="auto" w:fill="auto"/>
          </w:tcPr>
          <w:p w:rsidR="00EA72C7" w:rsidRDefault="00EA72C7" w:rsidP="003E7002">
            <w:pPr>
              <w:spacing w:after="0" w:line="240" w:lineRule="auto"/>
              <w:ind w:left="86" w:right="1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Вовлечение и ин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формирование широких слоёв населения</w:t>
            </w:r>
          </w:p>
        </w:tc>
        <w:tc>
          <w:tcPr>
            <w:tcW w:w="1638" w:type="dxa"/>
            <w:tcBorders>
              <w:top w:val="single" w:sz="4" w:space="0" w:color="000000"/>
              <w:left w:val="single" w:sz="4" w:space="0" w:color="000000"/>
              <w:bottom w:val="nil"/>
              <w:right w:val="single" w:sz="4" w:space="0" w:color="000000"/>
            </w:tcBorders>
            <w:shd w:val="clear" w:color="auto" w:fill="auto"/>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предста вителей СМИ и экоблогеров</w:t>
            </w:r>
          </w:p>
        </w:tc>
        <w:tc>
          <w:tcPr>
            <w:tcW w:w="2156" w:type="dxa"/>
            <w:tcBorders>
              <w:top w:val="single" w:sz="4" w:space="0" w:color="000000"/>
              <w:left w:val="single" w:sz="4" w:space="0" w:color="000000"/>
              <w:bottom w:val="nil"/>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Фотовидео материалы, публикация в СМИ</w:t>
            </w:r>
          </w:p>
        </w:tc>
        <w:tc>
          <w:tcPr>
            <w:tcW w:w="1469" w:type="dxa"/>
            <w:tcBorders>
              <w:top w:val="single" w:sz="4" w:space="0" w:color="000000"/>
              <w:left w:val="single" w:sz="4" w:space="0" w:color="000000"/>
              <w:bottom w:val="nil"/>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карантина</w:t>
            </w:r>
          </w:p>
        </w:tc>
        <w:tc>
          <w:tcPr>
            <w:tcW w:w="2142" w:type="dxa"/>
            <w:tcBorders>
              <w:top w:val="single" w:sz="4" w:space="0" w:color="000000"/>
              <w:left w:val="single" w:sz="4" w:space="0" w:color="000000"/>
              <w:bottom w:val="nil"/>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Перенос сроков акции и организа ция медийного ме роприятия онлайн</w:t>
            </w:r>
          </w:p>
        </w:tc>
      </w:tr>
      <w:tr w:rsidR="00EA72C7" w:rsidTr="003E7002">
        <w:trPr>
          <w:trHeight w:val="210"/>
        </w:trPr>
        <w:tc>
          <w:tcPr>
            <w:tcW w:w="14586" w:type="dxa"/>
            <w:gridSpan w:val="7"/>
            <w:tcBorders>
              <w:top w:val="nil"/>
              <w:left w:val="nil"/>
              <w:right w:val="nil"/>
            </w:tcBorders>
            <w:shd w:val="clear" w:color="auto" w:fill="auto"/>
          </w:tcPr>
          <w:p w:rsidR="00EA72C7" w:rsidRDefault="00EA72C7" w:rsidP="003E7002">
            <w:pPr>
              <w:spacing w:after="0" w:line="240" w:lineRule="auto"/>
              <w:ind w:hanging="108"/>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Продолжение таблицы Ж.1</w:t>
            </w:r>
          </w:p>
          <w:p w:rsidR="00EA72C7" w:rsidRDefault="00EA72C7" w:rsidP="003E7002">
            <w:pPr>
              <w:spacing w:after="0" w:line="240" w:lineRule="auto"/>
              <w:ind w:hanging="108"/>
              <w:rPr>
                <w:rFonts w:ascii="Times New Roman" w:eastAsia="Times New Roman" w:hAnsi="Times New Roman" w:cs="Times New Roman"/>
                <w:sz w:val="16"/>
                <w:szCs w:val="16"/>
              </w:rPr>
            </w:pPr>
          </w:p>
        </w:tc>
      </w:tr>
      <w:tr w:rsidR="00EA72C7" w:rsidTr="003E7002">
        <w:trPr>
          <w:trHeight w:val="210"/>
        </w:trPr>
        <w:tc>
          <w:tcPr>
            <w:tcW w:w="14586" w:type="dxa"/>
            <w:gridSpan w:val="7"/>
            <w:tcBorders>
              <w:right w:val="single" w:sz="4" w:space="0" w:color="000000"/>
            </w:tcBorders>
            <w:shd w:val="clear" w:color="auto" w:fill="auto"/>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A72C7" w:rsidTr="003E7002">
        <w:trPr>
          <w:trHeight w:val="259"/>
        </w:trPr>
        <w:tc>
          <w:tcPr>
            <w:tcW w:w="1688" w:type="dxa"/>
            <w:tcBorders>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переписка, переговоры)</w:t>
            </w:r>
          </w:p>
        </w:tc>
        <w:tc>
          <w:tcPr>
            <w:tcW w:w="335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90" w:right="1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zoom Конференции по теме Малого Талдыколь, приглашение экспертов</w:t>
            </w:r>
          </w:p>
          <w:p w:rsidR="00EA72C7" w:rsidRDefault="00EA72C7" w:rsidP="003E7002">
            <w:pPr>
              <w:spacing w:after="0" w:line="240" w:lineRule="auto"/>
              <w:ind w:left="90" w:right="146"/>
              <w:rPr>
                <w:rFonts w:ascii="Times New Roman" w:eastAsia="Times New Roman" w:hAnsi="Times New Roman" w:cs="Times New Roman"/>
                <w:color w:val="000000"/>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86" w:right="1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Вовлечение и информирование широких слоёв населения</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человек участников, с участием про фессоров НУ и местных ор ганов власти</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Скрин </w:t>
            </w: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интернета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Перенос сроков</w:t>
            </w:r>
          </w:p>
        </w:tc>
      </w:tr>
      <w:tr w:rsidR="00EA72C7" w:rsidTr="003E7002">
        <w:trPr>
          <w:trHeight w:val="259"/>
        </w:trPr>
        <w:tc>
          <w:tcPr>
            <w:tcW w:w="1688" w:type="dxa"/>
            <w:tcBorders>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p>
        </w:tc>
        <w:tc>
          <w:tcPr>
            <w:tcW w:w="335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90" w:right="1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Отчёт по проекту</w:t>
            </w:r>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86" w:right="1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Направление отчета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отчет, опубликованный публично</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Отчет по реализа ции проекта содер жащий, копии квитанций, фото-видео материал</w:t>
            </w: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карантина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Перенос сроков акции и организа ция медийного ме роприятия онлайн</w:t>
            </w:r>
          </w:p>
        </w:tc>
      </w:tr>
      <w:tr w:rsidR="00EA72C7" w:rsidTr="003E7002">
        <w:trPr>
          <w:trHeight w:val="1537"/>
        </w:trPr>
        <w:tc>
          <w:tcPr>
            <w:tcW w:w="1688" w:type="dxa"/>
            <w:tcBorders>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p>
        </w:tc>
        <w:tc>
          <w:tcPr>
            <w:tcW w:w="335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90" w:right="1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Две статьи в крупные СМИ по проблемам региона</w:t>
            </w:r>
          </w:p>
          <w:p w:rsidR="00EA72C7" w:rsidRDefault="00EA72C7" w:rsidP="003E7002">
            <w:pPr>
              <w:spacing w:after="0" w:line="240" w:lineRule="auto"/>
              <w:ind w:left="90" w:right="146"/>
              <w:rPr>
                <w:rFonts w:ascii="Times New Roman" w:eastAsia="Times New Roman" w:hAnsi="Times New Roman" w:cs="Times New Roman"/>
                <w:color w:val="000000"/>
                <w:sz w:val="24"/>
                <w:szCs w:val="24"/>
              </w:rPr>
            </w:pPr>
          </w:p>
          <w:p w:rsidR="00EA72C7" w:rsidRDefault="00EA72C7" w:rsidP="003E7002">
            <w:pPr>
              <w:spacing w:after="0" w:line="240" w:lineRule="auto"/>
              <w:ind w:left="90" w:right="146"/>
              <w:rPr>
                <w:rFonts w:ascii="Times New Roman" w:eastAsia="Times New Roman" w:hAnsi="Times New Roman" w:cs="Times New Roman"/>
                <w:color w:val="000000"/>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86" w:right="1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Вовлечение и информирование широких слоёв населения</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статьи с СМИ</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печатные статьи в СМИ (онлайн или офлайн)</w:t>
            </w: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карантина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Перенос сроков акции и организа ция медийного мероприятия онлайн</w:t>
            </w:r>
          </w:p>
        </w:tc>
      </w:tr>
      <w:tr w:rsidR="00EA72C7" w:rsidTr="003E7002">
        <w:trPr>
          <w:trHeight w:val="259"/>
        </w:trPr>
        <w:tc>
          <w:tcPr>
            <w:tcW w:w="1688" w:type="dxa"/>
            <w:vMerge w:val="restart"/>
            <w:tcBorders>
              <w:bottom w:val="nil"/>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4: (Прочие работы по проекту)</w:t>
            </w:r>
          </w:p>
          <w:p w:rsidR="00EA72C7" w:rsidRDefault="00EA72C7" w:rsidP="003E7002">
            <w:pPr>
              <w:spacing w:after="0" w:line="240" w:lineRule="auto"/>
              <w:rPr>
                <w:rFonts w:ascii="Times New Roman" w:eastAsia="Times New Roman" w:hAnsi="Times New Roman" w:cs="Times New Roman"/>
                <w:sz w:val="24"/>
                <w:szCs w:val="24"/>
              </w:rPr>
            </w:pPr>
          </w:p>
        </w:tc>
        <w:tc>
          <w:tcPr>
            <w:tcW w:w="335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90" w:right="1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Администрирование проекта</w:t>
            </w:r>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86" w:right="1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Ведение пере писки и дело производства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Болезнь исполни теля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Замена исполнителя</w:t>
            </w:r>
          </w:p>
        </w:tc>
      </w:tr>
      <w:tr w:rsidR="00EA72C7" w:rsidTr="003E7002">
        <w:trPr>
          <w:trHeight w:val="259"/>
        </w:trPr>
        <w:tc>
          <w:tcPr>
            <w:tcW w:w="1688" w:type="dxa"/>
            <w:vMerge/>
            <w:tcBorders>
              <w:bottom w:val="nil"/>
              <w:right w:val="single" w:sz="4" w:space="0" w:color="000000"/>
            </w:tcBorders>
            <w:shd w:val="clear" w:color="auto" w:fill="auto"/>
          </w:tcPr>
          <w:p w:rsidR="00EA72C7" w:rsidRDefault="00EA72C7" w:rsidP="003E700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35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ind w:left="90" w:right="1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Обеспечение взаимодействия с властями, другими организациями и донорами в регионе о проекте фонда Евразия</w:t>
            </w:r>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Ведение переписки и делопроизводства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Болезнь исполни теля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Замена исполнителя</w:t>
            </w:r>
          </w:p>
        </w:tc>
      </w:tr>
      <w:tr w:rsidR="00EA72C7" w:rsidTr="003E7002">
        <w:trPr>
          <w:trHeight w:val="1124"/>
        </w:trPr>
        <w:tc>
          <w:tcPr>
            <w:tcW w:w="1688" w:type="dxa"/>
            <w:vMerge/>
            <w:tcBorders>
              <w:bottom w:val="nil"/>
              <w:right w:val="single" w:sz="4" w:space="0" w:color="000000"/>
            </w:tcBorders>
            <w:shd w:val="clear" w:color="auto" w:fill="auto"/>
          </w:tcPr>
          <w:p w:rsidR="00EA72C7" w:rsidRDefault="00EA72C7" w:rsidP="003E700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352" w:type="dxa"/>
            <w:tcBorders>
              <w:top w:val="single" w:sz="4" w:space="0" w:color="000000"/>
              <w:left w:val="single" w:sz="4" w:space="0" w:color="000000"/>
              <w:bottom w:val="nil"/>
              <w:right w:val="single" w:sz="4" w:space="0" w:color="000000"/>
            </w:tcBorders>
            <w:shd w:val="clear" w:color="auto" w:fill="auto"/>
          </w:tcPr>
          <w:p w:rsidR="00EA72C7" w:rsidRDefault="00EA72C7" w:rsidP="003E7002">
            <w:pPr>
              <w:spacing w:after="0" w:line="240" w:lineRule="auto"/>
              <w:ind w:left="90" w:right="1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Обеспечение взаимодейст вия между гражданскими активистами и администрацией</w:t>
            </w:r>
          </w:p>
        </w:tc>
        <w:tc>
          <w:tcPr>
            <w:tcW w:w="2141" w:type="dxa"/>
            <w:tcBorders>
              <w:top w:val="single" w:sz="4" w:space="0" w:color="000000"/>
              <w:left w:val="single" w:sz="4" w:space="0" w:color="000000"/>
              <w:bottom w:val="nil"/>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Ведение переписки и делопроизводства</w:t>
            </w:r>
          </w:p>
        </w:tc>
        <w:tc>
          <w:tcPr>
            <w:tcW w:w="1638" w:type="dxa"/>
            <w:tcBorders>
              <w:top w:val="single" w:sz="4" w:space="0" w:color="000000"/>
              <w:left w:val="single" w:sz="4" w:space="0" w:color="000000"/>
              <w:bottom w:val="nil"/>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p>
        </w:tc>
        <w:tc>
          <w:tcPr>
            <w:tcW w:w="2156" w:type="dxa"/>
            <w:tcBorders>
              <w:top w:val="single" w:sz="4" w:space="0" w:color="000000"/>
              <w:left w:val="single" w:sz="4" w:space="0" w:color="000000"/>
              <w:bottom w:val="nil"/>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p>
        </w:tc>
        <w:tc>
          <w:tcPr>
            <w:tcW w:w="1469" w:type="dxa"/>
            <w:tcBorders>
              <w:top w:val="single" w:sz="4" w:space="0" w:color="000000"/>
              <w:left w:val="single" w:sz="4" w:space="0" w:color="000000"/>
              <w:bottom w:val="nil"/>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Болезнь исполни теля</w:t>
            </w:r>
          </w:p>
        </w:tc>
        <w:tc>
          <w:tcPr>
            <w:tcW w:w="2142" w:type="dxa"/>
            <w:tcBorders>
              <w:top w:val="single" w:sz="4" w:space="0" w:color="000000"/>
              <w:left w:val="single" w:sz="4" w:space="0" w:color="000000"/>
              <w:bottom w:val="nil"/>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Замена исполнителя</w:t>
            </w:r>
          </w:p>
        </w:tc>
      </w:tr>
      <w:tr w:rsidR="00EA72C7" w:rsidTr="003E7002">
        <w:trPr>
          <w:trHeight w:val="210"/>
        </w:trPr>
        <w:tc>
          <w:tcPr>
            <w:tcW w:w="14586" w:type="dxa"/>
            <w:gridSpan w:val="7"/>
            <w:tcBorders>
              <w:top w:val="nil"/>
              <w:left w:val="nil"/>
              <w:right w:val="nil"/>
            </w:tcBorders>
            <w:shd w:val="clear" w:color="auto" w:fill="auto"/>
          </w:tcPr>
          <w:p w:rsidR="00EA72C7" w:rsidRDefault="00EA72C7" w:rsidP="003E7002">
            <w:pPr>
              <w:spacing w:after="0" w:line="240" w:lineRule="auto"/>
              <w:ind w:hanging="108"/>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Продолжение таблицы Ж.1</w:t>
            </w:r>
          </w:p>
          <w:p w:rsidR="00EA72C7" w:rsidRDefault="00EA72C7" w:rsidP="003E7002">
            <w:pPr>
              <w:spacing w:after="0" w:line="240" w:lineRule="auto"/>
              <w:ind w:hanging="108"/>
              <w:rPr>
                <w:rFonts w:ascii="Times New Roman" w:eastAsia="Times New Roman" w:hAnsi="Times New Roman" w:cs="Times New Roman"/>
                <w:sz w:val="16"/>
                <w:szCs w:val="16"/>
              </w:rPr>
            </w:pPr>
          </w:p>
        </w:tc>
      </w:tr>
      <w:tr w:rsidR="00EA72C7" w:rsidTr="003E7002">
        <w:trPr>
          <w:trHeight w:val="210"/>
        </w:trPr>
        <w:tc>
          <w:tcPr>
            <w:tcW w:w="14586" w:type="dxa"/>
            <w:gridSpan w:val="7"/>
            <w:tcBorders>
              <w:right w:val="single" w:sz="4" w:space="0" w:color="000000"/>
            </w:tcBorders>
            <w:shd w:val="clear" w:color="auto" w:fill="auto"/>
          </w:tcPr>
          <w:p w:rsidR="00EA72C7" w:rsidRDefault="00EA72C7" w:rsidP="003E70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A72C7" w:rsidTr="003E7002">
        <w:trPr>
          <w:trHeight w:val="64"/>
        </w:trPr>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Воздействие проекта:</w:t>
            </w:r>
          </w:p>
        </w:tc>
        <w:tc>
          <w:tcPr>
            <w:tcW w:w="12898" w:type="dxa"/>
            <w:gridSpan w:val="6"/>
            <w:tcBorders>
              <w:top w:val="single" w:sz="4" w:space="0" w:color="000000"/>
              <w:left w:val="single" w:sz="4" w:space="0" w:color="000000"/>
              <w:bottom w:val="single" w:sz="4" w:space="0" w:color="000000"/>
              <w:right w:val="single" w:sz="4" w:space="0" w:color="000000"/>
            </w:tcBorders>
            <w:shd w:val="clear" w:color="auto" w:fill="auto"/>
          </w:tcPr>
          <w:p w:rsidR="00EA72C7" w:rsidRDefault="00EA72C7" w:rsidP="003E7002">
            <w:pPr>
              <w:spacing w:after="0"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способствует вовлечению и активизации большого количества молодежи в вопросы сохранения городских экосистем. </w:t>
            </w:r>
          </w:p>
          <w:p w:rsidR="00EA72C7" w:rsidRDefault="00EA72C7" w:rsidP="003E7002">
            <w:pPr>
              <w:spacing w:after="0"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Будет опробован новый формат налаживания взаимодействия государства и общественных институтов через социальные сети, координации региональных активистов для конструктивного диалога между собой и властью. </w:t>
            </w:r>
          </w:p>
          <w:p w:rsidR="00EA72C7" w:rsidRDefault="00EA72C7" w:rsidP="003E7002">
            <w:pPr>
              <w:spacing w:after="0"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Вовлечение широких масс местного населения в проектную деятельность по развитию этой природоохранной зоны. Кроме того, будет дано начало развитию таких форм самоорганизации общественных институтов как ОСИ (организация собственников жилья), внедряемая Казахстаном в настоящее время.  Планируемая первичная аудитория порядка 1000 человек. </w:t>
            </w:r>
          </w:p>
          <w:p w:rsidR="00EA72C7" w:rsidRDefault="00EA72C7" w:rsidP="003E70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Важнейшим аспектом будет привлечение экоактивистов блогеров, деятельность которых несет в настоящее время разно</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плановый и разносторонний характер. Данный проект должен рассматриваться как пилотный.  После отработки наших технологий мы планируем распространить наш опыт на другие регионы Казахстана и всю Центральную Азию. Мы делаем системные шаги в этом направлении. Планируется достижение таких качественных показателей как формирование инфор</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мационного поля по улучшению экологической культуры, мотивация на грамотные действия по решению экологических проблем, формирование системы представлений, ценностей, ориентаций в обществе, бережного, гуманного отношения к окружающей среде и чувство ответственности за свои поступки; экологического восприятия и сознания общественной активности, а также увеличение вовлеченности молодежи в решениях социального-экономических вопросах города. Надеемся, что мероприятие положит начало ежегодному экологическому фестивалю на озере Малый Талдыколь</w:t>
            </w:r>
          </w:p>
          <w:p w:rsidR="00EA72C7" w:rsidRDefault="00EA72C7" w:rsidP="003E70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субботнику потенциально могут проявить такие организации как:</w:t>
            </w:r>
          </w:p>
          <w:p w:rsidR="00EA72C7" w:rsidRDefault="00EA72C7" w:rsidP="003E700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Министерства экологии и природных ресурсов. </w:t>
            </w:r>
          </w:p>
          <w:p w:rsidR="00EA72C7" w:rsidRDefault="00EA72C7" w:rsidP="003E700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Ассоциация экологических организаций Казахстана. </w:t>
            </w:r>
          </w:p>
          <w:p w:rsidR="00EA72C7" w:rsidRDefault="00EA72C7" w:rsidP="003E700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Департамент экологии г.Нур-Султан. </w:t>
            </w:r>
          </w:p>
          <w:p w:rsidR="00EA72C7" w:rsidRDefault="00EA72C7" w:rsidP="003E700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Экологический фонд Казахстана.</w:t>
            </w:r>
          </w:p>
          <w:p w:rsidR="00EA72C7" w:rsidRDefault="00EA72C7" w:rsidP="003E700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Ассоциация Экожер. </w:t>
            </w:r>
          </w:p>
          <w:p w:rsidR="00EA72C7" w:rsidRDefault="00EA72C7" w:rsidP="003E700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Коалиция за зеленую экономику и развитие G-Global. </w:t>
            </w:r>
          </w:p>
          <w:p w:rsidR="00EA72C7" w:rsidRDefault="00EA72C7" w:rsidP="003E700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Ассоциации сохранения биоразнообразия Казахстана, Палата предпринимателей г. Нур-Султан.</w:t>
            </w:r>
          </w:p>
          <w:p w:rsidR="00EA72C7" w:rsidRDefault="00EA72C7" w:rsidP="003E700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Цифровые технологии Казахстана. </w:t>
            </w:r>
          </w:p>
          <w:p w:rsidR="00EA72C7" w:rsidRDefault="00EA72C7" w:rsidP="003E700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Республиканская единая детско-юношеская организация «Жас улан». </w:t>
            </w:r>
          </w:p>
          <w:p w:rsidR="00EA72C7" w:rsidRDefault="00EA72C7" w:rsidP="003E700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Fading TSE. </w:t>
            </w:r>
          </w:p>
          <w:p w:rsidR="00EA72C7" w:rsidRDefault="00EA72C7" w:rsidP="003E700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Ассоциация практикующих экологов.</w:t>
            </w:r>
          </w:p>
          <w:p w:rsidR="00EA72C7" w:rsidRDefault="00EA72C7" w:rsidP="003E700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Ассоциация сохранения биоразнообразия Казахстана</w:t>
            </w:r>
          </w:p>
        </w:tc>
      </w:tr>
    </w:tbl>
    <w:p w:rsidR="00EA72C7" w:rsidRDefault="00EA72C7" w:rsidP="00EA72C7">
      <w:pPr>
        <w:spacing w:after="0" w:line="240" w:lineRule="auto"/>
        <w:jc w:val="center"/>
        <w:rPr>
          <w:rFonts w:ascii="Times New Roman" w:eastAsia="Times New Roman" w:hAnsi="Times New Roman" w:cs="Times New Roman"/>
          <w:b/>
          <w:sz w:val="28"/>
          <w:szCs w:val="28"/>
        </w:rPr>
      </w:pPr>
      <w:bookmarkStart w:id="34" w:name="_heading=h.23ckvvd" w:colFirst="0" w:colLast="0"/>
      <w:bookmarkEnd w:id="34"/>
      <w:r>
        <w:rPr>
          <w:rFonts w:ascii="Times New Roman" w:eastAsia="Times New Roman" w:hAnsi="Times New Roman" w:cs="Times New Roman"/>
          <w:b/>
          <w:sz w:val="28"/>
          <w:szCs w:val="28"/>
        </w:rPr>
        <w:lastRenderedPageBreak/>
        <w:t>ПРИЛОЖЕНИЕ И</w:t>
      </w: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69504" behindDoc="0" locked="0" layoutInCell="1" hidden="0" allowOverlap="1" wp14:anchorId="07636DE8" wp14:editId="0C7C1BC6">
                <wp:simplePos x="0" y="0"/>
                <wp:positionH relativeFrom="column">
                  <wp:posOffset>6356985</wp:posOffset>
                </wp:positionH>
                <wp:positionV relativeFrom="paragraph">
                  <wp:posOffset>2802890</wp:posOffset>
                </wp:positionV>
                <wp:extent cx="2894965" cy="790575"/>
                <wp:effectExtent l="0" t="0" r="19685" b="28575"/>
                <wp:wrapNone/>
                <wp:docPr id="201" name="Прямоугольник 201"/>
                <wp:cNvGraphicFramePr/>
                <a:graphic xmlns:a="http://schemas.openxmlformats.org/drawingml/2006/main">
                  <a:graphicData uri="http://schemas.microsoft.com/office/word/2010/wordprocessingShape">
                    <wps:wsp>
                      <wps:cNvSpPr/>
                      <wps:spPr>
                        <a:xfrm>
                          <a:off x="0" y="0"/>
                          <a:ext cx="2894965" cy="790575"/>
                        </a:xfrm>
                        <a:prstGeom prst="rect">
                          <a:avLst/>
                        </a:prstGeom>
                        <a:noFill/>
                        <a:ln w="9525" cap="flat" cmpd="sng">
                          <a:solidFill>
                            <a:schemeClr val="accent1"/>
                          </a:solidFill>
                          <a:prstDash val="solid"/>
                          <a:round/>
                          <a:headEnd type="none" w="sm" len="sm"/>
                          <a:tailEnd type="none" w="sm" len="sm"/>
                        </a:ln>
                      </wps:spPr>
                      <wps:txbx>
                        <w:txbxContent>
                          <w:p w:rsidR="00D06B63" w:rsidRDefault="00D06B63" w:rsidP="00EA72C7">
                            <w:pPr>
                              <w:spacing w:after="0" w:line="240" w:lineRule="auto"/>
                              <w:jc w:val="both"/>
                              <w:textDirection w:val="btLr"/>
                            </w:pPr>
                            <w:r>
                              <w:rPr>
                                <w:rFonts w:ascii="Times New Roman" w:eastAsia="Times New Roman" w:hAnsi="Times New Roman" w:cs="Times New Roman"/>
                                <w:color w:val="000000"/>
                                <w:sz w:val="24"/>
                              </w:rPr>
                              <w:t>Единая база данных обеспечивает доступ к стандартизированной информации заинтересованным сторонам</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07636DE8" id="Прямоугольник 201" o:spid="_x0000_s1155" style="position:absolute;left:0;text-align:left;margin-left:500.55pt;margin-top:220.7pt;width:227.95pt;height:62.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" filled="f" strokecolor="#5b9bd5 [3204]">
                <v:stroke startarrowwidth="narrow" startarrowlength="short" endarrowwidth="narrow" endarrowlength="short" joinstyle="round"/>
                <v:textbox inset="2.53958mm,1.2694mm,2.53958mm,1.2694mm">
                  <w:txbxContent>
                    <w:p w:rsidR="00D06B63" w:rsidRDefault="00D06B63" w:rsidP="00EA72C7">
                      <w:pPr>
                        <w:spacing w:after="0" w:line="240" w:lineRule="auto"/>
                        <w:jc w:val="both"/>
                        <w:textDirection w:val="btLr"/>
                      </w:pPr>
                      <w:r>
                        <w:rPr>
                          <w:rFonts w:ascii="Times New Roman" w:eastAsia="Times New Roman" w:hAnsi="Times New Roman" w:cs="Times New Roman"/>
                          <w:color w:val="000000"/>
                          <w:sz w:val="24"/>
                        </w:rPr>
                        <w:t>Единая база данных обеспечивает доступ к стандартизированной информации заинтересованным сторонам</w:t>
                      </w: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14:anchorId="10424124" wp14:editId="58C9BD1F">
                <wp:simplePos x="0" y="0"/>
                <wp:positionH relativeFrom="column">
                  <wp:posOffset>3251835</wp:posOffset>
                </wp:positionH>
                <wp:positionV relativeFrom="paragraph">
                  <wp:posOffset>2802890</wp:posOffset>
                </wp:positionV>
                <wp:extent cx="2740660" cy="790575"/>
                <wp:effectExtent l="0" t="0" r="21590" b="28575"/>
                <wp:wrapNone/>
                <wp:docPr id="203" name="Прямоугольник 203"/>
                <wp:cNvGraphicFramePr/>
                <a:graphic xmlns:a="http://schemas.openxmlformats.org/drawingml/2006/main">
                  <a:graphicData uri="http://schemas.microsoft.com/office/word/2010/wordprocessingShape">
                    <wps:wsp>
                      <wps:cNvSpPr/>
                      <wps:spPr>
                        <a:xfrm>
                          <a:off x="0" y="0"/>
                          <a:ext cx="2740660" cy="790575"/>
                        </a:xfrm>
                        <a:prstGeom prst="rect">
                          <a:avLst/>
                        </a:prstGeom>
                        <a:noFill/>
                        <a:ln w="9525" cap="flat" cmpd="sng">
                          <a:solidFill>
                            <a:schemeClr val="accent1"/>
                          </a:solidFill>
                          <a:prstDash val="solid"/>
                          <a:round/>
                          <a:headEnd type="none" w="sm" len="sm"/>
                          <a:tailEnd type="none" w="sm" len="sm"/>
                        </a:ln>
                      </wps:spPr>
                      <wps:txbx>
                        <w:txbxContent>
                          <w:p w:rsidR="00D06B63" w:rsidRDefault="00D06B63" w:rsidP="00EA72C7">
                            <w:pPr>
                              <w:spacing w:after="0" w:line="240" w:lineRule="auto"/>
                              <w:jc w:val="both"/>
                              <w:textDirection w:val="btLr"/>
                            </w:pPr>
                            <w:r>
                              <w:rPr>
                                <w:rFonts w:ascii="Times New Roman" w:eastAsia="Times New Roman" w:hAnsi="Times New Roman" w:cs="Times New Roman"/>
                                <w:color w:val="000000"/>
                                <w:sz w:val="24"/>
                              </w:rPr>
                              <w:t>Проверка данных на предмет достоверности, легитимности, законности происхождения</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10424124" id="Прямоугольник 203" o:spid="_x0000_s1156" style="position:absolute;left:0;text-align:left;margin-left:256.05pt;margin-top:220.7pt;width:215.8pt;height:62.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" filled="f" strokecolor="#5b9bd5 [3204]">
                <v:stroke startarrowwidth="narrow" startarrowlength="short" endarrowwidth="narrow" endarrowlength="short" joinstyle="round"/>
                <v:textbox inset="2.53958mm,1.2694mm,2.53958mm,1.2694mm">
                  <w:txbxContent>
                    <w:p w:rsidR="00D06B63" w:rsidRDefault="00D06B63" w:rsidP="00EA72C7">
                      <w:pPr>
                        <w:spacing w:after="0" w:line="240" w:lineRule="auto"/>
                        <w:jc w:val="both"/>
                        <w:textDirection w:val="btLr"/>
                      </w:pPr>
                      <w:r>
                        <w:rPr>
                          <w:rFonts w:ascii="Times New Roman" w:eastAsia="Times New Roman" w:hAnsi="Times New Roman" w:cs="Times New Roman"/>
                          <w:color w:val="000000"/>
                          <w:sz w:val="24"/>
                        </w:rPr>
                        <w:t>Проверка данных на предмет достоверности, легитимности, законности происхождения</w:t>
                      </w:r>
                    </w:p>
                  </w:txbxContent>
                </v:textbox>
              </v:rect>
            </w:pict>
          </mc:Fallback>
        </mc:AlternateContent>
      </w:r>
      <w:r>
        <w:rPr>
          <w:noProof/>
        </w:rPr>
        <mc:AlternateContent>
          <mc:Choice Requires="wps">
            <w:drawing>
              <wp:anchor distT="0" distB="0" distL="114300" distR="114300" simplePos="0" relativeHeight="251670528" behindDoc="0" locked="0" layoutInCell="1" hidden="0" allowOverlap="1" wp14:anchorId="4E692D32" wp14:editId="33F7B653">
                <wp:simplePos x="0" y="0"/>
                <wp:positionH relativeFrom="column">
                  <wp:posOffset>194310</wp:posOffset>
                </wp:positionH>
                <wp:positionV relativeFrom="paragraph">
                  <wp:posOffset>2802890</wp:posOffset>
                </wp:positionV>
                <wp:extent cx="2578100" cy="790575"/>
                <wp:effectExtent l="0" t="0" r="12700" b="28575"/>
                <wp:wrapNone/>
                <wp:docPr id="202" name="Прямоугольник 202"/>
                <wp:cNvGraphicFramePr/>
                <a:graphic xmlns:a="http://schemas.openxmlformats.org/drawingml/2006/main">
                  <a:graphicData uri="http://schemas.microsoft.com/office/word/2010/wordprocessingShape">
                    <wps:wsp>
                      <wps:cNvSpPr/>
                      <wps:spPr>
                        <a:xfrm>
                          <a:off x="0" y="0"/>
                          <a:ext cx="2578100" cy="790575"/>
                        </a:xfrm>
                        <a:prstGeom prst="rect">
                          <a:avLst/>
                        </a:prstGeom>
                        <a:noFill/>
                        <a:ln w="9525" cap="flat" cmpd="sng">
                          <a:solidFill>
                            <a:schemeClr val="accent1"/>
                          </a:solidFill>
                          <a:prstDash val="solid"/>
                          <a:round/>
                          <a:headEnd type="none" w="sm" len="sm"/>
                          <a:tailEnd type="none" w="sm" len="sm"/>
                        </a:ln>
                      </wps:spPr>
                      <wps:txbx>
                        <w:txbxContent>
                          <w:p w:rsidR="00D06B63" w:rsidRDefault="00D06B63" w:rsidP="00EA72C7">
                            <w:pPr>
                              <w:spacing w:after="0" w:line="240" w:lineRule="auto"/>
                              <w:jc w:val="both"/>
                              <w:textDirection w:val="btLr"/>
                            </w:pPr>
                            <w:r>
                              <w:rPr>
                                <w:rFonts w:ascii="Times New Roman" w:eastAsia="Times New Roman" w:hAnsi="Times New Roman" w:cs="Times New Roman"/>
                                <w:color w:val="000000"/>
                                <w:sz w:val="24"/>
                              </w:rPr>
                              <w:t>Источниками данных служат госорганы, наука, бизнес, НПО, население</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4E692D32" id="Прямоугольник 202" o:spid="_x0000_s1157" style="position:absolute;left:0;text-align:left;margin-left:15.3pt;margin-top:220.7pt;width:203pt;height:62.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" filled="f" strokecolor="#5b9bd5 [3204]">
                <v:stroke startarrowwidth="narrow" startarrowlength="short" endarrowwidth="narrow" endarrowlength="short" joinstyle="round"/>
                <v:textbox inset="2.53958mm,1.2694mm,2.53958mm,1.2694mm">
                  <w:txbxContent>
                    <w:p w:rsidR="00D06B63" w:rsidRDefault="00D06B63" w:rsidP="00EA72C7">
                      <w:pPr>
                        <w:spacing w:after="0" w:line="240" w:lineRule="auto"/>
                        <w:jc w:val="both"/>
                        <w:textDirection w:val="btLr"/>
                      </w:pPr>
                      <w:r>
                        <w:rPr>
                          <w:rFonts w:ascii="Times New Roman" w:eastAsia="Times New Roman" w:hAnsi="Times New Roman" w:cs="Times New Roman"/>
                          <w:color w:val="000000"/>
                          <w:sz w:val="24"/>
                        </w:rPr>
                        <w:t>Источниками данных служат госорганы, наука, бизнес, НПО, население</w:t>
                      </w: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411A5BDA" wp14:editId="2B42A1E6">
                <wp:simplePos x="0" y="0"/>
                <wp:positionH relativeFrom="column">
                  <wp:posOffset>6629400</wp:posOffset>
                </wp:positionH>
                <wp:positionV relativeFrom="paragraph">
                  <wp:posOffset>2159635</wp:posOffset>
                </wp:positionV>
                <wp:extent cx="2620010" cy="536575"/>
                <wp:effectExtent l="0" t="0" r="8890" b="0"/>
                <wp:wrapNone/>
                <wp:docPr id="198" name="Прямоугольник 198"/>
                <wp:cNvGraphicFramePr/>
                <a:graphic xmlns:a="http://schemas.openxmlformats.org/drawingml/2006/main">
                  <a:graphicData uri="http://schemas.microsoft.com/office/word/2010/wordprocessingShape">
                    <wps:wsp>
                      <wps:cNvSpPr/>
                      <wps:spPr>
                        <a:xfrm>
                          <a:off x="0" y="0"/>
                          <a:ext cx="2620010" cy="536575"/>
                        </a:xfrm>
                        <a:prstGeom prst="rect">
                          <a:avLst/>
                        </a:prstGeom>
                        <a:noFill/>
                        <a:ln>
                          <a:noFill/>
                        </a:ln>
                      </wps:spPr>
                      <wps:txbx>
                        <w:txbxContent>
                          <w:p w:rsidR="00D06B63" w:rsidRDefault="00D06B63" w:rsidP="00EA72C7">
                            <w:pPr>
                              <w:spacing w:after="235" w:line="215" w:lineRule="auto"/>
                              <w:jc w:val="center"/>
                              <w:textDirection w:val="btLr"/>
                            </w:pPr>
                            <w:r>
                              <w:rPr>
                                <w:rFonts w:ascii="Times New Roman" w:eastAsia="Times New Roman" w:hAnsi="Times New Roman" w:cs="Times New Roman"/>
                                <w:i/>
                                <w:color w:val="000000"/>
                                <w:sz w:val="28"/>
                              </w:rPr>
                              <w:t>Систематизация данных</w:t>
                            </w:r>
                          </w:p>
                        </w:txbxContent>
                      </wps:txbx>
                      <wps:bodyPr spcFirstLastPara="1" wrap="square" lIns="35550" tIns="35550" rIns="35550" bIns="35550" anchor="ctr" anchorCtr="0">
                        <a:noAutofit/>
                      </wps:bodyPr>
                    </wps:wsp>
                  </a:graphicData>
                </a:graphic>
              </wp:anchor>
            </w:drawing>
          </mc:Choice>
          <mc:Fallback xmlns:w16se="http://schemas.microsoft.com/office/word/2015/wordml/symex" xmlns:cx="http://schemas.microsoft.com/office/drawing/2014/chartex">
            <w:pict>
              <v:rect w14:anchorId="411A5BDA" id="Прямоугольник 198" o:spid="_x0000_s1158" style="position:absolute;left:0;text-align:left;margin-left:522pt;margin-top:170.05pt;width:206.3pt;height:42.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" filled="f" stroked="f">
                <v:textbox inset=".9875mm,.9875mm,.9875mm,.9875mm">
                  <w:txbxContent>
                    <w:p w:rsidR="00D06B63" w:rsidRDefault="00D06B63" w:rsidP="00EA72C7">
                      <w:pPr>
                        <w:spacing w:after="235" w:line="215" w:lineRule="auto"/>
                        <w:jc w:val="center"/>
                        <w:textDirection w:val="btLr"/>
                      </w:pPr>
                      <w:r>
                        <w:rPr>
                          <w:rFonts w:ascii="Times New Roman" w:eastAsia="Times New Roman" w:hAnsi="Times New Roman" w:cs="Times New Roman"/>
                          <w:i/>
                          <w:color w:val="000000"/>
                          <w:sz w:val="28"/>
                        </w:rPr>
                        <w:t>Систематизация данных</w:t>
                      </w:r>
                    </w:p>
                  </w:txbxContent>
                </v:textbox>
              </v:rect>
            </w:pict>
          </mc:Fallback>
        </mc:AlternateContent>
      </w:r>
      <w:r>
        <w:rPr>
          <w:noProof/>
        </w:rPr>
        <mc:AlternateContent>
          <mc:Choice Requires="wpg">
            <w:drawing>
              <wp:inline distT="0" distB="0" distL="0" distR="0" wp14:anchorId="3649B704" wp14:editId="44FEF2B7">
                <wp:extent cx="9452758" cy="3277235"/>
                <wp:effectExtent l="0" t="0" r="0" b="0"/>
                <wp:docPr id="166" name="Группа 166"/>
                <wp:cNvGraphicFramePr/>
                <a:graphic xmlns:a="http://schemas.openxmlformats.org/drawingml/2006/main">
                  <a:graphicData uri="http://schemas.microsoft.com/office/word/2010/wordprocessingGroup">
                    <wpg:wgp>
                      <wpg:cNvGrpSpPr/>
                      <wpg:grpSpPr>
                        <a:xfrm>
                          <a:off x="0" y="0"/>
                          <a:ext cx="9452758" cy="3277235"/>
                          <a:chOff x="0" y="0"/>
                          <a:chExt cx="9452750" cy="3277225"/>
                        </a:xfrm>
                      </wpg:grpSpPr>
                      <wps:wsp>
                        <wps:cNvPr id="167" name="Прямоугольник 167"/>
                        <wps:cNvSpPr/>
                        <wps:spPr>
                          <a:xfrm>
                            <a:off x="0" y="0"/>
                            <a:ext cx="9452750" cy="3277225"/>
                          </a:xfrm>
                          <a:prstGeom prst="rect">
                            <a:avLst/>
                          </a:prstGeom>
                          <a:noFill/>
                          <a:ln>
                            <a:noFill/>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68" name="Прямоугольник 168"/>
                        <wps:cNvSpPr/>
                        <wps:spPr>
                          <a:xfrm>
                            <a:off x="698031" y="770265"/>
                            <a:ext cx="2159612" cy="711690"/>
                          </a:xfrm>
                          <a:prstGeom prst="rect">
                            <a:avLst/>
                          </a:prstGeom>
                          <a:noFill/>
                          <a:ln>
                            <a:noFill/>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69" name="Надпись 169"/>
                        <wps:cNvSpPr txBox="1"/>
                        <wps:spPr>
                          <a:xfrm>
                            <a:off x="698031" y="770265"/>
                            <a:ext cx="2159612" cy="711690"/>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4"/>
                                </w:rPr>
                                <w:t>Данные разного формата  различных источников</w:t>
                              </w:r>
                            </w:p>
                          </w:txbxContent>
                        </wps:txbx>
                        <wps:bodyPr spcFirstLastPara="1" wrap="square" lIns="15225" tIns="15225" rIns="15225" bIns="15225" anchor="ctr" anchorCtr="0">
                          <a:noAutofit/>
                        </wps:bodyPr>
                      </wps:wsp>
                      <wps:wsp>
                        <wps:cNvPr id="170" name="Прямоугольник 170"/>
                        <wps:cNvSpPr/>
                        <wps:spPr>
                          <a:xfrm>
                            <a:off x="605124" y="2707578"/>
                            <a:ext cx="2217489" cy="475223"/>
                          </a:xfrm>
                          <a:prstGeom prst="rect">
                            <a:avLst/>
                          </a:prstGeom>
                          <a:noFill/>
                          <a:ln>
                            <a:noFill/>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71" name="Надпись 171"/>
                        <wps:cNvSpPr txBox="1"/>
                        <wps:spPr>
                          <a:xfrm>
                            <a:off x="605124" y="2272941"/>
                            <a:ext cx="2217489" cy="475223"/>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4"/>
                                </w:rPr>
                                <w:t>Сбор данных</w:t>
                              </w:r>
                            </w:p>
                          </w:txbxContent>
                        </wps:txbx>
                        <wps:bodyPr spcFirstLastPara="1" wrap="square" lIns="15225" tIns="15225" rIns="15225" bIns="15225" anchor="ctr" anchorCtr="0">
                          <a:noAutofit/>
                        </wps:bodyPr>
                      </wps:wsp>
                      <wps:wsp>
                        <wps:cNvPr id="172" name="Овал 172"/>
                        <wps:cNvSpPr/>
                        <wps:spPr>
                          <a:xfrm>
                            <a:off x="695577" y="553813"/>
                            <a:ext cx="171787" cy="171787"/>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73" name="Овал 173"/>
                        <wps:cNvSpPr/>
                        <wps:spPr>
                          <a:xfrm>
                            <a:off x="815828" y="313311"/>
                            <a:ext cx="171787" cy="171787"/>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74" name="Овал 174"/>
                        <wps:cNvSpPr/>
                        <wps:spPr>
                          <a:xfrm>
                            <a:off x="1104431" y="361411"/>
                            <a:ext cx="269951" cy="269951"/>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75" name="Овал 175"/>
                        <wps:cNvSpPr/>
                        <wps:spPr>
                          <a:xfrm>
                            <a:off x="1344933" y="96859"/>
                            <a:ext cx="171787" cy="171787"/>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76" name="Овал 176"/>
                        <wps:cNvSpPr/>
                        <wps:spPr>
                          <a:xfrm>
                            <a:off x="1657586" y="658"/>
                            <a:ext cx="171787" cy="171787"/>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77" name="Овал 177"/>
                        <wps:cNvSpPr/>
                        <wps:spPr>
                          <a:xfrm>
                            <a:off x="2042390" y="169009"/>
                            <a:ext cx="171787" cy="171787"/>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78" name="Овал 178"/>
                        <wps:cNvSpPr/>
                        <wps:spPr>
                          <a:xfrm>
                            <a:off x="2282892" y="289261"/>
                            <a:ext cx="269951" cy="269951"/>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79" name="Овал 179"/>
                        <wps:cNvSpPr/>
                        <wps:spPr>
                          <a:xfrm>
                            <a:off x="2619595" y="553813"/>
                            <a:ext cx="171787" cy="171787"/>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80" name="Овал 180"/>
                        <wps:cNvSpPr/>
                        <wps:spPr>
                          <a:xfrm>
                            <a:off x="2763896" y="818366"/>
                            <a:ext cx="171787" cy="171787"/>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81" name="Овал 181"/>
                        <wps:cNvSpPr/>
                        <wps:spPr>
                          <a:xfrm>
                            <a:off x="1513284" y="313311"/>
                            <a:ext cx="441738" cy="441738"/>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82" name="Овал 182"/>
                        <wps:cNvSpPr/>
                        <wps:spPr>
                          <a:xfrm>
                            <a:off x="575326" y="1227220"/>
                            <a:ext cx="171787" cy="171787"/>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83" name="Овал 183"/>
                        <wps:cNvSpPr/>
                        <wps:spPr>
                          <a:xfrm>
                            <a:off x="719627" y="1443672"/>
                            <a:ext cx="269951" cy="269951"/>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84" name="Овал 184"/>
                        <wps:cNvSpPr/>
                        <wps:spPr>
                          <a:xfrm>
                            <a:off x="1080380" y="1636073"/>
                            <a:ext cx="392656" cy="392656"/>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85" name="Овал 185"/>
                        <wps:cNvSpPr/>
                        <wps:spPr>
                          <a:xfrm>
                            <a:off x="1585435" y="1948726"/>
                            <a:ext cx="171787" cy="171787"/>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86" name="Овал 186"/>
                        <wps:cNvSpPr/>
                        <wps:spPr>
                          <a:xfrm>
                            <a:off x="1681636" y="1636073"/>
                            <a:ext cx="269951" cy="269951"/>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87" name="Овал 187"/>
                        <wps:cNvSpPr/>
                        <wps:spPr>
                          <a:xfrm>
                            <a:off x="1922138" y="1972777"/>
                            <a:ext cx="171787" cy="171787"/>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88" name="Овал 188"/>
                        <wps:cNvSpPr/>
                        <wps:spPr>
                          <a:xfrm>
                            <a:off x="2138590" y="1587973"/>
                            <a:ext cx="392656" cy="392656"/>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89" name="Овал 189"/>
                        <wps:cNvSpPr/>
                        <wps:spPr>
                          <a:xfrm>
                            <a:off x="2667695" y="1491772"/>
                            <a:ext cx="269951" cy="269951"/>
                          </a:xfrm>
                          <a:prstGeom prst="ellipse">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90" name="Шеврон 190"/>
                        <wps:cNvSpPr/>
                        <wps:spPr>
                          <a:xfrm>
                            <a:off x="3843019" y="469201"/>
                            <a:ext cx="792809" cy="1513559"/>
                          </a:xfrm>
                          <a:prstGeom prst="chevron">
                            <a:avLst>
                              <a:gd name="adj" fmla="val 62310"/>
                            </a:avLst>
                          </a:prstGeom>
                          <a:solidFill>
                            <a:srgbClr val="B3CAE7"/>
                          </a:solidFill>
                          <a:ln>
                            <a:noFill/>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91" name="Прямоугольник 191"/>
                        <wps:cNvSpPr/>
                        <wps:spPr>
                          <a:xfrm>
                            <a:off x="4482850" y="361746"/>
                            <a:ext cx="982787" cy="1513544"/>
                          </a:xfrm>
                          <a:prstGeom prst="rect">
                            <a:avLst/>
                          </a:prstGeom>
                          <a:noFill/>
                          <a:ln>
                            <a:noFill/>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92" name="Надпись 192"/>
                        <wps:cNvSpPr txBox="1"/>
                        <wps:spPr>
                          <a:xfrm>
                            <a:off x="4482850" y="361746"/>
                            <a:ext cx="982787" cy="1513544"/>
                          </a:xfrm>
                          <a:prstGeom prst="rect">
                            <a:avLst/>
                          </a:prstGeom>
                          <a:noFill/>
                          <a:ln>
                            <a:noFill/>
                          </a:ln>
                        </wps:spPr>
                        <wps:txbx>
                          <w:txbxContent>
                            <w:p w:rsidR="00D06B63" w:rsidRDefault="00D06B63" w:rsidP="00EA72C7">
                              <w:pPr>
                                <w:spacing w:after="0" w:line="215" w:lineRule="auto"/>
                                <w:jc w:val="center"/>
                                <w:textDirection w:val="btLr"/>
                              </w:pPr>
                            </w:p>
                          </w:txbxContent>
                        </wps:txbx>
                        <wps:bodyPr spcFirstLastPara="1" wrap="square" lIns="82550" tIns="82550" rIns="82550" bIns="82550" anchor="ctr" anchorCtr="0">
                          <a:noAutofit/>
                        </wps:bodyPr>
                      </wps:wsp>
                      <wps:wsp>
                        <wps:cNvPr id="194" name="Надпись 194"/>
                        <wps:cNvSpPr txBox="1"/>
                        <wps:spPr>
                          <a:xfrm>
                            <a:off x="3706880" y="2120514"/>
                            <a:ext cx="2343313" cy="677840"/>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i/>
                                  <w:color w:val="000000"/>
                                  <w:sz w:val="24"/>
                                </w:rPr>
                                <w:t>Аутентификация данных</w:t>
                              </w:r>
                            </w:p>
                          </w:txbxContent>
                        </wps:txbx>
                        <wps:bodyPr spcFirstLastPara="1" wrap="square" lIns="15225" tIns="15225" rIns="15225" bIns="15225" anchor="ctr" anchorCtr="0">
                          <a:noAutofit/>
                        </wps:bodyPr>
                      </wps:wsp>
                      <wps:wsp>
                        <wps:cNvPr id="195" name="Шеврон 195"/>
                        <wps:cNvSpPr/>
                        <wps:spPr>
                          <a:xfrm>
                            <a:off x="5262393" y="433132"/>
                            <a:ext cx="792809" cy="1513559"/>
                          </a:xfrm>
                          <a:prstGeom prst="chevron">
                            <a:avLst>
                              <a:gd name="adj" fmla="val 62310"/>
                            </a:avLst>
                          </a:prstGeom>
                          <a:solidFill>
                            <a:srgbClr val="B3CAE7"/>
                          </a:solidFill>
                          <a:ln>
                            <a:noFill/>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96" name="Блок-схема: магнитный диск 196"/>
                        <wps:cNvSpPr/>
                        <wps:spPr>
                          <a:xfrm>
                            <a:off x="6953067" y="235928"/>
                            <a:ext cx="1837875" cy="1837875"/>
                          </a:xfrm>
                          <a:prstGeom prst="flowChartMagneticDisk">
                            <a:avLst/>
                          </a:prstGeom>
                          <a:gradFill>
                            <a:gsLst>
                              <a:gs pos="0">
                                <a:srgbClr val="F6F9FC"/>
                              </a:gs>
                              <a:gs pos="74000">
                                <a:srgbClr val="B3D1EC"/>
                              </a:gs>
                              <a:gs pos="83000">
                                <a:srgbClr val="B3D1EC"/>
                              </a:gs>
                              <a:gs pos="100000">
                                <a:srgbClr val="CCE0F2"/>
                              </a:gs>
                            </a:gsLst>
                            <a:lin ang="5400000" scaled="0"/>
                          </a:gradFill>
                          <a:ln w="9525" cap="flat" cmpd="sng">
                            <a:solidFill>
                              <a:schemeClr val="accen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197" name="Надпись 197"/>
                        <wps:cNvSpPr txBox="1"/>
                        <wps:spPr>
                          <a:xfrm>
                            <a:off x="6953067" y="848553"/>
                            <a:ext cx="1837875" cy="918938"/>
                          </a:xfrm>
                          <a:prstGeom prst="rect">
                            <a:avLst/>
                          </a:prstGeom>
                          <a:noFill/>
                          <a:ln>
                            <a:noFill/>
                          </a:ln>
                        </wps:spPr>
                        <wps:txbx>
                          <w:txbxContent>
                            <w:p w:rsidR="00D06B63" w:rsidRDefault="00D06B63" w:rsidP="00EA72C7">
                              <w:pPr>
                                <w:spacing w:after="0" w:line="215" w:lineRule="auto"/>
                                <w:jc w:val="center"/>
                                <w:textDirection w:val="btLr"/>
                              </w:pPr>
                            </w:p>
                          </w:txbxContent>
                        </wps:txbx>
                        <wps:bodyPr spcFirstLastPara="1" wrap="square" lIns="0" tIns="0" rIns="0" bIns="0" anchor="ctr" anchorCtr="0">
                          <a:noAutofit/>
                        </wps:bodyPr>
                      </wps:wsp>
                    </wpg:wgp>
                  </a:graphicData>
                </a:graphic>
              </wp:inline>
            </w:drawing>
          </mc:Choice>
          <mc:Fallback xmlns:w16se="http://schemas.microsoft.com/office/word/2015/wordml/symex" xmlns:cx="http://schemas.microsoft.com/office/drawing/2014/chartex">
            <w:pict>
              <v:group w14:anchorId="3649B704" id="Группа 166" o:spid="_x0000_s1159" style="width:744.3pt;height:258.05pt;mso-position-horizontal-relative:char;mso-position-vertical-relative:line" coordsize="94527,3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">
                <v:rect id="Прямоугольник 167" o:spid="_x0000_s1160" style="position:absolute;width:94527;height:3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" filled="f" stroked="f">
                  <v:textbox inset="2.53958mm,2.53958mm,2.53958mm,2.53958mm">
                    <w:txbxContent>
                      <w:p w:rsidR="00D06B63" w:rsidRDefault="00D06B63" w:rsidP="00EA72C7">
                        <w:pPr>
                          <w:spacing w:after="0" w:line="240" w:lineRule="auto"/>
                          <w:textDirection w:val="btLr"/>
                        </w:pPr>
                      </w:p>
                    </w:txbxContent>
                  </v:textbox>
                </v:rect>
                <v:rect id="Прямоугольник 168" o:spid="_x0000_s1161" style="position:absolute;left:6980;top:7702;width:21596;height:7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" filled="f" stroked="f">
                  <v:textbox inset="2.53958mm,2.53958mm,2.53958mm,2.53958mm">
                    <w:txbxContent>
                      <w:p w:rsidR="00D06B63" w:rsidRDefault="00D06B63" w:rsidP="00EA72C7">
                        <w:pPr>
                          <w:spacing w:after="0" w:line="240" w:lineRule="auto"/>
                          <w:textDirection w:val="btLr"/>
                        </w:pPr>
                      </w:p>
                    </w:txbxContent>
                  </v:textbox>
                </v:rect>
                <v:shape id="Надпись 169" o:spid="_x0000_s1162" type="#_x0000_t202" style="position:absolute;left:6980;top:7702;width:21596;height:7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" filled="f" stroked="f">
                  <v:textbox inset=".42292mm,.42292mm,.42292mm,.42292mm">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4"/>
                          </w:rPr>
                          <w:t xml:space="preserve">Данные разного </w:t>
                        </w:r>
                        <w:proofErr w:type="gramStart"/>
                        <w:r>
                          <w:rPr>
                            <w:rFonts w:ascii="Times New Roman" w:eastAsia="Times New Roman" w:hAnsi="Times New Roman" w:cs="Times New Roman"/>
                            <w:color w:val="000000"/>
                            <w:sz w:val="24"/>
                          </w:rPr>
                          <w:t>формата  различных</w:t>
                        </w:r>
                        <w:proofErr w:type="gramEnd"/>
                        <w:r>
                          <w:rPr>
                            <w:rFonts w:ascii="Times New Roman" w:eastAsia="Times New Roman" w:hAnsi="Times New Roman" w:cs="Times New Roman"/>
                            <w:color w:val="000000"/>
                            <w:sz w:val="24"/>
                          </w:rPr>
                          <w:t xml:space="preserve"> источников</w:t>
                        </w:r>
                      </w:p>
                    </w:txbxContent>
                  </v:textbox>
                </v:shape>
                <v:rect id="Прямоугольник 170" o:spid="_x0000_s1163" style="position:absolute;left:6051;top:27075;width:22175;height:4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" filled="f" stroked="f">
                  <v:textbox inset="2.53958mm,2.53958mm,2.53958mm,2.53958mm">
                    <w:txbxContent>
                      <w:p w:rsidR="00D06B63" w:rsidRDefault="00D06B63" w:rsidP="00EA72C7">
                        <w:pPr>
                          <w:spacing w:after="0" w:line="240" w:lineRule="auto"/>
                          <w:textDirection w:val="btLr"/>
                        </w:pPr>
                      </w:p>
                    </w:txbxContent>
                  </v:textbox>
                </v:rect>
                <v:shape id="Надпись 171" o:spid="_x0000_s1164" type="#_x0000_t202" style="position:absolute;left:6051;top:22729;width:22175;height:4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" filled="f" stroked="f">
                  <v:textbox inset=".42292mm,.42292mm,.42292mm,.42292mm">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4"/>
                          </w:rPr>
                          <w:t>Сбор данных</w:t>
                        </w:r>
                      </w:p>
                    </w:txbxContent>
                  </v:textbox>
                </v:shape>
                <v:oval id="Овал 172" o:spid="_x0000_s1165" style="position:absolute;left:6955;top:5538;width:1718;height:1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oval>
                <v:oval id="Овал 173" o:spid="_x0000_s1166" style="position:absolute;left:8158;top:3133;width:1718;height:1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oval>
                <v:oval id="Овал 174" o:spid="_x0000_s1167" style="position:absolute;left:11044;top:3614;width:2699;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oval>
                <v:oval id="Овал 175" o:spid="_x0000_s1168" style="position:absolute;left:13449;top:968;width:1718;height:1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oval>
                <v:oval id="Овал 176" o:spid="_x0000_s1169" style="position:absolute;left:16575;top:6;width:1718;height:1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oval>
                <v:oval id="Овал 177" o:spid="_x0000_s1170" style="position:absolute;left:20423;top:1690;width:1718;height:1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oval>
                <v:oval id="Овал 178" o:spid="_x0000_s1171" style="position:absolute;left:22828;top:2892;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oval>
                <v:oval id="Овал 179" o:spid="_x0000_s1172" style="position:absolute;left:26195;top:5538;width:1718;height:1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oval>
                <v:oval id="Овал 180" o:spid="_x0000_s1173" style="position:absolute;left:27638;top:8183;width:1718;height:1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oval>
                <v:oval id="Овал 181" o:spid="_x0000_s1174" style="position:absolute;left:15132;top:3133;width:4418;height:4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oval>
                <v:oval id="Овал 182" o:spid="_x0000_s1175" style="position:absolute;left:5753;top:12272;width:1718;height:1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oval>
                <v:oval id="Овал 183" o:spid="_x0000_s1176" style="position:absolute;left:7196;top:14436;width:2699;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oval>
                <v:oval id="Овал 184" o:spid="_x0000_s1177" style="position:absolute;left:10803;top:16360;width:3927;height:3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oval>
                <v:oval id="Овал 185" o:spid="_x0000_s1178" style="position:absolute;left:15854;top:19487;width:1718;height:1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oval>
                <v:oval id="Овал 186" o:spid="_x0000_s1179" style="position:absolute;left:16816;top:16360;width:2699;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oval>
                <v:oval id="Овал 187" o:spid="_x0000_s1180" style="position:absolute;left:19221;top:19727;width:1718;height:1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oval>
                <v:oval id="Овал 188" o:spid="_x0000_s1181" style="position:absolute;left:21385;top:15879;width:3927;height:3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oval>
                <v:oval id="Овал 189" o:spid="_x0000_s1182" style="position:absolute;left:26676;top:14917;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oval>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Шеврон 190" o:spid="_x0000_s1183" type="#_x0000_t55" style="position:absolute;left:38430;top:4692;width:7928;height:15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" adj="8141" fillcolor="#b3cae7" stroked="f">
                  <v:textbox inset="2.53958mm,2.53958mm,2.53958mm,2.53958mm">
                    <w:txbxContent>
                      <w:p w:rsidR="00D06B63" w:rsidRDefault="00D06B63" w:rsidP="00EA72C7">
                        <w:pPr>
                          <w:spacing w:after="0" w:line="240" w:lineRule="auto"/>
                          <w:textDirection w:val="btLr"/>
                        </w:pPr>
                      </w:p>
                    </w:txbxContent>
                  </v:textbox>
                </v:shape>
                <v:rect id="Прямоугольник 191" o:spid="_x0000_s1184" style="position:absolute;left:44828;top:3617;width:9828;height:15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" filled="f" stroked="f">
                  <v:textbox inset="2.53958mm,2.53958mm,2.53958mm,2.53958mm">
                    <w:txbxContent>
                      <w:p w:rsidR="00D06B63" w:rsidRDefault="00D06B63" w:rsidP="00EA72C7">
                        <w:pPr>
                          <w:spacing w:after="0" w:line="240" w:lineRule="auto"/>
                          <w:textDirection w:val="btLr"/>
                        </w:pPr>
                      </w:p>
                    </w:txbxContent>
                  </v:textbox>
                </v:rect>
                <v:shape id="Надпись 192" o:spid="_x0000_s1185" type="#_x0000_t202" style="position:absolute;left:44828;top:3617;width:9828;height:15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" filled="f" stroked="f">
                  <v:textbox inset="6.5pt,6.5pt,6.5pt,6.5pt">
                    <w:txbxContent>
                      <w:p w:rsidR="00D06B63" w:rsidRDefault="00D06B63" w:rsidP="00EA72C7">
                        <w:pPr>
                          <w:spacing w:after="0" w:line="215" w:lineRule="auto"/>
                          <w:jc w:val="center"/>
                          <w:textDirection w:val="btLr"/>
                        </w:pPr>
                      </w:p>
                    </w:txbxContent>
                  </v:textbox>
                </v:shape>
                <v:shape id="Надпись 194" o:spid="_x0000_s1186" type="#_x0000_t202" style="position:absolute;left:37068;top:21205;width:23433;height:6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" filled="f" stroked="f">
                  <v:textbox inset=".42292mm,.42292mm,.42292mm,.42292mm">
                    <w:txbxContent>
                      <w:p w:rsidR="00D06B63" w:rsidRDefault="00D06B63" w:rsidP="00EA72C7">
                        <w:pPr>
                          <w:spacing w:after="0" w:line="215" w:lineRule="auto"/>
                          <w:jc w:val="center"/>
                          <w:textDirection w:val="btLr"/>
                        </w:pPr>
                        <w:r>
                          <w:rPr>
                            <w:rFonts w:ascii="Times New Roman" w:eastAsia="Times New Roman" w:hAnsi="Times New Roman" w:cs="Times New Roman"/>
                            <w:i/>
                            <w:color w:val="000000"/>
                            <w:sz w:val="24"/>
                          </w:rPr>
                          <w:t>Аутентификация данных</w:t>
                        </w:r>
                      </w:p>
                    </w:txbxContent>
                  </v:textbox>
                </v:shape>
                <v:shape id="Шеврон 195" o:spid="_x0000_s1187" type="#_x0000_t55" style="position:absolute;left:52623;top:4331;width:7929;height:15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" adj="8141" fillcolor="#b3cae7" stroked="f">
                  <v:textbox inset="2.53958mm,2.53958mm,2.53958mm,2.53958mm">
                    <w:txbxContent>
                      <w:p w:rsidR="00D06B63" w:rsidRDefault="00D06B63" w:rsidP="00EA72C7">
                        <w:pPr>
                          <w:spacing w:after="0" w:line="240" w:lineRule="auto"/>
                          <w:textDirection w:val="btLr"/>
                        </w:pP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196" o:spid="_x0000_s1188" type="#_x0000_t132" style="position:absolute;left:69530;top:2359;width:18379;height:18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" fillcolor="#f6f9fc" strokecolor="#5b9bd5 [3204]">
                  <v:fill color2="#cce0f2" colors="0 #f6f9fc;48497f #b3d1ec;54395f #b3d1ec;1 #cce0f2" focus="100%" type="gradient">
                    <o:fill v:ext="view" type="gradientUnscaled"/>
                  </v:fill>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shape>
                <v:shape id="Надпись 197" o:spid="_x0000_s1189" type="#_x0000_t202" style="position:absolute;left:69530;top:8485;width:18379;height:9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" filled="f" stroked="f">
                  <v:textbox inset="0,0,0,0">
                    <w:txbxContent>
                      <w:p w:rsidR="00D06B63" w:rsidRDefault="00D06B63" w:rsidP="00EA72C7">
                        <w:pPr>
                          <w:spacing w:after="0" w:line="215" w:lineRule="auto"/>
                          <w:jc w:val="center"/>
                          <w:textDirection w:val="btLr"/>
                        </w:pPr>
                      </w:p>
                    </w:txbxContent>
                  </v:textbox>
                </v:shape>
                <w10:anchorlock/>
              </v:group>
            </w:pict>
          </mc:Fallback>
        </mc:AlternateContent>
      </w:r>
      <w:r>
        <w:rPr>
          <w:noProof/>
        </w:rPr>
        <mc:AlternateContent>
          <mc:Choice Requires="wps">
            <w:drawing>
              <wp:anchor distT="0" distB="0" distL="114300" distR="114300" simplePos="0" relativeHeight="251667456" behindDoc="0" locked="0" layoutInCell="1" hidden="0" allowOverlap="1" wp14:anchorId="03B21D4B" wp14:editId="631A6C4F">
                <wp:simplePos x="0" y="0"/>
                <wp:positionH relativeFrom="column">
                  <wp:posOffset>-723899</wp:posOffset>
                </wp:positionH>
                <wp:positionV relativeFrom="paragraph">
                  <wp:posOffset>-4432299</wp:posOffset>
                </wp:positionV>
                <wp:extent cx="2578555" cy="1209854"/>
                <wp:effectExtent l="0" t="0" r="0" b="0"/>
                <wp:wrapNone/>
                <wp:docPr id="199" name="Прямоугольник 199"/>
                <wp:cNvGraphicFramePr/>
                <a:graphic xmlns:a="http://schemas.openxmlformats.org/drawingml/2006/main">
                  <a:graphicData uri="http://schemas.microsoft.com/office/word/2010/wordprocessingShape">
                    <wps:wsp>
                      <wps:cNvSpPr/>
                      <wps:spPr>
                        <a:xfrm>
                          <a:off x="4061485" y="3179836"/>
                          <a:ext cx="2569030" cy="1200329"/>
                        </a:xfrm>
                        <a:prstGeom prst="rect">
                          <a:avLst/>
                        </a:prstGeom>
                        <a:noFill/>
                        <a:ln w="9525" cap="flat" cmpd="sng">
                          <a:solidFill>
                            <a:schemeClr val="accent1"/>
                          </a:solidFill>
                          <a:prstDash val="solid"/>
                          <a:round/>
                          <a:headEnd type="none" w="sm" len="sm"/>
                          <a:tailEnd type="none" w="sm" len="sm"/>
                        </a:ln>
                      </wps:spPr>
                      <wps:txbx>
                        <w:txbxContent>
                          <w:p w:rsidR="00D06B63" w:rsidRDefault="00D06B63" w:rsidP="00EA72C7">
                            <w:pPr>
                              <w:spacing w:after="0" w:line="240" w:lineRule="auto"/>
                              <w:jc w:val="both"/>
                              <w:textDirection w:val="btLr"/>
                            </w:pPr>
                            <w:r>
                              <w:rPr>
                                <w:color w:val="000000"/>
                                <w:sz w:val="36"/>
                              </w:rPr>
                              <w:t xml:space="preserve">Источниками данных служат госорганы, наука, бизнес, НПО, население </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cx="http://schemas.microsoft.com/office/drawing/2014/chartex">
            <w:pict>
              <v:rect w14:anchorId="03B21D4B" id="Прямоугольник 199" o:spid="_x0000_s1190" style="position:absolute;left:0;text-align:left;margin-left:-57pt;margin-top:-349pt;width:203.05pt;height:95.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" filled="f" strokecolor="#5b9bd5 [3204]">
                <v:stroke startarrowwidth="narrow" startarrowlength="short" endarrowwidth="narrow" endarrowlength="short" joinstyle="round"/>
                <v:textbox inset="2.53958mm,1.2694mm,2.53958mm,1.2694mm">
                  <w:txbxContent>
                    <w:p w:rsidR="00D06B63" w:rsidRDefault="00D06B63" w:rsidP="00EA72C7">
                      <w:pPr>
                        <w:spacing w:after="0" w:line="240" w:lineRule="auto"/>
                        <w:jc w:val="both"/>
                        <w:textDirection w:val="btLr"/>
                      </w:pPr>
                      <w:r>
                        <w:rPr>
                          <w:color w:val="000000"/>
                          <w:sz w:val="36"/>
                        </w:rPr>
                        <w:t xml:space="preserve">Источниками данных служат госорганы, наука, бизнес, НПО, население </w:t>
                      </w: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07B9F708" wp14:editId="0446A9B4">
                <wp:simplePos x="0" y="0"/>
                <wp:positionH relativeFrom="column">
                  <wp:posOffset>6146800</wp:posOffset>
                </wp:positionH>
                <wp:positionV relativeFrom="paragraph">
                  <wp:posOffset>-4432299</wp:posOffset>
                </wp:positionV>
                <wp:extent cx="2839811" cy="1209854"/>
                <wp:effectExtent l="0" t="0" r="0" b="0"/>
                <wp:wrapNone/>
                <wp:docPr id="200" name="Прямоугольник 200"/>
                <wp:cNvGraphicFramePr/>
                <a:graphic xmlns:a="http://schemas.openxmlformats.org/drawingml/2006/main">
                  <a:graphicData uri="http://schemas.microsoft.com/office/word/2010/wordprocessingShape">
                    <wps:wsp>
                      <wps:cNvSpPr/>
                      <wps:spPr>
                        <a:xfrm>
                          <a:off x="3930857" y="3179836"/>
                          <a:ext cx="2830286" cy="1200329"/>
                        </a:xfrm>
                        <a:prstGeom prst="rect">
                          <a:avLst/>
                        </a:prstGeom>
                        <a:noFill/>
                        <a:ln w="9525" cap="flat" cmpd="sng">
                          <a:solidFill>
                            <a:schemeClr val="accent1"/>
                          </a:solidFill>
                          <a:prstDash val="solid"/>
                          <a:round/>
                          <a:headEnd type="none" w="sm" len="sm"/>
                          <a:tailEnd type="none" w="sm" len="sm"/>
                        </a:ln>
                      </wps:spPr>
                      <wps:txbx>
                        <w:txbxContent>
                          <w:p w:rsidR="00D06B63" w:rsidRDefault="00D06B63" w:rsidP="00EA72C7">
                            <w:pPr>
                              <w:spacing w:after="0" w:line="240" w:lineRule="auto"/>
                              <w:textDirection w:val="btLr"/>
                            </w:pPr>
                            <w:r>
                              <w:rPr>
                                <w:color w:val="000000"/>
                                <w:sz w:val="36"/>
                              </w:rPr>
                              <w:t>Проверка данных на предмет достоверности, легитимности, законности происхождения</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cx="http://schemas.microsoft.com/office/drawing/2014/chartex">
            <w:pict>
              <v:rect w14:anchorId="07B9F708" id="Прямоугольник 200" o:spid="_x0000_s1191" style="position:absolute;left:0;text-align:left;margin-left:484pt;margin-top:-349pt;width:223.6pt;height:95.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" filled="f" strokecolor="#5b9bd5 [3204]">
                <v:stroke startarrowwidth="narrow" startarrowlength="short" endarrowwidth="narrow" endarrowlength="short" joinstyle="round"/>
                <v:textbox inset="2.53958mm,1.2694mm,2.53958mm,1.2694mm">
                  <w:txbxContent>
                    <w:p w:rsidR="00D06B63" w:rsidRDefault="00D06B63" w:rsidP="00EA72C7">
                      <w:pPr>
                        <w:spacing w:after="0" w:line="240" w:lineRule="auto"/>
                        <w:textDirection w:val="btLr"/>
                      </w:pPr>
                      <w:r>
                        <w:rPr>
                          <w:color w:val="000000"/>
                          <w:sz w:val="36"/>
                        </w:rPr>
                        <w:t>Проверка данных на предмет достоверности, легитимности, законности происхождения</w:t>
                      </w:r>
                    </w:p>
                  </w:txbxContent>
                </v:textbox>
              </v:rect>
            </w:pict>
          </mc:Fallback>
        </mc:AlternateContent>
      </w: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rPr>
          <w:rFonts w:ascii="Times New Roman" w:eastAsia="Times New Roman" w:hAnsi="Times New Roman" w:cs="Times New Roman"/>
          <w:b/>
          <w:sz w:val="16"/>
          <w:szCs w:val="16"/>
        </w:rPr>
      </w:pPr>
    </w:p>
    <w:p w:rsidR="00EA72C7" w:rsidRDefault="00EA72C7" w:rsidP="00EA72C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Рисунок И.1 – Механизм сбора и обработки данных</w:t>
      </w:r>
    </w:p>
    <w:p w:rsidR="00EA72C7" w:rsidRDefault="00EA72C7" w:rsidP="00EA72C7">
      <w:pPr>
        <w:pStyle w:val="2"/>
        <w:spacing w:before="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К</w:t>
      </w:r>
    </w:p>
    <w:p w:rsidR="00EA72C7" w:rsidRDefault="00EA72C7" w:rsidP="00EA72C7">
      <w:pPr>
        <w:pStyle w:val="2"/>
        <w:spacing w:before="0" w:line="240" w:lineRule="auto"/>
        <w:rPr>
          <w:rFonts w:ascii="Times New Roman" w:eastAsia="Times New Roman" w:hAnsi="Times New Roman" w:cs="Times New Roman"/>
          <w:color w:val="000000"/>
          <w:sz w:val="28"/>
          <w:szCs w:val="28"/>
        </w:rPr>
      </w:pPr>
    </w:p>
    <w:p w:rsidR="00EA72C7" w:rsidRDefault="00EA72C7" w:rsidP="00EA72C7">
      <w:pPr>
        <w:pStyle w:val="2"/>
        <w:spacing w:before="0" w:line="240" w:lineRule="auto"/>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64384" behindDoc="0" locked="0" layoutInCell="1" hidden="0" allowOverlap="1" wp14:anchorId="25E90FEC" wp14:editId="791486AE">
                <wp:simplePos x="0" y="0"/>
                <wp:positionH relativeFrom="column">
                  <wp:posOffset>720725</wp:posOffset>
                </wp:positionH>
                <wp:positionV relativeFrom="paragraph">
                  <wp:posOffset>90170</wp:posOffset>
                </wp:positionV>
                <wp:extent cx="7906385" cy="2004060"/>
                <wp:effectExtent l="0" t="0" r="18415" b="15240"/>
                <wp:wrapNone/>
                <wp:docPr id="204" name="Прямоугольник 204"/>
                <wp:cNvGraphicFramePr/>
                <a:graphic xmlns:a="http://schemas.openxmlformats.org/drawingml/2006/main">
                  <a:graphicData uri="http://schemas.microsoft.com/office/word/2010/wordprocessingShape">
                    <wps:wsp>
                      <wps:cNvSpPr/>
                      <wps:spPr>
                        <a:xfrm>
                          <a:off x="0" y="0"/>
                          <a:ext cx="7906385" cy="2004060"/>
                        </a:xfrm>
                        <a:prstGeom prst="rect">
                          <a:avLst/>
                        </a:prstGeom>
                        <a:noFill/>
                        <a:ln w="9525" cap="flat" cmpd="sng">
                          <a:solidFill>
                            <a:schemeClr val="accent1"/>
                          </a:solidFill>
                          <a:prstDash val="solid"/>
                          <a:round/>
                          <a:headEnd type="none" w="sm" len="sm"/>
                          <a:tailEnd type="none" w="sm" len="sm"/>
                        </a:ln>
                      </wps:spPr>
                      <wps:txbx>
                        <w:txbxContent>
                          <w:p w:rsidR="00D06B63" w:rsidRDefault="00D06B63" w:rsidP="00EA72C7">
                            <w:pPr>
                              <w:spacing w:after="0" w:line="240" w:lineRule="auto"/>
                              <w:ind w:left="720" w:firstLine="360"/>
                              <w:jc w:val="both"/>
                              <w:textDirection w:val="btLr"/>
                            </w:pPr>
                            <w:r>
                              <w:rPr>
                                <w:rFonts w:ascii="Times New Roman" w:eastAsia="Times New Roman" w:hAnsi="Times New Roman" w:cs="Times New Roman"/>
                                <w:color w:val="000000"/>
                                <w:sz w:val="28"/>
                              </w:rPr>
                              <w:t>- все целевые группы рассматриваются как поставщики, так и потребители экологической информации;</w:t>
                            </w:r>
                          </w:p>
                          <w:p w:rsidR="00D06B63" w:rsidRDefault="00D06B63" w:rsidP="00EA72C7">
                            <w:pPr>
                              <w:spacing w:after="0" w:line="240" w:lineRule="auto"/>
                              <w:ind w:left="720" w:firstLine="360"/>
                              <w:jc w:val="both"/>
                              <w:textDirection w:val="btLr"/>
                            </w:pPr>
                            <w:r>
                              <w:rPr>
                                <w:rFonts w:ascii="Times New Roman" w:eastAsia="Times New Roman" w:hAnsi="Times New Roman" w:cs="Times New Roman"/>
                                <w:color w:val="000000"/>
                                <w:sz w:val="28"/>
                              </w:rPr>
                              <w:t>- определен уровень доступа на этапе потребления информации (открытая, закрытая);</w:t>
                            </w:r>
                          </w:p>
                          <w:p w:rsidR="00D06B63" w:rsidRDefault="00D06B63" w:rsidP="00EA72C7">
                            <w:pPr>
                              <w:spacing w:after="0" w:line="240" w:lineRule="auto"/>
                              <w:ind w:left="720" w:firstLine="360"/>
                              <w:jc w:val="both"/>
                              <w:textDirection w:val="btLr"/>
                            </w:pPr>
                            <w:r>
                              <w:rPr>
                                <w:rFonts w:ascii="Times New Roman" w:eastAsia="Times New Roman" w:hAnsi="Times New Roman" w:cs="Times New Roman"/>
                                <w:color w:val="000000"/>
                                <w:sz w:val="28"/>
                              </w:rPr>
                              <w:t>- выстроена процедура управления данными, обмена ими и их использования в процессе принятия решений;</w:t>
                            </w:r>
                          </w:p>
                          <w:p w:rsidR="00D06B63" w:rsidRDefault="00D06B63" w:rsidP="00EA72C7">
                            <w:pPr>
                              <w:spacing w:after="0" w:line="240" w:lineRule="auto"/>
                              <w:ind w:left="720" w:firstLine="360"/>
                              <w:jc w:val="both"/>
                              <w:textDirection w:val="btLr"/>
                            </w:pPr>
                            <w:r>
                              <w:rPr>
                                <w:rFonts w:ascii="Times New Roman" w:eastAsia="Times New Roman" w:hAnsi="Times New Roman" w:cs="Times New Roman"/>
                                <w:color w:val="000000"/>
                                <w:sz w:val="28"/>
                              </w:rPr>
                              <w:t>- обеспечена доступность информации через Интернет для широкой общественности;</w:t>
                            </w:r>
                          </w:p>
                          <w:p w:rsidR="00D06B63" w:rsidRDefault="00D06B63" w:rsidP="00EA72C7">
                            <w:pPr>
                              <w:spacing w:after="0" w:line="240" w:lineRule="auto"/>
                              <w:ind w:left="720" w:firstLine="360"/>
                              <w:jc w:val="both"/>
                              <w:textDirection w:val="btLr"/>
                            </w:pPr>
                            <w:r>
                              <w:rPr>
                                <w:rFonts w:ascii="Times New Roman" w:eastAsia="Times New Roman" w:hAnsi="Times New Roman" w:cs="Times New Roman"/>
                                <w:color w:val="000000"/>
                                <w:sz w:val="28"/>
                              </w:rPr>
                              <w:t>- повышение осведомленности широкой общественности (граждан) об использовании данных и принципов функционирования системы</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5E90FEC" id="Прямоугольник 204" o:spid="_x0000_s1192" style="position:absolute;margin-left:56.75pt;margin-top:7.1pt;width:622.55pt;height:15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" filled="f" strokecolor="#5b9bd5 [3204]">
                <v:stroke startarrowwidth="narrow" startarrowlength="short" endarrowwidth="narrow" endarrowlength="short" joinstyle="round"/>
                <v:textbox inset="2.53958mm,1.2694mm,2.53958mm,1.2694mm">
                  <w:txbxContent>
                    <w:p w:rsidR="00D06B63" w:rsidRDefault="00D06B63" w:rsidP="00EA72C7">
                      <w:pPr>
                        <w:spacing w:after="0" w:line="240" w:lineRule="auto"/>
                        <w:ind w:left="720" w:firstLine="360"/>
                        <w:jc w:val="both"/>
                        <w:textDirection w:val="btLr"/>
                      </w:pPr>
                      <w:r>
                        <w:rPr>
                          <w:rFonts w:ascii="Times New Roman" w:eastAsia="Times New Roman" w:hAnsi="Times New Roman" w:cs="Times New Roman"/>
                          <w:color w:val="000000"/>
                          <w:sz w:val="28"/>
                        </w:rPr>
                        <w:t>- все целевые группы рассматриваются как поставщики, так и потребители экологической информации;</w:t>
                      </w:r>
                    </w:p>
                    <w:p w:rsidR="00D06B63" w:rsidRDefault="00D06B63" w:rsidP="00EA72C7">
                      <w:pPr>
                        <w:spacing w:after="0" w:line="240" w:lineRule="auto"/>
                        <w:ind w:left="720" w:firstLine="360"/>
                        <w:jc w:val="both"/>
                        <w:textDirection w:val="btLr"/>
                      </w:pPr>
                      <w:r>
                        <w:rPr>
                          <w:rFonts w:ascii="Times New Roman" w:eastAsia="Times New Roman" w:hAnsi="Times New Roman" w:cs="Times New Roman"/>
                          <w:color w:val="000000"/>
                          <w:sz w:val="28"/>
                        </w:rPr>
                        <w:t>- определен уровень доступа на этапе потребления информации (открытая, закрытая);</w:t>
                      </w:r>
                    </w:p>
                    <w:p w:rsidR="00D06B63" w:rsidRDefault="00D06B63" w:rsidP="00EA72C7">
                      <w:pPr>
                        <w:spacing w:after="0" w:line="240" w:lineRule="auto"/>
                        <w:ind w:left="720" w:firstLine="360"/>
                        <w:jc w:val="both"/>
                        <w:textDirection w:val="btLr"/>
                      </w:pPr>
                      <w:r>
                        <w:rPr>
                          <w:rFonts w:ascii="Times New Roman" w:eastAsia="Times New Roman" w:hAnsi="Times New Roman" w:cs="Times New Roman"/>
                          <w:color w:val="000000"/>
                          <w:sz w:val="28"/>
                        </w:rPr>
                        <w:t>- выстроена процедура управления данными, обмена ими и их использования в процессе принятия решений;</w:t>
                      </w:r>
                    </w:p>
                    <w:p w:rsidR="00D06B63" w:rsidRDefault="00D06B63" w:rsidP="00EA72C7">
                      <w:pPr>
                        <w:spacing w:after="0" w:line="240" w:lineRule="auto"/>
                        <w:ind w:left="720" w:firstLine="360"/>
                        <w:jc w:val="both"/>
                        <w:textDirection w:val="btLr"/>
                      </w:pPr>
                      <w:r>
                        <w:rPr>
                          <w:rFonts w:ascii="Times New Roman" w:eastAsia="Times New Roman" w:hAnsi="Times New Roman" w:cs="Times New Roman"/>
                          <w:color w:val="000000"/>
                          <w:sz w:val="28"/>
                        </w:rPr>
                        <w:t>- обеспечена доступность информации через Интернет для широкой общественности;</w:t>
                      </w:r>
                    </w:p>
                    <w:p w:rsidR="00D06B63" w:rsidRDefault="00D06B63" w:rsidP="00EA72C7">
                      <w:pPr>
                        <w:spacing w:after="0" w:line="240" w:lineRule="auto"/>
                        <w:ind w:left="720" w:firstLine="360"/>
                        <w:jc w:val="both"/>
                        <w:textDirection w:val="btLr"/>
                      </w:pPr>
                      <w:r>
                        <w:rPr>
                          <w:rFonts w:ascii="Times New Roman" w:eastAsia="Times New Roman" w:hAnsi="Times New Roman" w:cs="Times New Roman"/>
                          <w:color w:val="000000"/>
                          <w:sz w:val="28"/>
                        </w:rPr>
                        <w:t>- повышение осведомленности широкой общественности (граждан) об использовании данных и принципов функционирования системы</w:t>
                      </w:r>
                    </w:p>
                  </w:txbxContent>
                </v:textbox>
              </v:rect>
            </w:pict>
          </mc:Fallback>
        </mc:AlternateContent>
      </w:r>
      <w:r>
        <w:rPr>
          <w:rFonts w:ascii="Times New Roman" w:eastAsia="Times New Roman" w:hAnsi="Times New Roman" w:cs="Times New Roman"/>
          <w:color w:val="000000"/>
          <w:sz w:val="28"/>
          <w:szCs w:val="28"/>
        </w:rPr>
        <w:t xml:space="preserve"> </w:t>
      </w: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inline distT="0" distB="0" distL="0" distR="0" wp14:anchorId="237FB906" wp14:editId="75E9DFBC">
                <wp:extent cx="4667002" cy="2160905"/>
                <wp:effectExtent l="0" t="0" r="0" b="0"/>
                <wp:docPr id="205" name="Группа 205"/>
                <wp:cNvGraphicFramePr/>
                <a:graphic xmlns:a="http://schemas.openxmlformats.org/drawingml/2006/main">
                  <a:graphicData uri="http://schemas.microsoft.com/office/word/2010/wordprocessingGroup">
                    <wpg:wgp>
                      <wpg:cNvGrpSpPr/>
                      <wpg:grpSpPr>
                        <a:xfrm>
                          <a:off x="0" y="0"/>
                          <a:ext cx="4667002" cy="2160905"/>
                          <a:chOff x="0" y="0"/>
                          <a:chExt cx="4667000" cy="2165975"/>
                        </a:xfrm>
                      </wpg:grpSpPr>
                      <wpg:grpSp>
                        <wpg:cNvPr id="206" name="Группа 206"/>
                        <wpg:cNvGrpSpPr/>
                        <wpg:grpSpPr>
                          <a:xfrm>
                            <a:off x="0" y="0"/>
                            <a:ext cx="4667000" cy="2160900"/>
                            <a:chOff x="0" y="0"/>
                            <a:chExt cx="4667000" cy="2160900"/>
                          </a:xfrm>
                        </wpg:grpSpPr>
                        <wps:wsp>
                          <wps:cNvPr id="207" name="Прямоугольник 207"/>
                          <wps:cNvSpPr/>
                          <wps:spPr>
                            <a:xfrm>
                              <a:off x="0" y="0"/>
                              <a:ext cx="4667000" cy="2160900"/>
                            </a:xfrm>
                            <a:prstGeom prst="rect">
                              <a:avLst/>
                            </a:prstGeom>
                            <a:noFill/>
                            <a:ln>
                              <a:noFill/>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08" name="Пятиугольник 208"/>
                          <wps:cNvSpPr/>
                          <wps:spPr>
                            <a:xfrm rot="10800000">
                              <a:off x="931731" y="1288"/>
                              <a:ext cx="3103556" cy="600033"/>
                            </a:xfrm>
                            <a:prstGeom prst="homePlate">
                              <a:avLst>
                                <a:gd name="adj" fmla="val 50000"/>
                              </a:avLst>
                            </a:prstGeom>
                            <a:noFill/>
                            <a:ln w="12700" cap="flat" cmpd="sng">
                              <a:solidFill>
                                <a:schemeClr val="accen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09" name="Надпись 209"/>
                          <wps:cNvSpPr txBox="1"/>
                          <wps:spPr>
                            <a:xfrm>
                              <a:off x="1081739" y="1288"/>
                              <a:ext cx="2953548" cy="600033"/>
                            </a:xfrm>
                            <a:prstGeom prst="rect">
                              <a:avLst/>
                            </a:prstGeom>
                            <a:noFill/>
                            <a:ln>
                              <a:noFill/>
                            </a:ln>
                          </wps:spPr>
                          <wps:txbx>
                            <w:txbxContent>
                              <w:p w:rsidR="00D06B63" w:rsidRDefault="00D06B63" w:rsidP="00EA72C7">
                                <w:pPr>
                                  <w:spacing w:after="0" w:line="215" w:lineRule="auto"/>
                                  <w:textDirection w:val="btLr"/>
                                </w:pPr>
                                <w:r>
                                  <w:rPr>
                                    <w:rFonts w:ascii="Times New Roman" w:eastAsia="Times New Roman" w:hAnsi="Times New Roman" w:cs="Times New Roman"/>
                                    <w:color w:val="000000"/>
                                    <w:sz w:val="28"/>
                                  </w:rPr>
                                  <w:t>Госорганы и органы местного самоуправления</w:t>
                                </w:r>
                              </w:p>
                            </w:txbxContent>
                          </wps:txbx>
                          <wps:bodyPr spcFirstLastPara="1" wrap="square" lIns="264575" tIns="53325" rIns="99550" bIns="53325" anchor="ctr" anchorCtr="0">
                            <a:noAutofit/>
                          </wps:bodyPr>
                        </wps:wsp>
                        <wps:wsp>
                          <wps:cNvPr id="210" name="Овал 210"/>
                          <wps:cNvSpPr/>
                          <wps:spPr>
                            <a:xfrm>
                              <a:off x="631714" y="1288"/>
                              <a:ext cx="600033" cy="600033"/>
                            </a:xfrm>
                            <a:prstGeom prst="ellipse">
                              <a:avLst/>
                            </a:prstGeom>
                            <a:blipFill rotWithShape="1">
                              <a:blip r:embed="rId89">
                                <a:alphaModFix/>
                              </a:blip>
                              <a:stretch>
                                <a:fillRect l="-5999" r="-5998"/>
                              </a:stretch>
                            </a:blip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11" name="Пятиугольник 211"/>
                          <wps:cNvSpPr/>
                          <wps:spPr>
                            <a:xfrm rot="10800000">
                              <a:off x="931731" y="780435"/>
                              <a:ext cx="3103556" cy="600033"/>
                            </a:xfrm>
                            <a:prstGeom prst="homePlate">
                              <a:avLst>
                                <a:gd name="adj" fmla="val 50000"/>
                              </a:avLst>
                            </a:prstGeom>
                            <a:noFill/>
                            <a:ln w="12700" cap="flat" cmpd="sng">
                              <a:solidFill>
                                <a:schemeClr val="accen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12" name="Надпись 212"/>
                          <wps:cNvSpPr txBox="1"/>
                          <wps:spPr>
                            <a:xfrm>
                              <a:off x="1081739" y="780435"/>
                              <a:ext cx="2953548" cy="600033"/>
                            </a:xfrm>
                            <a:prstGeom prst="rect">
                              <a:avLst/>
                            </a:prstGeom>
                            <a:noFill/>
                            <a:ln>
                              <a:noFill/>
                            </a:ln>
                          </wps:spPr>
                          <wps:txbx>
                            <w:txbxContent>
                              <w:p w:rsidR="00D06B63" w:rsidRDefault="00D06B63" w:rsidP="00EA72C7">
                                <w:pPr>
                                  <w:spacing w:after="0" w:line="215" w:lineRule="auto"/>
                                  <w:textDirection w:val="btLr"/>
                                </w:pPr>
                                <w:r>
                                  <w:rPr>
                                    <w:rFonts w:ascii="Times New Roman" w:eastAsia="Times New Roman" w:hAnsi="Times New Roman" w:cs="Times New Roman"/>
                                    <w:color w:val="000000"/>
                                    <w:sz w:val="28"/>
                                  </w:rPr>
                                  <w:t>Негосударственный сектор</w:t>
                                </w:r>
                              </w:p>
                            </w:txbxContent>
                          </wps:txbx>
                          <wps:bodyPr spcFirstLastPara="1" wrap="square" lIns="264575" tIns="53325" rIns="99550" bIns="53325" anchor="ctr" anchorCtr="0">
                            <a:noAutofit/>
                          </wps:bodyPr>
                        </wps:wsp>
                        <wps:wsp>
                          <wps:cNvPr id="213" name="Овал 213"/>
                          <wps:cNvSpPr/>
                          <wps:spPr>
                            <a:xfrm>
                              <a:off x="631714" y="780435"/>
                              <a:ext cx="600033" cy="600033"/>
                            </a:xfrm>
                            <a:prstGeom prst="ellipse">
                              <a:avLst/>
                            </a:prstGeom>
                            <a:blipFill rotWithShape="1">
                              <a:blip r:embed="rId90">
                                <a:alphaModFix/>
                              </a:blip>
                              <a:stretch>
                                <a:fillRect l="-50994" r="-50996"/>
                              </a:stretch>
                            </a:blip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14" name="Пятиугольник 214"/>
                          <wps:cNvSpPr/>
                          <wps:spPr>
                            <a:xfrm rot="10800000">
                              <a:off x="931731" y="1559583"/>
                              <a:ext cx="3103556" cy="600033"/>
                            </a:xfrm>
                            <a:prstGeom prst="homePlate">
                              <a:avLst>
                                <a:gd name="adj" fmla="val 50000"/>
                              </a:avLst>
                            </a:prstGeom>
                            <a:noFill/>
                            <a:ln w="12700" cap="flat" cmpd="sng">
                              <a:solidFill>
                                <a:schemeClr val="accen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15" name="Надпись 215"/>
                          <wps:cNvSpPr txBox="1"/>
                          <wps:spPr>
                            <a:xfrm>
                              <a:off x="1081739" y="1559583"/>
                              <a:ext cx="2953548" cy="600033"/>
                            </a:xfrm>
                            <a:prstGeom prst="rect">
                              <a:avLst/>
                            </a:prstGeom>
                            <a:noFill/>
                            <a:ln>
                              <a:noFill/>
                            </a:ln>
                          </wps:spPr>
                          <wps:txbx>
                            <w:txbxContent>
                              <w:p w:rsidR="00D06B63" w:rsidRDefault="00D06B63" w:rsidP="00EA72C7">
                                <w:pPr>
                                  <w:spacing w:after="0" w:line="215" w:lineRule="auto"/>
                                  <w:textDirection w:val="btLr"/>
                                </w:pPr>
                                <w:r>
                                  <w:rPr>
                                    <w:rFonts w:ascii="Times New Roman" w:eastAsia="Times New Roman" w:hAnsi="Times New Roman" w:cs="Times New Roman"/>
                                    <w:color w:val="000000"/>
                                    <w:sz w:val="28"/>
                                  </w:rPr>
                                  <w:t>Образовательные учреждения и академические круги</w:t>
                                </w:r>
                              </w:p>
                            </w:txbxContent>
                          </wps:txbx>
                          <wps:bodyPr spcFirstLastPara="1" wrap="square" lIns="264575" tIns="53325" rIns="99550" bIns="53325" anchor="ctr" anchorCtr="0">
                            <a:noAutofit/>
                          </wps:bodyPr>
                        </wps:wsp>
                        <wps:wsp>
                          <wps:cNvPr id="216" name="Овал 216"/>
                          <wps:cNvSpPr/>
                          <wps:spPr>
                            <a:xfrm>
                              <a:off x="631714" y="1559583"/>
                              <a:ext cx="600033" cy="600033"/>
                            </a:xfrm>
                            <a:prstGeom prst="ellipse">
                              <a:avLst/>
                            </a:prstGeom>
                            <a:blipFill rotWithShape="1">
                              <a:blip r:embed="rId91">
                                <a:alphaModFix/>
                              </a:blip>
                              <a:stretch>
                                <a:fillRect l="-25997" r="-25998"/>
                              </a:stretch>
                            </a:blip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xmlns:w16se="http://schemas.microsoft.com/office/word/2015/wordml/symex" xmlns:cx="http://schemas.microsoft.com/office/drawing/2014/chartex">
            <w:pict>
              <v:group w14:anchorId="237FB906" id="Группа 205" o:spid="_x0000_s1193" style="width:367.5pt;height:170.15pt;mso-position-horizontal-relative:char;mso-position-vertical-relative:line" coordsize="46670,216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">
                <v:group id="Группа 206" o:spid="_x0000_s1194" style="position:absolute;width:46670;height:21609" coordsize="46670,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Прямоугольник 207" o:spid="_x0000_s1195" style="position:absolute;width:46670;height:21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" filled="f" stroked="f">
                    <v:textbox inset="2.53958mm,2.53958mm,2.53958mm,2.53958mm">
                      <w:txbxContent>
                        <w:p w:rsidR="00D06B63" w:rsidRDefault="00D06B63" w:rsidP="00EA72C7">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208" o:spid="_x0000_s1196" type="#_x0000_t15" style="position:absolute;left:9317;top:12;width:31035;height:6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" adj="19512" filled="f" strokecolor="#5b9bd5 [3204]" strokeweight="1pt">
                    <v:stroke startarrowwidth="narrow" startarrowlength="short" endarrowwidth="narrow" endarrowlength="short"/>
                    <v:textbox inset="2.53958mm,2.53958mm,2.53958mm,2.53958mm">
                      <w:txbxContent>
                        <w:p w:rsidR="00D06B63" w:rsidRDefault="00D06B63" w:rsidP="00EA72C7">
                          <w:pPr>
                            <w:spacing w:after="0" w:line="240" w:lineRule="auto"/>
                            <w:textDirection w:val="btLr"/>
                          </w:pPr>
                        </w:p>
                      </w:txbxContent>
                    </v:textbox>
                  </v:shape>
                  <v:shape id="Надпись 209" o:spid="_x0000_s1197" type="#_x0000_t202" style="position:absolute;left:10817;top:12;width:29535;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" filled="f" stroked="f">
                    <v:textbox inset="7.34931mm,1.48125mm,2.76528mm,1.48125mm">
                      <w:txbxContent>
                        <w:p w:rsidR="00D06B63" w:rsidRDefault="00D06B63" w:rsidP="00EA72C7">
                          <w:pPr>
                            <w:spacing w:after="0" w:line="215" w:lineRule="auto"/>
                            <w:textDirection w:val="btLr"/>
                          </w:pPr>
                          <w:r>
                            <w:rPr>
                              <w:rFonts w:ascii="Times New Roman" w:eastAsia="Times New Roman" w:hAnsi="Times New Roman" w:cs="Times New Roman"/>
                              <w:color w:val="000000"/>
                              <w:sz w:val="28"/>
                            </w:rPr>
                            <w:t>Госорганы и органы местного самоуправления</w:t>
                          </w:r>
                        </w:p>
                      </w:txbxContent>
                    </v:textbox>
                  </v:shape>
                  <v:oval id="Овал 210" o:spid="_x0000_s1198" style="position:absolute;left:6317;top:12;width:6000;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" strokecolor="white [3201]" strokeweight="1pt">
                    <v:fill r:id="rId92" o:title="" recolor="t" rotate="t" type="frame"/>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oval>
                  <v:shape id="Пятиугольник 211" o:spid="_x0000_s1199" type="#_x0000_t15" style="position:absolute;left:9317;top:7804;width:31035;height:6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" adj="19512" filled="f" strokecolor="#5b9bd5 [3204]" strokeweight="1pt">
                    <v:stroke startarrowwidth="narrow" startarrowlength="short" endarrowwidth="narrow" endarrowlength="short"/>
                    <v:textbox inset="2.53958mm,2.53958mm,2.53958mm,2.53958mm">
                      <w:txbxContent>
                        <w:p w:rsidR="00D06B63" w:rsidRDefault="00D06B63" w:rsidP="00EA72C7">
                          <w:pPr>
                            <w:spacing w:after="0" w:line="240" w:lineRule="auto"/>
                            <w:textDirection w:val="btLr"/>
                          </w:pPr>
                        </w:p>
                      </w:txbxContent>
                    </v:textbox>
                  </v:shape>
                  <v:shape id="Надпись 212" o:spid="_x0000_s1200" type="#_x0000_t202" style="position:absolute;left:10817;top:7804;width:29535;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" filled="f" stroked="f">
                    <v:textbox inset="7.34931mm,1.48125mm,2.76528mm,1.48125mm">
                      <w:txbxContent>
                        <w:p w:rsidR="00D06B63" w:rsidRDefault="00D06B63" w:rsidP="00EA72C7">
                          <w:pPr>
                            <w:spacing w:after="0" w:line="215" w:lineRule="auto"/>
                            <w:textDirection w:val="btLr"/>
                          </w:pPr>
                          <w:r>
                            <w:rPr>
                              <w:rFonts w:ascii="Times New Roman" w:eastAsia="Times New Roman" w:hAnsi="Times New Roman" w:cs="Times New Roman"/>
                              <w:color w:val="000000"/>
                              <w:sz w:val="28"/>
                            </w:rPr>
                            <w:t>Негосударственный сектор</w:t>
                          </w:r>
                        </w:p>
                      </w:txbxContent>
                    </v:textbox>
                  </v:shape>
                  <v:oval id="Овал 213" o:spid="_x0000_s1201" style="position:absolute;left:6317;top:7804;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" strokecolor="white [3201]" strokeweight="1pt">
                    <v:fill r:id="rId93" o:title="" recolor="t" rotate="t" type="frame"/>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oval>
                  <v:shape id="Пятиугольник 214" o:spid="_x0000_s1202" type="#_x0000_t15" style="position:absolute;left:9317;top:15595;width:31035;height:6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" adj="19512" filled="f" strokecolor="#5b9bd5 [3204]" strokeweight="1pt">
                    <v:stroke startarrowwidth="narrow" startarrowlength="short" endarrowwidth="narrow" endarrowlength="short"/>
                    <v:textbox inset="2.53958mm,2.53958mm,2.53958mm,2.53958mm">
                      <w:txbxContent>
                        <w:p w:rsidR="00D06B63" w:rsidRDefault="00D06B63" w:rsidP="00EA72C7">
                          <w:pPr>
                            <w:spacing w:after="0" w:line="240" w:lineRule="auto"/>
                            <w:textDirection w:val="btLr"/>
                          </w:pPr>
                        </w:p>
                      </w:txbxContent>
                    </v:textbox>
                  </v:shape>
                  <v:shape id="Надпись 215" o:spid="_x0000_s1203" type="#_x0000_t202" style="position:absolute;left:10817;top:15595;width:29535;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" filled="f" stroked="f">
                    <v:textbox inset="7.34931mm,1.48125mm,2.76528mm,1.48125mm">
                      <w:txbxContent>
                        <w:p w:rsidR="00D06B63" w:rsidRDefault="00D06B63" w:rsidP="00EA72C7">
                          <w:pPr>
                            <w:spacing w:after="0" w:line="215" w:lineRule="auto"/>
                            <w:textDirection w:val="btLr"/>
                          </w:pPr>
                          <w:r>
                            <w:rPr>
                              <w:rFonts w:ascii="Times New Roman" w:eastAsia="Times New Roman" w:hAnsi="Times New Roman" w:cs="Times New Roman"/>
                              <w:color w:val="000000"/>
                              <w:sz w:val="28"/>
                            </w:rPr>
                            <w:t>Образовательные учреждения и академические круги</w:t>
                          </w:r>
                        </w:p>
                      </w:txbxContent>
                    </v:textbox>
                  </v:shape>
                  <v:oval id="Овал 216" o:spid="_x0000_s1204" style="position:absolute;left:6317;top:15595;width:6000;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" strokecolor="white [3201]" strokeweight="1pt">
                    <v:fill r:id="rId94" o:title="" recolor="t" rotate="t" type="frame"/>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oval>
                </v:group>
                <w10:anchorlock/>
              </v:group>
            </w:pict>
          </mc:Fallback>
        </mc:AlternateContent>
      </w:r>
      <w:r>
        <w:t xml:space="preserve"> </w:t>
      </w:r>
      <w:r>
        <w:rPr>
          <w:noProof/>
        </w:rPr>
        <mc:AlternateContent>
          <mc:Choice Requires="wpg">
            <w:drawing>
              <wp:anchor distT="0" distB="0" distL="114300" distR="114300" simplePos="0" relativeHeight="251665408" behindDoc="0" locked="0" layoutInCell="1" hidden="0" allowOverlap="1" wp14:anchorId="28393738" wp14:editId="36082601">
                <wp:simplePos x="0" y="0"/>
                <wp:positionH relativeFrom="column">
                  <wp:posOffset>342900</wp:posOffset>
                </wp:positionH>
                <wp:positionV relativeFrom="paragraph">
                  <wp:posOffset>0</wp:posOffset>
                </wp:positionV>
                <wp:extent cx="4072890" cy="2160905"/>
                <wp:effectExtent l="0" t="0" r="0" b="0"/>
                <wp:wrapSquare wrapText="bothSides" distT="0" distB="0" distL="114300" distR="114300"/>
                <wp:docPr id="217" name="Группа 217"/>
                <wp:cNvGraphicFramePr/>
                <a:graphic xmlns:a="http://schemas.openxmlformats.org/drawingml/2006/main">
                  <a:graphicData uri="http://schemas.microsoft.com/office/word/2010/wordprocessingGroup">
                    <wpg:wgp>
                      <wpg:cNvGrpSpPr/>
                      <wpg:grpSpPr>
                        <a:xfrm>
                          <a:off x="0" y="0"/>
                          <a:ext cx="4072890" cy="2160905"/>
                          <a:chOff x="0" y="0"/>
                          <a:chExt cx="4072875" cy="2166400"/>
                        </a:xfrm>
                      </wpg:grpSpPr>
                      <wpg:grpSp>
                        <wpg:cNvPr id="218" name="Группа 218"/>
                        <wpg:cNvGrpSpPr/>
                        <wpg:grpSpPr>
                          <a:xfrm>
                            <a:off x="0" y="0"/>
                            <a:ext cx="4072875" cy="2160900"/>
                            <a:chOff x="0" y="0"/>
                            <a:chExt cx="4072875" cy="2160900"/>
                          </a:xfrm>
                        </wpg:grpSpPr>
                        <wps:wsp>
                          <wps:cNvPr id="219" name="Прямоугольник 219"/>
                          <wps:cNvSpPr/>
                          <wps:spPr>
                            <a:xfrm>
                              <a:off x="0" y="0"/>
                              <a:ext cx="4072875" cy="2160900"/>
                            </a:xfrm>
                            <a:prstGeom prst="rect">
                              <a:avLst/>
                            </a:prstGeom>
                            <a:noFill/>
                            <a:ln>
                              <a:noFill/>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20" name="Пятиугольник 220"/>
                          <wps:cNvSpPr/>
                          <wps:spPr>
                            <a:xfrm rot="10800000">
                              <a:off x="832275" y="873"/>
                              <a:ext cx="2708471" cy="600264"/>
                            </a:xfrm>
                            <a:prstGeom prst="homePlate">
                              <a:avLst>
                                <a:gd name="adj" fmla="val 50000"/>
                              </a:avLst>
                            </a:prstGeom>
                            <a:noFill/>
                            <a:ln w="12700" cap="flat" cmpd="sng">
                              <a:solidFill>
                                <a:schemeClr val="accen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21" name="Надпись 221"/>
                          <wps:cNvSpPr txBox="1"/>
                          <wps:spPr>
                            <a:xfrm>
                              <a:off x="982341" y="873"/>
                              <a:ext cx="2558405" cy="600264"/>
                            </a:xfrm>
                            <a:prstGeom prst="rect">
                              <a:avLst/>
                            </a:prstGeom>
                            <a:noFill/>
                            <a:ln>
                              <a:noFill/>
                            </a:ln>
                          </wps:spPr>
                          <wps:txbx>
                            <w:txbxContent>
                              <w:p w:rsidR="00D06B63" w:rsidRDefault="00D06B63" w:rsidP="00EA72C7">
                                <w:pPr>
                                  <w:spacing w:after="0" w:line="215" w:lineRule="auto"/>
                                  <w:textDirection w:val="btLr"/>
                                </w:pPr>
                                <w:r>
                                  <w:rPr>
                                    <w:rFonts w:ascii="Times New Roman" w:eastAsia="Times New Roman" w:hAnsi="Times New Roman" w:cs="Times New Roman"/>
                                    <w:color w:val="000000"/>
                                    <w:sz w:val="28"/>
                                  </w:rPr>
                                  <w:t xml:space="preserve">Граждане </w:t>
                                </w:r>
                              </w:p>
                            </w:txbxContent>
                          </wps:txbx>
                          <wps:bodyPr spcFirstLastPara="1" wrap="square" lIns="264700" tIns="53325" rIns="99550" bIns="53325" anchor="ctr" anchorCtr="0">
                            <a:noAutofit/>
                          </wps:bodyPr>
                        </wps:wsp>
                        <wps:wsp>
                          <wps:cNvPr id="222" name="Овал 222"/>
                          <wps:cNvSpPr/>
                          <wps:spPr>
                            <a:xfrm>
                              <a:off x="532143" y="873"/>
                              <a:ext cx="600264" cy="600264"/>
                            </a:xfrm>
                            <a:prstGeom prst="ellipse">
                              <a:avLst/>
                            </a:prstGeom>
                            <a:blipFill rotWithShape="1">
                              <a:blip r:embed="rId95">
                                <a:alphaModFix/>
                              </a:blip>
                              <a:stretch>
                                <a:fillRect l="-19998" r="-19998"/>
                              </a:stretch>
                            </a:blip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23" name="Пятиугольник 223"/>
                          <wps:cNvSpPr/>
                          <wps:spPr>
                            <a:xfrm rot="10800000">
                              <a:off x="832275" y="780320"/>
                              <a:ext cx="2708471" cy="600264"/>
                            </a:xfrm>
                            <a:prstGeom prst="homePlate">
                              <a:avLst>
                                <a:gd name="adj" fmla="val 50000"/>
                              </a:avLst>
                            </a:prstGeom>
                            <a:noFill/>
                            <a:ln w="12700" cap="flat" cmpd="sng">
                              <a:solidFill>
                                <a:schemeClr val="accen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24" name="Надпись 224"/>
                          <wps:cNvSpPr txBox="1"/>
                          <wps:spPr>
                            <a:xfrm>
                              <a:off x="982341" y="780320"/>
                              <a:ext cx="2558405" cy="600264"/>
                            </a:xfrm>
                            <a:prstGeom prst="rect">
                              <a:avLst/>
                            </a:prstGeom>
                            <a:noFill/>
                            <a:ln>
                              <a:noFill/>
                            </a:ln>
                          </wps:spPr>
                          <wps:txbx>
                            <w:txbxContent>
                              <w:p w:rsidR="00D06B63" w:rsidRDefault="00D06B63" w:rsidP="00EA72C7">
                                <w:pPr>
                                  <w:spacing w:after="0" w:line="215" w:lineRule="auto"/>
                                  <w:textDirection w:val="btLr"/>
                                </w:pPr>
                                <w:r>
                                  <w:rPr>
                                    <w:rFonts w:ascii="Times New Roman" w:eastAsia="Times New Roman" w:hAnsi="Times New Roman" w:cs="Times New Roman"/>
                                    <w:color w:val="000000"/>
                                    <w:sz w:val="28"/>
                                  </w:rPr>
                                  <w:t xml:space="preserve"> Международные организации</w:t>
                                </w:r>
                              </w:p>
                            </w:txbxContent>
                          </wps:txbx>
                          <wps:bodyPr spcFirstLastPara="1" wrap="square" lIns="264700" tIns="53325" rIns="99550" bIns="53325" anchor="ctr" anchorCtr="0">
                            <a:noAutofit/>
                          </wps:bodyPr>
                        </wps:wsp>
                        <wps:wsp>
                          <wps:cNvPr id="225" name="Овал 225"/>
                          <wps:cNvSpPr/>
                          <wps:spPr>
                            <a:xfrm>
                              <a:off x="532143" y="780320"/>
                              <a:ext cx="600264" cy="600264"/>
                            </a:xfrm>
                            <a:prstGeom prst="ellipse">
                              <a:avLst/>
                            </a:prstGeom>
                            <a:blipFill rotWithShape="1">
                              <a:blip r:embed="rId96">
                                <a:alphaModFix/>
                              </a:blip>
                              <a:stretch>
                                <a:fillRect/>
                              </a:stretch>
                            </a:blip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26" name="Пятиугольник 226"/>
                          <wps:cNvSpPr/>
                          <wps:spPr>
                            <a:xfrm rot="10800000">
                              <a:off x="832275" y="1559767"/>
                              <a:ext cx="2708471" cy="600264"/>
                            </a:xfrm>
                            <a:prstGeom prst="homePlate">
                              <a:avLst>
                                <a:gd name="adj" fmla="val 50000"/>
                              </a:avLst>
                            </a:prstGeom>
                            <a:noFill/>
                            <a:ln w="12700" cap="flat" cmpd="sng">
                              <a:solidFill>
                                <a:schemeClr val="accen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27" name="Надпись 227"/>
                          <wps:cNvSpPr txBox="1"/>
                          <wps:spPr>
                            <a:xfrm>
                              <a:off x="982341" y="1559767"/>
                              <a:ext cx="2558405" cy="600264"/>
                            </a:xfrm>
                            <a:prstGeom prst="rect">
                              <a:avLst/>
                            </a:prstGeom>
                            <a:noFill/>
                            <a:ln>
                              <a:noFill/>
                            </a:ln>
                          </wps:spPr>
                          <wps:txbx>
                            <w:txbxContent>
                              <w:p w:rsidR="00D06B63" w:rsidRDefault="00D06B63" w:rsidP="00EA72C7">
                                <w:pPr>
                                  <w:spacing w:after="0" w:line="215" w:lineRule="auto"/>
                                  <w:textDirection w:val="btLr"/>
                                </w:pPr>
                                <w:r>
                                  <w:rPr>
                                    <w:rFonts w:ascii="Times New Roman" w:eastAsia="Times New Roman" w:hAnsi="Times New Roman" w:cs="Times New Roman"/>
                                    <w:color w:val="000000"/>
                                    <w:sz w:val="28"/>
                                  </w:rPr>
                                  <w:t xml:space="preserve"> СМИ</w:t>
                                </w:r>
                              </w:p>
                            </w:txbxContent>
                          </wps:txbx>
                          <wps:bodyPr spcFirstLastPara="1" wrap="square" lIns="264700" tIns="53325" rIns="99550" bIns="53325" anchor="ctr" anchorCtr="0">
                            <a:noAutofit/>
                          </wps:bodyPr>
                        </wps:wsp>
                        <wps:wsp>
                          <wps:cNvPr id="228" name="Овал 228"/>
                          <wps:cNvSpPr/>
                          <wps:spPr>
                            <a:xfrm>
                              <a:off x="532143" y="1559767"/>
                              <a:ext cx="600264" cy="600264"/>
                            </a:xfrm>
                            <a:prstGeom prst="ellipse">
                              <a:avLst/>
                            </a:prstGeom>
                            <a:blipFill rotWithShape="1">
                              <a:blip r:embed="rId97">
                                <a:alphaModFix/>
                              </a:blip>
                              <a:stretch>
                                <a:fillRect/>
                              </a:stretch>
                            </a:blip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w16se="http://schemas.microsoft.com/office/word/2015/wordml/symex" xmlns:cx="http://schemas.microsoft.com/office/drawing/2014/chartex">
            <w:pict>
              <v:group w14:anchorId="28393738" id="Группа 217" o:spid="_x0000_s1205" style="position:absolute;left:0;text-align:left;margin-left:27pt;margin-top:0;width:320.7pt;height:170.15pt;z-index:251665408;mso-position-horizontal-relative:text;mso-position-vertical-relative:text" coordsize="40728,216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">
                <v:group id="Группа 218" o:spid="_x0000_s1206" style="position:absolute;width:40728;height:21609" coordsize="40728,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ect id="Прямоугольник 219" o:spid="_x0000_s1207" style="position:absolute;width:40728;height:21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" filled="f" stroked="f">
                    <v:textbox inset="2.53958mm,2.53958mm,2.53958mm,2.53958mm">
                      <w:txbxContent>
                        <w:p w:rsidR="00D06B63" w:rsidRDefault="00D06B63" w:rsidP="00EA72C7">
                          <w:pPr>
                            <w:spacing w:after="0" w:line="240" w:lineRule="auto"/>
                            <w:textDirection w:val="btLr"/>
                          </w:pPr>
                        </w:p>
                      </w:txbxContent>
                    </v:textbox>
                  </v:rect>
                  <v:shape id="Пятиугольник 220" o:spid="_x0000_s1208" type="#_x0000_t15" style="position:absolute;left:8322;top:8;width:27085;height:600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" adj="19206" filled="f" strokecolor="#5b9bd5 [3204]" strokeweight="1pt">
                    <v:stroke startarrowwidth="narrow" startarrowlength="short" endarrowwidth="narrow" endarrowlength="short"/>
                    <v:textbox inset="2.53958mm,2.53958mm,2.53958mm,2.53958mm">
                      <w:txbxContent>
                        <w:p w:rsidR="00D06B63" w:rsidRDefault="00D06B63" w:rsidP="00EA72C7">
                          <w:pPr>
                            <w:spacing w:after="0" w:line="240" w:lineRule="auto"/>
                            <w:textDirection w:val="btLr"/>
                          </w:pPr>
                        </w:p>
                      </w:txbxContent>
                    </v:textbox>
                  </v:shape>
                  <v:shape id="Надпись 221" o:spid="_x0000_s1209" type="#_x0000_t202" style="position:absolute;left:9823;top:8;width:25584;height:6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" filled="f" stroked="f">
                    <v:textbox inset="7.35278mm,1.48125mm,2.76528mm,1.48125mm">
                      <w:txbxContent>
                        <w:p w:rsidR="00D06B63" w:rsidRDefault="00D06B63" w:rsidP="00EA72C7">
                          <w:pPr>
                            <w:spacing w:after="0" w:line="215" w:lineRule="auto"/>
                            <w:textDirection w:val="btLr"/>
                          </w:pPr>
                          <w:r>
                            <w:rPr>
                              <w:rFonts w:ascii="Times New Roman" w:eastAsia="Times New Roman" w:hAnsi="Times New Roman" w:cs="Times New Roman"/>
                              <w:color w:val="000000"/>
                              <w:sz w:val="28"/>
                            </w:rPr>
                            <w:t xml:space="preserve">Граждане </w:t>
                          </w:r>
                        </w:p>
                      </w:txbxContent>
                    </v:textbox>
                  </v:shape>
                  <v:oval id="Овал 222" o:spid="_x0000_s1210" style="position:absolute;left:5321;top:8;width:6003;height:6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" strokecolor="white [3201]" strokeweight="1pt">
                    <v:fill r:id="rId98" o:title="" recolor="t" rotate="t" type="frame"/>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oval>
                  <v:shape id="Пятиугольник 223" o:spid="_x0000_s1211" type="#_x0000_t15" style="position:absolute;left:8322;top:7803;width:27085;height:60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" adj="19206" filled="f" strokecolor="#5b9bd5 [3204]" strokeweight="1pt">
                    <v:stroke startarrowwidth="narrow" startarrowlength="short" endarrowwidth="narrow" endarrowlength="short"/>
                    <v:textbox inset="2.53958mm,2.53958mm,2.53958mm,2.53958mm">
                      <w:txbxContent>
                        <w:p w:rsidR="00D06B63" w:rsidRDefault="00D06B63" w:rsidP="00EA72C7">
                          <w:pPr>
                            <w:spacing w:after="0" w:line="240" w:lineRule="auto"/>
                            <w:textDirection w:val="btLr"/>
                          </w:pPr>
                        </w:p>
                      </w:txbxContent>
                    </v:textbox>
                  </v:shape>
                  <v:shape id="Надпись 224" o:spid="_x0000_s1212" type="#_x0000_t202" style="position:absolute;left:9823;top:7803;width:25584;height: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" filled="f" stroked="f">
                    <v:textbox inset="7.35278mm,1.48125mm,2.76528mm,1.48125mm">
                      <w:txbxContent>
                        <w:p w:rsidR="00D06B63" w:rsidRDefault="00D06B63" w:rsidP="00EA72C7">
                          <w:pPr>
                            <w:spacing w:after="0" w:line="215" w:lineRule="auto"/>
                            <w:textDirection w:val="btLr"/>
                          </w:pPr>
                          <w:r>
                            <w:rPr>
                              <w:rFonts w:ascii="Times New Roman" w:eastAsia="Times New Roman" w:hAnsi="Times New Roman" w:cs="Times New Roman"/>
                              <w:color w:val="000000"/>
                              <w:sz w:val="28"/>
                            </w:rPr>
                            <w:t xml:space="preserve"> Международные организации</w:t>
                          </w:r>
                        </w:p>
                      </w:txbxContent>
                    </v:textbox>
                  </v:shape>
                  <v:oval id="Овал 225" o:spid="_x0000_s1213" style="position:absolute;left:5321;top:7803;width:6003;height: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" strokecolor="white [3201]" strokeweight="1pt">
                    <v:fill r:id="rId99" o:title="" recolor="t" rotate="t" type="frame"/>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oval>
                  <v:shape id="Пятиугольник 226" o:spid="_x0000_s1214" type="#_x0000_t15" style="position:absolute;left:8322;top:15597;width:27085;height:600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" adj="19206" filled="f" strokecolor="#5b9bd5 [3204]" strokeweight="1pt">
                    <v:stroke startarrowwidth="narrow" startarrowlength="short" endarrowwidth="narrow" endarrowlength="short"/>
                    <v:textbox inset="2.53958mm,2.53958mm,2.53958mm,2.53958mm">
                      <w:txbxContent>
                        <w:p w:rsidR="00D06B63" w:rsidRDefault="00D06B63" w:rsidP="00EA72C7">
                          <w:pPr>
                            <w:spacing w:after="0" w:line="240" w:lineRule="auto"/>
                            <w:textDirection w:val="btLr"/>
                          </w:pPr>
                        </w:p>
                      </w:txbxContent>
                    </v:textbox>
                  </v:shape>
                  <v:shape id="Надпись 227" o:spid="_x0000_s1215" type="#_x0000_t202" style="position:absolute;left:9823;top:15597;width:25584;height:6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" filled="f" stroked="f">
                    <v:textbox inset="7.35278mm,1.48125mm,2.76528mm,1.48125mm">
                      <w:txbxContent>
                        <w:p w:rsidR="00D06B63" w:rsidRDefault="00D06B63" w:rsidP="00EA72C7">
                          <w:pPr>
                            <w:spacing w:after="0" w:line="215" w:lineRule="auto"/>
                            <w:textDirection w:val="btLr"/>
                          </w:pPr>
                          <w:r>
                            <w:rPr>
                              <w:rFonts w:ascii="Times New Roman" w:eastAsia="Times New Roman" w:hAnsi="Times New Roman" w:cs="Times New Roman"/>
                              <w:color w:val="000000"/>
                              <w:sz w:val="28"/>
                            </w:rPr>
                            <w:t xml:space="preserve"> СМИ</w:t>
                          </w:r>
                        </w:p>
                      </w:txbxContent>
                    </v:textbox>
                  </v:shape>
                  <v:oval id="Овал 228" o:spid="_x0000_s1216" style="position:absolute;left:5321;top:15597;width:6003;height:6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" strokecolor="white [3201]" strokeweight="1pt">
                    <v:fill r:id="rId100" o:title="" recolor="t" rotate="t" type="frame"/>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oval>
                </v:group>
                <w10:wrap type="square"/>
              </v:group>
            </w:pict>
          </mc:Fallback>
        </mc:AlternateContent>
      </w: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К.1 – Целевые группы</w:t>
      </w:r>
    </w:p>
    <w:p w:rsidR="00EA72C7" w:rsidRDefault="00EA72C7" w:rsidP="00EA72C7">
      <w:pPr>
        <w:pStyle w:val="2"/>
        <w:spacing w:before="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Л</w:t>
      </w:r>
    </w:p>
    <w:p w:rsidR="00EA72C7" w:rsidRDefault="00EA72C7" w:rsidP="00EA72C7">
      <w:pPr>
        <w:pStyle w:val="2"/>
        <w:spacing w:before="0" w:line="240" w:lineRule="auto"/>
        <w:rPr>
          <w:rFonts w:ascii="Times New Roman" w:eastAsia="Times New Roman" w:hAnsi="Times New Roman" w:cs="Times New Roman"/>
          <w:color w:val="000000"/>
          <w:sz w:val="28"/>
          <w:szCs w:val="28"/>
        </w:rPr>
      </w:pPr>
    </w:p>
    <w:p w:rsidR="00EA72C7" w:rsidRDefault="00EA72C7" w:rsidP="00EA72C7">
      <w:pPr>
        <w:pStyle w:val="2"/>
        <w:spacing w:before="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 </w:t>
      </w:r>
    </w:p>
    <w:p w:rsidR="00EA72C7" w:rsidRDefault="00EA72C7" w:rsidP="00EA72C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4"/>
          <w:szCs w:val="24"/>
        </w:rPr>
        <mc:AlternateContent>
          <mc:Choice Requires="wpg">
            <w:drawing>
              <wp:inline distT="0" distB="0" distL="0" distR="0" wp14:anchorId="71A6B2DA" wp14:editId="232841C5">
                <wp:extent cx="9251950" cy="4370070"/>
                <wp:effectExtent l="0" t="0" r="0" b="0"/>
                <wp:docPr id="229" name="Группа 229"/>
                <wp:cNvGraphicFramePr/>
                <a:graphic xmlns:a="http://schemas.openxmlformats.org/drawingml/2006/main">
                  <a:graphicData uri="http://schemas.microsoft.com/office/word/2010/wordprocessingGroup">
                    <wpg:wgp>
                      <wpg:cNvGrpSpPr/>
                      <wpg:grpSpPr>
                        <a:xfrm>
                          <a:off x="0" y="0"/>
                          <a:ext cx="9251950" cy="4370070"/>
                          <a:chOff x="0" y="0"/>
                          <a:chExt cx="9251950" cy="4370050"/>
                        </a:xfrm>
                      </wpg:grpSpPr>
                      <wpg:grpSp>
                        <wpg:cNvPr id="230" name="Группа 230"/>
                        <wpg:cNvGrpSpPr/>
                        <wpg:grpSpPr>
                          <a:xfrm>
                            <a:off x="0" y="0"/>
                            <a:ext cx="9251950" cy="4370050"/>
                            <a:chOff x="0" y="0"/>
                            <a:chExt cx="9251950" cy="4370050"/>
                          </a:xfrm>
                        </wpg:grpSpPr>
                        <wps:wsp>
                          <wps:cNvPr id="231" name="Прямоугольник 231"/>
                          <wps:cNvSpPr/>
                          <wps:spPr>
                            <a:xfrm>
                              <a:off x="0" y="0"/>
                              <a:ext cx="9251950" cy="4370050"/>
                            </a:xfrm>
                            <a:prstGeom prst="rect">
                              <a:avLst/>
                            </a:prstGeom>
                            <a:noFill/>
                            <a:ln>
                              <a:noFill/>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32" name="Овал 232"/>
                          <wps:cNvSpPr/>
                          <wps:spPr>
                            <a:xfrm>
                              <a:off x="3328683" y="1574766"/>
                              <a:ext cx="2324950" cy="1340568"/>
                            </a:xfrm>
                            <a:prstGeom prst="ellipse">
                              <a:avLst/>
                            </a:prstGeom>
                            <a:noFill/>
                            <a:ln w="12700" cap="flat" cmpd="sng">
                              <a:solidFill>
                                <a:schemeClr val="accen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33" name="Надпись 233"/>
                          <wps:cNvSpPr txBox="1"/>
                          <wps:spPr>
                            <a:xfrm>
                              <a:off x="3669164" y="1771088"/>
                              <a:ext cx="1643988" cy="947924"/>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i/>
                                    <w:color w:val="000000"/>
                                  </w:rPr>
                                  <w:t>Единый экологический портал</w:t>
                                </w:r>
                              </w:p>
                            </w:txbxContent>
                          </wps:txbx>
                          <wps:bodyPr spcFirstLastPara="1" wrap="square" lIns="13950" tIns="13950" rIns="13950" bIns="13950" anchor="ctr" anchorCtr="0">
                            <a:noAutofit/>
                          </wps:bodyPr>
                        </wps:wsp>
                        <wps:wsp>
                          <wps:cNvPr id="234" name="Двойная стрелка влево/вправо 234"/>
                          <wps:cNvSpPr/>
                          <wps:spPr>
                            <a:xfrm rot="-7841234">
                              <a:off x="3333154" y="1061676"/>
                              <a:ext cx="585175" cy="353560"/>
                            </a:xfrm>
                            <a:prstGeom prst="leftRightArrow">
                              <a:avLst>
                                <a:gd name="adj1" fmla="val 50000"/>
                                <a:gd name="adj2" fmla="val 50000"/>
                              </a:avLst>
                            </a:prstGeom>
                            <a:noFill/>
                            <a:ln w="9525" cap="flat" cmpd="sng">
                              <a:solidFill>
                                <a:schemeClr val="accent1"/>
                              </a:solidFill>
                              <a:prstDash val="solid"/>
                              <a:round/>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35" name="Надпись 235"/>
                          <wps:cNvSpPr txBox="1"/>
                          <wps:spPr>
                            <a:xfrm rot="2958766">
                              <a:off x="3420762" y="1172603"/>
                              <a:ext cx="479107" cy="212136"/>
                            </a:xfrm>
                            <a:prstGeom prst="rect">
                              <a:avLst/>
                            </a:prstGeom>
                            <a:noFill/>
                            <a:ln>
                              <a:noFill/>
                            </a:ln>
                          </wps:spPr>
                          <wps:txbx>
                            <w:txbxContent>
                              <w:p w:rsidR="00D06B63" w:rsidRDefault="00D06B63" w:rsidP="00EA72C7">
                                <w:pPr>
                                  <w:spacing w:after="0" w:line="215" w:lineRule="auto"/>
                                  <w:jc w:val="center"/>
                                  <w:textDirection w:val="btLr"/>
                                </w:pPr>
                              </w:p>
                            </w:txbxContent>
                          </wps:txbx>
                          <wps:bodyPr spcFirstLastPara="1" wrap="square" lIns="0" tIns="0" rIns="0" bIns="0" anchor="ctr" anchorCtr="0">
                            <a:noAutofit/>
                          </wps:bodyPr>
                        </wps:wsp>
                        <wps:wsp>
                          <wps:cNvPr id="236" name="Скругленный прямоугольник 236"/>
                          <wps:cNvSpPr/>
                          <wps:spPr>
                            <a:xfrm>
                              <a:off x="1824416" y="119616"/>
                              <a:ext cx="2279967" cy="699226"/>
                            </a:xfrm>
                            <a:prstGeom prst="roundRect">
                              <a:avLst>
                                <a:gd name="adj" fmla="val 16667"/>
                              </a:avLst>
                            </a:prstGeom>
                            <a:noFill/>
                            <a:ln w="12700" cap="flat" cmpd="sng">
                              <a:solidFill>
                                <a:schemeClr val="accen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37" name="Надпись 237"/>
                          <wps:cNvSpPr txBox="1"/>
                          <wps:spPr>
                            <a:xfrm>
                              <a:off x="1858549" y="153749"/>
                              <a:ext cx="2211701" cy="630960"/>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4"/>
                                  </w:rPr>
                                  <w:t>Министерство национальной экономики</w:t>
                                </w:r>
                              </w:p>
                            </w:txbxContent>
                          </wps:txbx>
                          <wps:bodyPr spcFirstLastPara="1" wrap="square" lIns="15225" tIns="15225" rIns="15225" bIns="15225" anchor="ctr" anchorCtr="0">
                            <a:noAutofit/>
                          </wps:bodyPr>
                        </wps:wsp>
                        <wps:wsp>
                          <wps:cNvPr id="238" name="Двойная стрелка влево/вправо 238"/>
                          <wps:cNvSpPr/>
                          <wps:spPr>
                            <a:xfrm rot="-841535">
                              <a:off x="5881183" y="1616899"/>
                              <a:ext cx="833776" cy="353560"/>
                            </a:xfrm>
                            <a:prstGeom prst="leftRightArrow">
                              <a:avLst>
                                <a:gd name="adj1" fmla="val 50000"/>
                                <a:gd name="adj2" fmla="val 50000"/>
                              </a:avLst>
                            </a:prstGeom>
                            <a:noFill/>
                            <a:ln w="9525" cap="flat" cmpd="sng">
                              <a:solidFill>
                                <a:schemeClr val="accent1"/>
                              </a:solidFill>
                              <a:prstDash val="solid"/>
                              <a:round/>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39" name="Надпись 239"/>
                          <wps:cNvSpPr txBox="1"/>
                          <wps:spPr>
                            <a:xfrm rot="-841535">
                              <a:off x="5882764" y="1700464"/>
                              <a:ext cx="727708" cy="212136"/>
                            </a:xfrm>
                            <a:prstGeom prst="rect">
                              <a:avLst/>
                            </a:prstGeom>
                            <a:noFill/>
                            <a:ln>
                              <a:noFill/>
                            </a:ln>
                          </wps:spPr>
                          <wps:txbx>
                            <w:txbxContent>
                              <w:p w:rsidR="00D06B63" w:rsidRDefault="00D06B63" w:rsidP="00EA72C7">
                                <w:pPr>
                                  <w:spacing w:after="0" w:line="215" w:lineRule="auto"/>
                                  <w:jc w:val="center"/>
                                  <w:textDirection w:val="btLr"/>
                                </w:pPr>
                              </w:p>
                            </w:txbxContent>
                          </wps:txbx>
                          <wps:bodyPr spcFirstLastPara="1" wrap="square" lIns="0" tIns="0" rIns="0" bIns="0" anchor="ctr" anchorCtr="0">
                            <a:noAutofit/>
                          </wps:bodyPr>
                        </wps:wsp>
                        <wps:wsp>
                          <wps:cNvPr id="240" name="Скругленный прямоугольник 240"/>
                          <wps:cNvSpPr/>
                          <wps:spPr>
                            <a:xfrm>
                              <a:off x="6830005" y="977254"/>
                              <a:ext cx="2399470" cy="767700"/>
                            </a:xfrm>
                            <a:prstGeom prst="roundRect">
                              <a:avLst>
                                <a:gd name="adj" fmla="val 16667"/>
                              </a:avLst>
                            </a:prstGeom>
                            <a:noFill/>
                            <a:ln w="12700" cap="flat" cmpd="sng">
                              <a:solidFill>
                                <a:schemeClr val="accen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41" name="Надпись 241"/>
                          <wps:cNvSpPr txBox="1"/>
                          <wps:spPr>
                            <a:xfrm>
                              <a:off x="6867481" y="1014730"/>
                              <a:ext cx="2324518" cy="692748"/>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4"/>
                                  </w:rPr>
                                  <w:t>Министерство индустрии и инфраструктурного развития</w:t>
                                </w:r>
                              </w:p>
                            </w:txbxContent>
                          </wps:txbx>
                          <wps:bodyPr spcFirstLastPara="1" wrap="square" lIns="15225" tIns="15225" rIns="15225" bIns="15225" anchor="ctr" anchorCtr="0">
                            <a:noAutofit/>
                          </wps:bodyPr>
                        </wps:wsp>
                        <wps:wsp>
                          <wps:cNvPr id="242" name="Двойная стрелка влево/вправо 242"/>
                          <wps:cNvSpPr/>
                          <wps:spPr>
                            <a:xfrm rot="-2587301">
                              <a:off x="5212354" y="1081369"/>
                              <a:ext cx="665260" cy="353560"/>
                            </a:xfrm>
                            <a:prstGeom prst="leftRightArrow">
                              <a:avLst>
                                <a:gd name="adj1" fmla="val 50000"/>
                                <a:gd name="adj2" fmla="val 50000"/>
                              </a:avLst>
                            </a:prstGeom>
                            <a:noFill/>
                            <a:ln w="9525" cap="flat" cmpd="sng">
                              <a:solidFill>
                                <a:schemeClr val="accent1"/>
                              </a:solidFill>
                              <a:prstDash val="solid"/>
                              <a:round/>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43" name="Надпись 243"/>
                          <wps:cNvSpPr txBox="1"/>
                          <wps:spPr>
                            <a:xfrm rot="-2587301">
                              <a:off x="5226678" y="1188332"/>
                              <a:ext cx="559192" cy="212136"/>
                            </a:xfrm>
                            <a:prstGeom prst="rect">
                              <a:avLst/>
                            </a:prstGeom>
                            <a:noFill/>
                            <a:ln>
                              <a:noFill/>
                            </a:ln>
                          </wps:spPr>
                          <wps:txbx>
                            <w:txbxContent>
                              <w:p w:rsidR="00D06B63" w:rsidRDefault="00D06B63" w:rsidP="00EA72C7">
                                <w:pPr>
                                  <w:spacing w:after="0" w:line="215" w:lineRule="auto"/>
                                  <w:jc w:val="center"/>
                                  <w:textDirection w:val="btLr"/>
                                </w:pPr>
                              </w:p>
                            </w:txbxContent>
                          </wps:txbx>
                          <wps:bodyPr spcFirstLastPara="1" wrap="square" lIns="0" tIns="0" rIns="0" bIns="0" anchor="ctr" anchorCtr="0">
                            <a:noAutofit/>
                          </wps:bodyPr>
                        </wps:wsp>
                        <wps:wsp>
                          <wps:cNvPr id="244" name="Скругленный прямоугольник 244"/>
                          <wps:cNvSpPr/>
                          <wps:spPr>
                            <a:xfrm>
                              <a:off x="5174345" y="114791"/>
                              <a:ext cx="2416025" cy="718327"/>
                            </a:xfrm>
                            <a:prstGeom prst="roundRect">
                              <a:avLst>
                                <a:gd name="adj" fmla="val 16667"/>
                              </a:avLst>
                            </a:prstGeom>
                            <a:noFill/>
                            <a:ln w="12700" cap="flat" cmpd="sng">
                              <a:solidFill>
                                <a:schemeClr val="accen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45" name="Надпись 245"/>
                          <wps:cNvSpPr txBox="1"/>
                          <wps:spPr>
                            <a:xfrm>
                              <a:off x="5209411" y="149857"/>
                              <a:ext cx="2345893" cy="648195"/>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4"/>
                                  </w:rPr>
                                  <w:t>Министерство здравоохранения</w:t>
                                </w:r>
                              </w:p>
                            </w:txbxContent>
                          </wps:txbx>
                          <wps:bodyPr spcFirstLastPara="1" wrap="square" lIns="15225" tIns="15225" rIns="15225" bIns="15225" anchor="ctr" anchorCtr="0">
                            <a:noAutofit/>
                          </wps:bodyPr>
                        </wps:wsp>
                        <wps:wsp>
                          <wps:cNvPr id="246" name="Двойная стрелка влево/вправо 246"/>
                          <wps:cNvSpPr/>
                          <wps:spPr>
                            <a:xfrm rot="640986">
                              <a:off x="5908108" y="2409310"/>
                              <a:ext cx="781755" cy="353560"/>
                            </a:xfrm>
                            <a:prstGeom prst="leftRightArrow">
                              <a:avLst>
                                <a:gd name="adj1" fmla="val 50000"/>
                                <a:gd name="adj2" fmla="val 50000"/>
                              </a:avLst>
                            </a:prstGeom>
                            <a:noFill/>
                            <a:ln w="9525" cap="flat" cmpd="sng">
                              <a:solidFill>
                                <a:schemeClr val="accent1"/>
                              </a:solidFill>
                              <a:prstDash val="solid"/>
                              <a:round/>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47" name="Надпись 247"/>
                          <wps:cNvSpPr txBox="1"/>
                          <wps:spPr>
                            <a:xfrm rot="640986">
                              <a:off x="5909027" y="2470191"/>
                              <a:ext cx="675687" cy="212136"/>
                            </a:xfrm>
                            <a:prstGeom prst="rect">
                              <a:avLst/>
                            </a:prstGeom>
                            <a:noFill/>
                            <a:ln>
                              <a:noFill/>
                            </a:ln>
                          </wps:spPr>
                          <wps:txbx>
                            <w:txbxContent>
                              <w:p w:rsidR="00D06B63" w:rsidRDefault="00D06B63" w:rsidP="00EA72C7">
                                <w:pPr>
                                  <w:spacing w:after="0" w:line="215" w:lineRule="auto"/>
                                  <w:jc w:val="center"/>
                                  <w:textDirection w:val="btLr"/>
                                </w:pPr>
                              </w:p>
                            </w:txbxContent>
                          </wps:txbx>
                          <wps:bodyPr spcFirstLastPara="1" wrap="square" lIns="0" tIns="0" rIns="0" bIns="0" anchor="ctr" anchorCtr="0">
                            <a:noAutofit/>
                          </wps:bodyPr>
                        </wps:wsp>
                        <wps:wsp>
                          <wps:cNvPr id="248" name="Скругленный прямоугольник 248"/>
                          <wps:cNvSpPr/>
                          <wps:spPr>
                            <a:xfrm>
                              <a:off x="6904854" y="2516688"/>
                              <a:ext cx="2317478" cy="804579"/>
                            </a:xfrm>
                            <a:prstGeom prst="roundRect">
                              <a:avLst>
                                <a:gd name="adj" fmla="val 16667"/>
                              </a:avLst>
                            </a:prstGeom>
                            <a:noFill/>
                            <a:ln w="12700" cap="flat" cmpd="sng">
                              <a:solidFill>
                                <a:schemeClr val="accen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49" name="Надпись 249"/>
                          <wps:cNvSpPr txBox="1"/>
                          <wps:spPr>
                            <a:xfrm>
                              <a:off x="6944130" y="2555964"/>
                              <a:ext cx="2238926" cy="726027"/>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4"/>
                                  </w:rPr>
                                  <w:t xml:space="preserve">Министерства экологии, геологии и природных ресурсов </w:t>
                                </w:r>
                              </w:p>
                            </w:txbxContent>
                          </wps:txbx>
                          <wps:bodyPr spcFirstLastPara="1" wrap="square" lIns="15225" tIns="15225" rIns="15225" bIns="15225" anchor="ctr" anchorCtr="0">
                            <a:noAutofit/>
                          </wps:bodyPr>
                        </wps:wsp>
                        <wps:wsp>
                          <wps:cNvPr id="250" name="Двойная стрелка влево/вправо 250"/>
                          <wps:cNvSpPr/>
                          <wps:spPr>
                            <a:xfrm rot="2457825">
                              <a:off x="5261271" y="3025424"/>
                              <a:ext cx="664749" cy="353560"/>
                            </a:xfrm>
                            <a:prstGeom prst="leftRightArrow">
                              <a:avLst>
                                <a:gd name="adj1" fmla="val 50000"/>
                                <a:gd name="adj2" fmla="val 50000"/>
                              </a:avLst>
                            </a:prstGeom>
                            <a:noFill/>
                            <a:ln w="9525" cap="flat" cmpd="sng">
                              <a:solidFill>
                                <a:schemeClr val="accent1"/>
                              </a:solidFill>
                              <a:prstDash val="solid"/>
                              <a:round/>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51" name="Надпись 251"/>
                          <wps:cNvSpPr txBox="1"/>
                          <wps:spPr>
                            <a:xfrm rot="2457825">
                              <a:off x="5274258" y="3061368"/>
                              <a:ext cx="558681" cy="212136"/>
                            </a:xfrm>
                            <a:prstGeom prst="rect">
                              <a:avLst/>
                            </a:prstGeom>
                            <a:noFill/>
                            <a:ln>
                              <a:noFill/>
                            </a:ln>
                          </wps:spPr>
                          <wps:txbx>
                            <w:txbxContent>
                              <w:p w:rsidR="00D06B63" w:rsidRDefault="00D06B63" w:rsidP="00EA72C7">
                                <w:pPr>
                                  <w:spacing w:after="0" w:line="215" w:lineRule="auto"/>
                                  <w:jc w:val="center"/>
                                  <w:textDirection w:val="btLr"/>
                                </w:pPr>
                              </w:p>
                            </w:txbxContent>
                          </wps:txbx>
                          <wps:bodyPr spcFirstLastPara="1" wrap="square" lIns="0" tIns="0" rIns="0" bIns="0" anchor="ctr" anchorCtr="0">
                            <a:noAutofit/>
                          </wps:bodyPr>
                        </wps:wsp>
                        <wps:wsp>
                          <wps:cNvPr id="252" name="Скругленный прямоугольник 252"/>
                          <wps:cNvSpPr/>
                          <wps:spPr>
                            <a:xfrm>
                              <a:off x="5089401" y="3611332"/>
                              <a:ext cx="2763813" cy="705673"/>
                            </a:xfrm>
                            <a:prstGeom prst="roundRect">
                              <a:avLst>
                                <a:gd name="adj" fmla="val 16667"/>
                              </a:avLst>
                            </a:prstGeom>
                            <a:noFill/>
                            <a:ln w="12700" cap="flat" cmpd="sng">
                              <a:solidFill>
                                <a:schemeClr val="accen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53" name="Надпись 253"/>
                          <wps:cNvSpPr txBox="1"/>
                          <wps:spPr>
                            <a:xfrm>
                              <a:off x="5123849" y="3645780"/>
                              <a:ext cx="2694917" cy="636777"/>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4"/>
                                  </w:rPr>
                                  <w:t xml:space="preserve">Министерство по чрезвычайным ситуациям </w:t>
                                </w:r>
                              </w:p>
                            </w:txbxContent>
                          </wps:txbx>
                          <wps:bodyPr spcFirstLastPara="1" wrap="square" lIns="15225" tIns="15225" rIns="15225" bIns="15225" anchor="ctr" anchorCtr="0">
                            <a:noAutofit/>
                          </wps:bodyPr>
                        </wps:wsp>
                        <wps:wsp>
                          <wps:cNvPr id="254" name="Двойная стрелка влево/вправо 254"/>
                          <wps:cNvSpPr/>
                          <wps:spPr>
                            <a:xfrm rot="7829303">
                              <a:off x="3384346" y="3047086"/>
                              <a:ext cx="542335" cy="353560"/>
                            </a:xfrm>
                            <a:prstGeom prst="leftRightArrow">
                              <a:avLst>
                                <a:gd name="adj1" fmla="val 50000"/>
                                <a:gd name="adj2" fmla="val 50000"/>
                              </a:avLst>
                            </a:prstGeom>
                            <a:noFill/>
                            <a:ln w="9525" cap="flat" cmpd="sng">
                              <a:solidFill>
                                <a:schemeClr val="accent1"/>
                              </a:solidFill>
                              <a:prstDash val="solid"/>
                              <a:round/>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55" name="Надпись 255"/>
                          <wps:cNvSpPr txBox="1"/>
                          <wps:spPr>
                            <a:xfrm rot="-2970697">
                              <a:off x="3471815" y="3077464"/>
                              <a:ext cx="436267" cy="212136"/>
                            </a:xfrm>
                            <a:prstGeom prst="rect">
                              <a:avLst/>
                            </a:prstGeom>
                            <a:noFill/>
                            <a:ln>
                              <a:noFill/>
                            </a:ln>
                          </wps:spPr>
                          <wps:txbx>
                            <w:txbxContent>
                              <w:p w:rsidR="00D06B63" w:rsidRDefault="00D06B63" w:rsidP="00EA72C7">
                                <w:pPr>
                                  <w:spacing w:after="0" w:line="215" w:lineRule="auto"/>
                                  <w:jc w:val="center"/>
                                  <w:textDirection w:val="btLr"/>
                                </w:pPr>
                              </w:p>
                            </w:txbxContent>
                          </wps:txbx>
                          <wps:bodyPr spcFirstLastPara="1" wrap="square" lIns="0" tIns="0" rIns="0" bIns="0" anchor="ctr" anchorCtr="0">
                            <a:noAutofit/>
                          </wps:bodyPr>
                        </wps:wsp>
                        <wps:wsp>
                          <wps:cNvPr id="256" name="Скругленный прямоугольник 256"/>
                          <wps:cNvSpPr/>
                          <wps:spPr>
                            <a:xfrm>
                              <a:off x="1963088" y="3609822"/>
                              <a:ext cx="2105183" cy="727003"/>
                            </a:xfrm>
                            <a:prstGeom prst="roundRect">
                              <a:avLst>
                                <a:gd name="adj" fmla="val 16667"/>
                              </a:avLst>
                            </a:prstGeom>
                            <a:noFill/>
                            <a:ln w="12700" cap="flat" cmpd="sng">
                              <a:solidFill>
                                <a:schemeClr val="accen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57" name="Надпись 257"/>
                          <wps:cNvSpPr txBox="1"/>
                          <wps:spPr>
                            <a:xfrm>
                              <a:off x="1998577" y="3645311"/>
                              <a:ext cx="2034205" cy="656025"/>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4"/>
                                  </w:rPr>
                                  <w:t>Министерство науки и высшего образования</w:t>
                                </w:r>
                              </w:p>
                            </w:txbxContent>
                          </wps:txbx>
                          <wps:bodyPr spcFirstLastPara="1" wrap="square" lIns="15225" tIns="15225" rIns="15225" bIns="15225" anchor="ctr" anchorCtr="0">
                            <a:noAutofit/>
                          </wps:bodyPr>
                        </wps:wsp>
                        <wps:wsp>
                          <wps:cNvPr id="258" name="Двойная стрелка влево/вправо 258"/>
                          <wps:cNvSpPr/>
                          <wps:spPr>
                            <a:xfrm rot="9563820">
                              <a:off x="2054337" y="2781636"/>
                              <a:ext cx="1078484" cy="353560"/>
                            </a:xfrm>
                            <a:prstGeom prst="leftRightArrow">
                              <a:avLst>
                                <a:gd name="adj1" fmla="val 50000"/>
                                <a:gd name="adj2" fmla="val 50000"/>
                              </a:avLst>
                            </a:prstGeom>
                            <a:noFill/>
                            <a:ln w="9525" cap="flat" cmpd="sng">
                              <a:solidFill>
                                <a:schemeClr val="accent1"/>
                              </a:solidFill>
                              <a:prstDash val="solid"/>
                              <a:round/>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59" name="Надпись 259"/>
                          <wps:cNvSpPr txBox="1"/>
                          <wps:spPr>
                            <a:xfrm rot="-1236180">
                              <a:off x="2157013" y="2833686"/>
                              <a:ext cx="972416" cy="212136"/>
                            </a:xfrm>
                            <a:prstGeom prst="rect">
                              <a:avLst/>
                            </a:prstGeom>
                            <a:noFill/>
                            <a:ln>
                              <a:noFill/>
                            </a:ln>
                          </wps:spPr>
                          <wps:txbx>
                            <w:txbxContent>
                              <w:p w:rsidR="00D06B63" w:rsidRDefault="00D06B63" w:rsidP="00EA72C7">
                                <w:pPr>
                                  <w:spacing w:after="0" w:line="215" w:lineRule="auto"/>
                                  <w:jc w:val="center"/>
                                  <w:textDirection w:val="btLr"/>
                                </w:pPr>
                              </w:p>
                            </w:txbxContent>
                          </wps:txbx>
                          <wps:bodyPr spcFirstLastPara="1" wrap="square" lIns="0" tIns="0" rIns="0" bIns="0" anchor="ctr" anchorCtr="0">
                            <a:noAutofit/>
                          </wps:bodyPr>
                        </wps:wsp>
                        <wps:wsp>
                          <wps:cNvPr id="260" name="Скругленный прямоугольник 260"/>
                          <wps:cNvSpPr/>
                          <wps:spPr>
                            <a:xfrm>
                              <a:off x="275541" y="3238055"/>
                              <a:ext cx="1561199" cy="596677"/>
                            </a:xfrm>
                            <a:prstGeom prst="roundRect">
                              <a:avLst>
                                <a:gd name="adj" fmla="val 16667"/>
                              </a:avLst>
                            </a:prstGeom>
                            <a:noFill/>
                            <a:ln w="12700" cap="flat" cmpd="sng">
                              <a:solidFill>
                                <a:schemeClr val="accen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61" name="Надпись 261"/>
                          <wps:cNvSpPr txBox="1"/>
                          <wps:spPr>
                            <a:xfrm>
                              <a:off x="304668" y="3267182"/>
                              <a:ext cx="1502945" cy="538423"/>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4"/>
                                  </w:rPr>
                                  <w:t>Министерство финансов</w:t>
                                </w:r>
                              </w:p>
                            </w:txbxContent>
                          </wps:txbx>
                          <wps:bodyPr spcFirstLastPara="1" wrap="square" lIns="15225" tIns="15225" rIns="15225" bIns="15225" anchor="ctr" anchorCtr="0">
                            <a:noAutofit/>
                          </wps:bodyPr>
                        </wps:wsp>
                        <wps:wsp>
                          <wps:cNvPr id="262" name="Двойная стрелка влево/вправо 262"/>
                          <wps:cNvSpPr/>
                          <wps:spPr>
                            <a:xfrm rot="10259559">
                              <a:off x="2147068" y="2370785"/>
                              <a:ext cx="871344" cy="353560"/>
                            </a:xfrm>
                            <a:prstGeom prst="leftRightArrow">
                              <a:avLst>
                                <a:gd name="adj1" fmla="val 50000"/>
                                <a:gd name="adj2" fmla="val 50000"/>
                              </a:avLst>
                            </a:prstGeom>
                            <a:noFill/>
                            <a:ln w="9525" cap="flat" cmpd="sng">
                              <a:solidFill>
                                <a:schemeClr val="accent1"/>
                              </a:solidFill>
                              <a:prstDash val="solid"/>
                              <a:round/>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63" name="Надпись 263"/>
                          <wps:cNvSpPr txBox="1"/>
                          <wps:spPr>
                            <a:xfrm rot="-540441">
                              <a:off x="2252482" y="2433194"/>
                              <a:ext cx="765276" cy="212136"/>
                            </a:xfrm>
                            <a:prstGeom prst="rect">
                              <a:avLst/>
                            </a:prstGeom>
                            <a:noFill/>
                            <a:ln>
                              <a:noFill/>
                            </a:ln>
                          </wps:spPr>
                          <wps:txbx>
                            <w:txbxContent>
                              <w:p w:rsidR="00D06B63" w:rsidRDefault="00D06B63" w:rsidP="00EA72C7">
                                <w:pPr>
                                  <w:spacing w:after="0" w:line="215" w:lineRule="auto"/>
                                  <w:jc w:val="center"/>
                                  <w:textDirection w:val="btLr"/>
                                </w:pPr>
                              </w:p>
                            </w:txbxContent>
                          </wps:txbx>
                          <wps:bodyPr spcFirstLastPara="1" wrap="square" lIns="0" tIns="0" rIns="0" bIns="0" anchor="ctr" anchorCtr="0">
                            <a:noAutofit/>
                          </wps:bodyPr>
                        </wps:wsp>
                        <wps:wsp>
                          <wps:cNvPr id="264" name="Скругленный прямоугольник 264"/>
                          <wps:cNvSpPr/>
                          <wps:spPr>
                            <a:xfrm>
                              <a:off x="257121" y="2545044"/>
                              <a:ext cx="1574285" cy="492788"/>
                            </a:xfrm>
                            <a:prstGeom prst="roundRect">
                              <a:avLst>
                                <a:gd name="adj" fmla="val 16667"/>
                              </a:avLst>
                            </a:prstGeom>
                            <a:noFill/>
                            <a:ln w="12700" cap="flat" cmpd="sng">
                              <a:solidFill>
                                <a:schemeClr val="accen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65" name="Надпись 265"/>
                          <wps:cNvSpPr txBox="1"/>
                          <wps:spPr>
                            <a:xfrm>
                              <a:off x="281177" y="2569100"/>
                              <a:ext cx="1526173" cy="444676"/>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4"/>
                                  </w:rPr>
                                  <w:t>Министерство юстиции</w:t>
                                </w:r>
                              </w:p>
                            </w:txbxContent>
                          </wps:txbx>
                          <wps:bodyPr spcFirstLastPara="1" wrap="square" lIns="15225" tIns="15225" rIns="15225" bIns="15225" anchor="ctr" anchorCtr="0">
                            <a:noAutofit/>
                          </wps:bodyPr>
                        </wps:wsp>
                        <wps:wsp>
                          <wps:cNvPr id="266" name="Двойная стрелка влево/вправо 266"/>
                          <wps:cNvSpPr/>
                          <wps:spPr>
                            <a:xfrm rot="-10593447">
                              <a:off x="2207740" y="1954895"/>
                              <a:ext cx="797498" cy="353560"/>
                            </a:xfrm>
                            <a:prstGeom prst="leftRightArrow">
                              <a:avLst>
                                <a:gd name="adj1" fmla="val 50000"/>
                                <a:gd name="adj2" fmla="val 50000"/>
                              </a:avLst>
                            </a:prstGeom>
                            <a:noFill/>
                            <a:ln w="9525" cap="flat" cmpd="sng">
                              <a:solidFill>
                                <a:schemeClr val="accent1"/>
                              </a:solidFill>
                              <a:prstDash val="solid"/>
                              <a:round/>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67" name="Надпись 267"/>
                          <wps:cNvSpPr txBox="1"/>
                          <wps:spPr>
                            <a:xfrm rot="206553">
                              <a:off x="2313712" y="2028792"/>
                              <a:ext cx="691430" cy="212136"/>
                            </a:xfrm>
                            <a:prstGeom prst="rect">
                              <a:avLst/>
                            </a:prstGeom>
                            <a:noFill/>
                            <a:ln>
                              <a:noFill/>
                            </a:ln>
                          </wps:spPr>
                          <wps:txbx>
                            <w:txbxContent>
                              <w:p w:rsidR="00D06B63" w:rsidRDefault="00D06B63" w:rsidP="00EA72C7">
                                <w:pPr>
                                  <w:spacing w:after="0" w:line="215" w:lineRule="auto"/>
                                  <w:jc w:val="center"/>
                                  <w:textDirection w:val="btLr"/>
                                </w:pPr>
                              </w:p>
                            </w:txbxContent>
                          </wps:txbx>
                          <wps:bodyPr spcFirstLastPara="1" wrap="square" lIns="0" tIns="0" rIns="0" bIns="0" anchor="ctr" anchorCtr="0">
                            <a:noAutofit/>
                          </wps:bodyPr>
                        </wps:wsp>
                        <wps:wsp>
                          <wps:cNvPr id="268" name="Скругленный прямоугольник 268"/>
                          <wps:cNvSpPr/>
                          <wps:spPr>
                            <a:xfrm>
                              <a:off x="232471" y="1777849"/>
                              <a:ext cx="1614249" cy="519135"/>
                            </a:xfrm>
                            <a:prstGeom prst="roundRect">
                              <a:avLst>
                                <a:gd name="adj" fmla="val 16667"/>
                              </a:avLst>
                            </a:prstGeom>
                            <a:noFill/>
                            <a:ln w="12700" cap="flat" cmpd="sng">
                              <a:solidFill>
                                <a:schemeClr val="accen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69" name="Надпись 269"/>
                          <wps:cNvSpPr txBox="1"/>
                          <wps:spPr>
                            <a:xfrm>
                              <a:off x="257813" y="1803191"/>
                              <a:ext cx="1563565" cy="468451"/>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4"/>
                                  </w:rPr>
                                  <w:t>Министерство иностранных дел</w:t>
                                </w:r>
                              </w:p>
                            </w:txbxContent>
                          </wps:txbx>
                          <wps:bodyPr spcFirstLastPara="1" wrap="square" lIns="15225" tIns="15225" rIns="15225" bIns="15225" anchor="ctr" anchorCtr="0">
                            <a:noAutofit/>
                          </wps:bodyPr>
                        </wps:wsp>
                        <wps:wsp>
                          <wps:cNvPr id="270" name="Двойная стрелка влево/вправо 270"/>
                          <wps:cNvSpPr/>
                          <wps:spPr>
                            <a:xfrm rot="-9905845">
                              <a:off x="2106624" y="1561432"/>
                              <a:ext cx="960083" cy="353560"/>
                            </a:xfrm>
                            <a:prstGeom prst="leftRightArrow">
                              <a:avLst>
                                <a:gd name="adj1" fmla="val 50000"/>
                                <a:gd name="adj2" fmla="val 50000"/>
                              </a:avLst>
                            </a:prstGeom>
                            <a:noFill/>
                            <a:ln w="9525" cap="flat" cmpd="sng">
                              <a:solidFill>
                                <a:schemeClr val="accent1"/>
                              </a:solidFill>
                              <a:prstDash val="solid"/>
                              <a:round/>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71" name="Надпись 271"/>
                          <wps:cNvSpPr txBox="1"/>
                          <wps:spPr>
                            <a:xfrm rot="894155">
                              <a:off x="2210908" y="1645783"/>
                              <a:ext cx="854015" cy="212136"/>
                            </a:xfrm>
                            <a:prstGeom prst="rect">
                              <a:avLst/>
                            </a:prstGeom>
                            <a:noFill/>
                            <a:ln>
                              <a:noFill/>
                            </a:ln>
                          </wps:spPr>
                          <wps:txbx>
                            <w:txbxContent>
                              <w:p w:rsidR="00D06B63" w:rsidRDefault="00D06B63" w:rsidP="00EA72C7">
                                <w:pPr>
                                  <w:spacing w:after="0" w:line="215" w:lineRule="auto"/>
                                  <w:jc w:val="center"/>
                                  <w:textDirection w:val="btLr"/>
                                </w:pPr>
                              </w:p>
                            </w:txbxContent>
                          </wps:txbx>
                          <wps:bodyPr spcFirstLastPara="1" wrap="square" lIns="0" tIns="0" rIns="0" bIns="0" anchor="ctr" anchorCtr="0">
                            <a:noAutofit/>
                          </wps:bodyPr>
                        </wps:wsp>
                        <wps:wsp>
                          <wps:cNvPr id="272" name="Скругленный прямоугольник 272"/>
                          <wps:cNvSpPr/>
                          <wps:spPr>
                            <a:xfrm>
                              <a:off x="280813" y="1092469"/>
                              <a:ext cx="1600548" cy="490134"/>
                            </a:xfrm>
                            <a:prstGeom prst="roundRect">
                              <a:avLst>
                                <a:gd name="adj" fmla="val 16667"/>
                              </a:avLst>
                            </a:prstGeom>
                            <a:noFill/>
                            <a:ln w="12700" cap="flat" cmpd="sng">
                              <a:solidFill>
                                <a:schemeClr val="accen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73" name="Надпись 273"/>
                          <wps:cNvSpPr txBox="1"/>
                          <wps:spPr>
                            <a:xfrm>
                              <a:off x="304739" y="1116395"/>
                              <a:ext cx="1552696" cy="442282"/>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4"/>
                                  </w:rPr>
                                  <w:t>Министерство обороны</w:t>
                                </w:r>
                              </w:p>
                            </w:txbxContent>
                          </wps:txbx>
                          <wps:bodyPr spcFirstLastPara="1" wrap="square" lIns="15225" tIns="15225" rIns="15225" bIns="15225" anchor="ctr" anchorCtr="0">
                            <a:noAutofit/>
                          </wps:bodyPr>
                        </wps:wsp>
                      </wpg:grpSp>
                    </wpg:wgp>
                  </a:graphicData>
                </a:graphic>
              </wp:inline>
            </w:drawing>
          </mc:Choice>
          <mc:Fallback xmlns:w16se="http://schemas.microsoft.com/office/word/2015/wordml/symex" xmlns:cx="http://schemas.microsoft.com/office/drawing/2014/chartex">
            <w:pict>
              <v:group w14:anchorId="71A6B2DA" id="Группа 229" o:spid="_x0000_s1217" style="width:728.5pt;height:344.1pt;mso-position-horizontal-relative:char;mso-position-vertical-relative:line" coordsize="92519,4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">
                <v:group id="Группа 230" o:spid="_x0000_s1218" style="position:absolute;width:92519;height:43700" coordsize="92519,4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rect id="Прямоугольник 231" o:spid="_x0000_s1219" style="position:absolute;width:92519;height:43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" filled="f" stroked="f">
                    <v:textbox inset="2.53958mm,2.53958mm,2.53958mm,2.53958mm">
                      <w:txbxContent>
                        <w:p w:rsidR="00D06B63" w:rsidRDefault="00D06B63" w:rsidP="00EA72C7">
                          <w:pPr>
                            <w:spacing w:after="0" w:line="240" w:lineRule="auto"/>
                            <w:textDirection w:val="btLr"/>
                          </w:pPr>
                        </w:p>
                      </w:txbxContent>
                    </v:textbox>
                  </v:rect>
                  <v:oval id="Овал 232" o:spid="_x0000_s1220" style="position:absolute;left:33286;top:15747;width:23250;height:13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" filled="f" strokecolor="#5b9bd5 [3204]"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oval>
                  <v:shape id="Надпись 233" o:spid="_x0000_s1221" type="#_x0000_t202" style="position:absolute;left:36691;top:17710;width:16440;height:9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" filled="f" stroked="f">
                    <v:textbox inset=".3875mm,.3875mm,.3875mm,.3875mm">
                      <w:txbxContent>
                        <w:p w:rsidR="00D06B63" w:rsidRDefault="00D06B63" w:rsidP="00EA72C7">
                          <w:pPr>
                            <w:spacing w:after="0" w:line="215" w:lineRule="auto"/>
                            <w:jc w:val="center"/>
                            <w:textDirection w:val="btLr"/>
                          </w:pPr>
                          <w:r>
                            <w:rPr>
                              <w:rFonts w:ascii="Times New Roman" w:eastAsia="Times New Roman" w:hAnsi="Times New Roman" w:cs="Times New Roman"/>
                              <w:i/>
                              <w:color w:val="000000"/>
                            </w:rPr>
                            <w:t>Единый экологический портал</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34" o:spid="_x0000_s1222" type="#_x0000_t69" style="position:absolute;left:33331;top:10616;width:5852;height:3536;rotation:-85647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" adj="6525" filled="f" strokecolor="#5b9bd5 [3204]">
                    <v:stroke startarrowwidth="narrow" startarrowlength="short" endarrowwidth="narrow" endarrowlength="short" joinstyle="round"/>
                    <v:textbox inset="2.53958mm,2.53958mm,2.53958mm,2.53958mm">
                      <w:txbxContent>
                        <w:p w:rsidR="00D06B63" w:rsidRDefault="00D06B63" w:rsidP="00EA72C7">
                          <w:pPr>
                            <w:spacing w:after="0" w:line="240" w:lineRule="auto"/>
                            <w:textDirection w:val="btLr"/>
                          </w:pPr>
                        </w:p>
                      </w:txbxContent>
                    </v:textbox>
                  </v:shape>
                  <v:shape id="Надпись 235" o:spid="_x0000_s1223" type="#_x0000_t202" style="position:absolute;left:34207;top:11726;width:4791;height:2121;rotation:32317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" filled="f" stroked="f">
                    <v:textbox inset="0,0,0,0">
                      <w:txbxContent>
                        <w:p w:rsidR="00D06B63" w:rsidRDefault="00D06B63" w:rsidP="00EA72C7">
                          <w:pPr>
                            <w:spacing w:after="0" w:line="215" w:lineRule="auto"/>
                            <w:jc w:val="center"/>
                            <w:textDirection w:val="btLr"/>
                          </w:pPr>
                        </w:p>
                      </w:txbxContent>
                    </v:textbox>
                  </v:shape>
                  <v:roundrect id="Скругленный прямоугольник 236" o:spid="_x0000_s1224" style="position:absolute;left:18244;top:1196;width:22799;height:69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" filled="f" strokecolor="#5b9bd5 [3204]"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237" o:spid="_x0000_s1225" type="#_x0000_t202" style="position:absolute;left:18585;top:1537;width:22117;height:6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" filled="f" stroked="f">
                    <v:textbox inset=".42292mm,.42292mm,.42292mm,.42292mm">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4"/>
                            </w:rPr>
                            <w:t>Министерство национальной экономики</w:t>
                          </w:r>
                        </w:p>
                      </w:txbxContent>
                    </v:textbox>
                  </v:shape>
                  <v:shape id="Двойная стрелка влево/вправо 238" o:spid="_x0000_s1226" type="#_x0000_t69" style="position:absolute;left:58811;top:16168;width:8338;height:3536;rotation:-9191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" adj="4580" filled="f" strokecolor="#5b9bd5 [3204]">
                    <v:stroke startarrowwidth="narrow" startarrowlength="short" endarrowwidth="narrow" endarrowlength="short" joinstyle="round"/>
                    <v:textbox inset="2.53958mm,2.53958mm,2.53958mm,2.53958mm">
                      <w:txbxContent>
                        <w:p w:rsidR="00D06B63" w:rsidRDefault="00D06B63" w:rsidP="00EA72C7">
                          <w:pPr>
                            <w:spacing w:after="0" w:line="240" w:lineRule="auto"/>
                            <w:textDirection w:val="btLr"/>
                          </w:pPr>
                        </w:p>
                      </w:txbxContent>
                    </v:textbox>
                  </v:shape>
                  <v:shape id="Надпись 239" o:spid="_x0000_s1227" type="#_x0000_t202" style="position:absolute;left:58827;top:17004;width:7277;height:2122;rotation:-9191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" filled="f" stroked="f">
                    <v:textbox inset="0,0,0,0">
                      <w:txbxContent>
                        <w:p w:rsidR="00D06B63" w:rsidRDefault="00D06B63" w:rsidP="00EA72C7">
                          <w:pPr>
                            <w:spacing w:after="0" w:line="215" w:lineRule="auto"/>
                            <w:jc w:val="center"/>
                            <w:textDirection w:val="btLr"/>
                          </w:pPr>
                        </w:p>
                      </w:txbxContent>
                    </v:textbox>
                  </v:shape>
                  <v:roundrect id="Скругленный прямоугольник 240" o:spid="_x0000_s1228" style="position:absolute;left:68300;top:9772;width:23994;height:76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" filled="f" strokecolor="#5b9bd5 [3204]"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241" o:spid="_x0000_s1229" type="#_x0000_t202" style="position:absolute;left:68674;top:10147;width:23245;height:6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" filled="f" stroked="f">
                    <v:textbox inset=".42292mm,.42292mm,.42292mm,.42292mm">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4"/>
                            </w:rPr>
                            <w:t>Министерство индустрии и инфраструктурного развития</w:t>
                          </w:r>
                        </w:p>
                      </w:txbxContent>
                    </v:textbox>
                  </v:shape>
                  <v:shape id="Двойная стрелка влево/вправо 242" o:spid="_x0000_s1230" type="#_x0000_t69" style="position:absolute;left:52123;top:10813;width:6653;height:3536;rotation:-2826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" adj="5740" filled="f" strokecolor="#5b9bd5 [3204]">
                    <v:stroke startarrowwidth="narrow" startarrowlength="short" endarrowwidth="narrow" endarrowlength="short" joinstyle="round"/>
                    <v:textbox inset="2.53958mm,2.53958mm,2.53958mm,2.53958mm">
                      <w:txbxContent>
                        <w:p w:rsidR="00D06B63" w:rsidRDefault="00D06B63" w:rsidP="00EA72C7">
                          <w:pPr>
                            <w:spacing w:after="0" w:line="240" w:lineRule="auto"/>
                            <w:textDirection w:val="btLr"/>
                          </w:pPr>
                        </w:p>
                      </w:txbxContent>
                    </v:textbox>
                  </v:shape>
                  <v:shape id="Надпись 243" o:spid="_x0000_s1231" type="#_x0000_t202" style="position:absolute;left:52266;top:11883;width:5592;height:2121;rotation:-2826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" filled="f" stroked="f">
                    <v:textbox inset="0,0,0,0">
                      <w:txbxContent>
                        <w:p w:rsidR="00D06B63" w:rsidRDefault="00D06B63" w:rsidP="00EA72C7">
                          <w:pPr>
                            <w:spacing w:after="0" w:line="215" w:lineRule="auto"/>
                            <w:jc w:val="center"/>
                            <w:textDirection w:val="btLr"/>
                          </w:pPr>
                        </w:p>
                      </w:txbxContent>
                    </v:textbox>
                  </v:shape>
                  <v:roundrect id="Скругленный прямоугольник 244" o:spid="_x0000_s1232" style="position:absolute;left:51743;top:1147;width:24160;height:71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" filled="f" strokecolor="#5b9bd5 [3204]"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245" o:spid="_x0000_s1233" type="#_x0000_t202" style="position:absolute;left:52094;top:1498;width:23459;height:6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" filled="f" stroked="f">
                    <v:textbox inset=".42292mm,.42292mm,.42292mm,.42292mm">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4"/>
                            </w:rPr>
                            <w:t>Министерство здравоохранения</w:t>
                          </w:r>
                        </w:p>
                      </w:txbxContent>
                    </v:textbox>
                  </v:shape>
                  <v:shape id="Двойная стрелка влево/вправо 246" o:spid="_x0000_s1234" type="#_x0000_t69" style="position:absolute;left:59081;top:24093;width:7817;height:3535;rotation:7001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" adj="4884" filled="f" strokecolor="#5b9bd5 [3204]">
                    <v:stroke startarrowwidth="narrow" startarrowlength="short" endarrowwidth="narrow" endarrowlength="short" joinstyle="round"/>
                    <v:textbox inset="2.53958mm,2.53958mm,2.53958mm,2.53958mm">
                      <w:txbxContent>
                        <w:p w:rsidR="00D06B63" w:rsidRDefault="00D06B63" w:rsidP="00EA72C7">
                          <w:pPr>
                            <w:spacing w:after="0" w:line="240" w:lineRule="auto"/>
                            <w:textDirection w:val="btLr"/>
                          </w:pPr>
                        </w:p>
                      </w:txbxContent>
                    </v:textbox>
                  </v:shape>
                  <v:shape id="Надпись 247" o:spid="_x0000_s1235" type="#_x0000_t202" style="position:absolute;left:59090;top:24701;width:6757;height:2122;rotation:7001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" filled="f" stroked="f">
                    <v:textbox inset="0,0,0,0">
                      <w:txbxContent>
                        <w:p w:rsidR="00D06B63" w:rsidRDefault="00D06B63" w:rsidP="00EA72C7">
                          <w:pPr>
                            <w:spacing w:after="0" w:line="215" w:lineRule="auto"/>
                            <w:jc w:val="center"/>
                            <w:textDirection w:val="btLr"/>
                          </w:pPr>
                        </w:p>
                      </w:txbxContent>
                    </v:textbox>
                  </v:shape>
                  <v:roundrect id="Скругленный прямоугольник 248" o:spid="_x0000_s1236" style="position:absolute;left:69048;top:25166;width:23175;height:8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" filled="f" strokecolor="#5b9bd5 [3204]"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249" o:spid="_x0000_s1237" type="#_x0000_t202" style="position:absolute;left:69441;top:25559;width:22389;height:7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" filled="f" stroked="f">
                    <v:textbox inset=".42292mm,.42292mm,.42292mm,.42292mm">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4"/>
                            </w:rPr>
                            <w:t xml:space="preserve">Министерства экологии, геологии и природных ресурсов </w:t>
                          </w:r>
                        </w:p>
                      </w:txbxContent>
                    </v:textbox>
                  </v:shape>
                  <v:shape id="Двойная стрелка влево/вправо 250" o:spid="_x0000_s1238" type="#_x0000_t69" style="position:absolute;left:52612;top:30254;width:6648;height:3535;rotation:26846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" adj="5744" filled="f" strokecolor="#5b9bd5 [3204]">
                    <v:stroke startarrowwidth="narrow" startarrowlength="short" endarrowwidth="narrow" endarrowlength="short" joinstyle="round"/>
                    <v:textbox inset="2.53958mm,2.53958mm,2.53958mm,2.53958mm">
                      <w:txbxContent>
                        <w:p w:rsidR="00D06B63" w:rsidRDefault="00D06B63" w:rsidP="00EA72C7">
                          <w:pPr>
                            <w:spacing w:after="0" w:line="240" w:lineRule="auto"/>
                            <w:textDirection w:val="btLr"/>
                          </w:pPr>
                        </w:p>
                      </w:txbxContent>
                    </v:textbox>
                  </v:shape>
                  <v:shape id="Надпись 251" o:spid="_x0000_s1239" type="#_x0000_t202" style="position:absolute;left:52742;top:30613;width:5587;height:2122;rotation:26846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" filled="f" stroked="f">
                    <v:textbox inset="0,0,0,0">
                      <w:txbxContent>
                        <w:p w:rsidR="00D06B63" w:rsidRDefault="00D06B63" w:rsidP="00EA72C7">
                          <w:pPr>
                            <w:spacing w:after="0" w:line="215" w:lineRule="auto"/>
                            <w:jc w:val="center"/>
                            <w:textDirection w:val="btLr"/>
                          </w:pPr>
                        </w:p>
                      </w:txbxContent>
                    </v:textbox>
                  </v:shape>
                  <v:roundrect id="Скругленный прямоугольник 252" o:spid="_x0000_s1240" style="position:absolute;left:50894;top:36113;width:27638;height:7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" filled="f" strokecolor="#5b9bd5 [3204]"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253" o:spid="_x0000_s1241" type="#_x0000_t202" style="position:absolute;left:51238;top:36457;width:26949;height:6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" filled="f" stroked="f">
                    <v:textbox inset=".42292mm,.42292mm,.42292mm,.42292mm">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4"/>
                            </w:rPr>
                            <w:t xml:space="preserve">Министерство по чрезвычайным ситуациям </w:t>
                          </w:r>
                        </w:p>
                      </w:txbxContent>
                    </v:textbox>
                  </v:shape>
                  <v:shape id="Двойная стрелка влево/вправо 254" o:spid="_x0000_s1242" type="#_x0000_t69" style="position:absolute;left:33843;top:30470;width:5424;height:3535;rotation:85516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" adj="7041" filled="f" strokecolor="#5b9bd5 [3204]">
                    <v:stroke startarrowwidth="narrow" startarrowlength="short" endarrowwidth="narrow" endarrowlength="short" joinstyle="round"/>
                    <v:textbox inset="2.53958mm,2.53958mm,2.53958mm,2.53958mm">
                      <w:txbxContent>
                        <w:p w:rsidR="00D06B63" w:rsidRDefault="00D06B63" w:rsidP="00EA72C7">
                          <w:pPr>
                            <w:spacing w:after="0" w:line="240" w:lineRule="auto"/>
                            <w:textDirection w:val="btLr"/>
                          </w:pPr>
                        </w:p>
                      </w:txbxContent>
                    </v:textbox>
                  </v:shape>
                  <v:shape id="Надпись 255" o:spid="_x0000_s1243" type="#_x0000_t202" style="position:absolute;left:34717;top:30774;width:4363;height:2122;rotation:-32447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" filled="f" stroked="f">
                    <v:textbox inset="0,0,0,0">
                      <w:txbxContent>
                        <w:p w:rsidR="00D06B63" w:rsidRDefault="00D06B63" w:rsidP="00EA72C7">
                          <w:pPr>
                            <w:spacing w:after="0" w:line="215" w:lineRule="auto"/>
                            <w:jc w:val="center"/>
                            <w:textDirection w:val="btLr"/>
                          </w:pPr>
                        </w:p>
                      </w:txbxContent>
                    </v:textbox>
                  </v:shape>
                  <v:roundrect id="Скругленный прямоугольник 256" o:spid="_x0000_s1244" style="position:absolute;left:19630;top:36098;width:21052;height:7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" filled="f" strokecolor="#5b9bd5 [3204]"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257" o:spid="_x0000_s1245" type="#_x0000_t202" style="position:absolute;left:19985;top:36453;width:20342;height:6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" filled="f" stroked="f">
                    <v:textbox inset=".42292mm,.42292mm,.42292mm,.42292mm">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4"/>
                            </w:rPr>
                            <w:t>Министерство науки и высшего образования</w:t>
                          </w:r>
                        </w:p>
                      </w:txbxContent>
                    </v:textbox>
                  </v:shape>
                  <v:shape id="Двойная стрелка влево/вправо 258" o:spid="_x0000_s1246" type="#_x0000_t69" style="position:absolute;left:20543;top:27816;width:10785;height:3535;rotation:104462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" adj="3541" filled="f" strokecolor="#5b9bd5 [3204]">
                    <v:stroke startarrowwidth="narrow" startarrowlength="short" endarrowwidth="narrow" endarrowlength="short" joinstyle="round"/>
                    <v:textbox inset="2.53958mm,2.53958mm,2.53958mm,2.53958mm">
                      <w:txbxContent>
                        <w:p w:rsidR="00D06B63" w:rsidRDefault="00D06B63" w:rsidP="00EA72C7">
                          <w:pPr>
                            <w:spacing w:after="0" w:line="240" w:lineRule="auto"/>
                            <w:textDirection w:val="btLr"/>
                          </w:pPr>
                        </w:p>
                      </w:txbxContent>
                    </v:textbox>
                  </v:shape>
                  <v:shape id="Надпись 259" o:spid="_x0000_s1247" type="#_x0000_t202" style="position:absolute;left:21570;top:28336;width:9724;height:2122;rotation:-13502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" filled="f" stroked="f">
                    <v:textbox inset="0,0,0,0">
                      <w:txbxContent>
                        <w:p w:rsidR="00D06B63" w:rsidRDefault="00D06B63" w:rsidP="00EA72C7">
                          <w:pPr>
                            <w:spacing w:after="0" w:line="215" w:lineRule="auto"/>
                            <w:jc w:val="center"/>
                            <w:textDirection w:val="btLr"/>
                          </w:pPr>
                        </w:p>
                      </w:txbxContent>
                    </v:textbox>
                  </v:shape>
                  <v:roundrect id="Скругленный прямоугольник 260" o:spid="_x0000_s1248" style="position:absolute;left:2755;top:32380;width:15612;height:5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" filled="f" strokecolor="#5b9bd5 [3204]"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261" o:spid="_x0000_s1249" type="#_x0000_t202" style="position:absolute;left:3046;top:32671;width:15030;height:5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" filled="f" stroked="f">
                    <v:textbox inset=".42292mm,.42292mm,.42292mm,.42292mm">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4"/>
                            </w:rPr>
                            <w:t>Министерство финансов</w:t>
                          </w:r>
                        </w:p>
                      </w:txbxContent>
                    </v:textbox>
                  </v:shape>
                  <v:shape id="Двойная стрелка влево/вправо 262" o:spid="_x0000_s1250" type="#_x0000_t69" style="position:absolute;left:21470;top:23707;width:8714;height:3536;rotation:1120617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" adj="4382" filled="f" strokecolor="#5b9bd5 [3204]">
                    <v:stroke startarrowwidth="narrow" startarrowlength="short" endarrowwidth="narrow" endarrowlength="short" joinstyle="round"/>
                    <v:textbox inset="2.53958mm,2.53958mm,2.53958mm,2.53958mm">
                      <w:txbxContent>
                        <w:p w:rsidR="00D06B63" w:rsidRDefault="00D06B63" w:rsidP="00EA72C7">
                          <w:pPr>
                            <w:spacing w:after="0" w:line="240" w:lineRule="auto"/>
                            <w:textDirection w:val="btLr"/>
                          </w:pPr>
                        </w:p>
                      </w:txbxContent>
                    </v:textbox>
                  </v:shape>
                  <v:shape id="Надпись 263" o:spid="_x0000_s1251" type="#_x0000_t202" style="position:absolute;left:22524;top:24331;width:7653;height:2122;rotation:-5903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" filled="f" stroked="f">
                    <v:textbox inset="0,0,0,0">
                      <w:txbxContent>
                        <w:p w:rsidR="00D06B63" w:rsidRDefault="00D06B63" w:rsidP="00EA72C7">
                          <w:pPr>
                            <w:spacing w:after="0" w:line="215" w:lineRule="auto"/>
                            <w:jc w:val="center"/>
                            <w:textDirection w:val="btLr"/>
                          </w:pPr>
                        </w:p>
                      </w:txbxContent>
                    </v:textbox>
                  </v:shape>
                  <v:roundrect id="Скругленный прямоугольник 264" o:spid="_x0000_s1252" style="position:absolute;left:2571;top:25450;width:15743;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" filled="f" strokecolor="#5b9bd5 [3204]"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265" o:spid="_x0000_s1253" type="#_x0000_t202" style="position:absolute;left:2811;top:25691;width:15262;height:4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" filled="f" stroked="f">
                    <v:textbox inset=".42292mm,.42292mm,.42292mm,.42292mm">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4"/>
                            </w:rPr>
                            <w:t>Министерство юстиции</w:t>
                          </w:r>
                        </w:p>
                      </w:txbxContent>
                    </v:textbox>
                  </v:shape>
                  <v:shape id="Двойная стрелка влево/вправо 266" o:spid="_x0000_s1254" type="#_x0000_t69" style="position:absolute;left:22077;top:19548;width:7975;height:3536;rotation:-115708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" adj="4788" filled="f" strokecolor="#5b9bd5 [3204]">
                    <v:stroke startarrowwidth="narrow" startarrowlength="short" endarrowwidth="narrow" endarrowlength="short" joinstyle="round"/>
                    <v:textbox inset="2.53958mm,2.53958mm,2.53958mm,2.53958mm">
                      <w:txbxContent>
                        <w:p w:rsidR="00D06B63" w:rsidRDefault="00D06B63" w:rsidP="00EA72C7">
                          <w:pPr>
                            <w:spacing w:after="0" w:line="240" w:lineRule="auto"/>
                            <w:textDirection w:val="btLr"/>
                          </w:pPr>
                        </w:p>
                      </w:txbxContent>
                    </v:textbox>
                  </v:shape>
                  <v:shape id="Надпись 267" o:spid="_x0000_s1255" type="#_x0000_t202" style="position:absolute;left:23137;top:20287;width:6914;height:2122;rotation:2256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" filled="f" stroked="f">
                    <v:textbox inset="0,0,0,0">
                      <w:txbxContent>
                        <w:p w:rsidR="00D06B63" w:rsidRDefault="00D06B63" w:rsidP="00EA72C7">
                          <w:pPr>
                            <w:spacing w:after="0" w:line="215" w:lineRule="auto"/>
                            <w:jc w:val="center"/>
                            <w:textDirection w:val="btLr"/>
                          </w:pPr>
                        </w:p>
                      </w:txbxContent>
                    </v:textbox>
                  </v:shape>
                  <v:roundrect id="Скругленный прямоугольник 268" o:spid="_x0000_s1256" style="position:absolute;left:2324;top:17778;width:16143;height:5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" filled="f" strokecolor="#5b9bd5 [3204]"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269" o:spid="_x0000_s1257" type="#_x0000_t202" style="position:absolute;left:2578;top:18031;width:15635;height:4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" filled="f" stroked="f">
                    <v:textbox inset=".42292mm,.42292mm,.42292mm,.42292mm">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4"/>
                            </w:rPr>
                            <w:t>Министерство иностранных дел</w:t>
                          </w:r>
                        </w:p>
                      </w:txbxContent>
                    </v:textbox>
                  </v:shape>
                  <v:shape id="Двойная стрелка влево/вправо 270" o:spid="_x0000_s1258" type="#_x0000_t69" style="position:absolute;left:21066;top:15614;width:9601;height:3535;rotation:-108198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" adj="3977" filled="f" strokecolor="#5b9bd5 [3204]">
                    <v:stroke startarrowwidth="narrow" startarrowlength="short" endarrowwidth="narrow" endarrowlength="short" joinstyle="round"/>
                    <v:textbox inset="2.53958mm,2.53958mm,2.53958mm,2.53958mm">
                      <w:txbxContent>
                        <w:p w:rsidR="00D06B63" w:rsidRDefault="00D06B63" w:rsidP="00EA72C7">
                          <w:pPr>
                            <w:spacing w:after="0" w:line="240" w:lineRule="auto"/>
                            <w:textDirection w:val="btLr"/>
                          </w:pPr>
                        </w:p>
                      </w:txbxContent>
                    </v:textbox>
                  </v:shape>
                  <v:shape id="Надпись 271" o:spid="_x0000_s1259" type="#_x0000_t202" style="position:absolute;left:22109;top:16457;width:8540;height:2122;rotation:9766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" filled="f" stroked="f">
                    <v:textbox inset="0,0,0,0">
                      <w:txbxContent>
                        <w:p w:rsidR="00D06B63" w:rsidRDefault="00D06B63" w:rsidP="00EA72C7">
                          <w:pPr>
                            <w:spacing w:after="0" w:line="215" w:lineRule="auto"/>
                            <w:jc w:val="center"/>
                            <w:textDirection w:val="btLr"/>
                          </w:pPr>
                        </w:p>
                      </w:txbxContent>
                    </v:textbox>
                  </v:shape>
                  <v:roundrect id="Скругленный прямоугольник 272" o:spid="_x0000_s1260" style="position:absolute;left:2808;top:10924;width:16005;height:49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" filled="f" strokecolor="#5b9bd5 [3204]"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273" o:spid="_x0000_s1261" type="#_x0000_t202" style="position:absolute;left:3047;top:11163;width:15527;height:4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" filled="f" stroked="f">
                    <v:textbox inset=".42292mm,.42292mm,.42292mm,.42292mm">
                      <w:txbxContent>
                        <w:p w:rsidR="00D06B63" w:rsidRDefault="00D06B63" w:rsidP="00EA72C7">
                          <w:pPr>
                            <w:spacing w:after="0" w:line="215" w:lineRule="auto"/>
                            <w:jc w:val="center"/>
                            <w:textDirection w:val="btLr"/>
                          </w:pPr>
                          <w:r>
                            <w:rPr>
                              <w:rFonts w:ascii="Times New Roman" w:eastAsia="Times New Roman" w:hAnsi="Times New Roman" w:cs="Times New Roman"/>
                              <w:color w:val="000000"/>
                              <w:sz w:val="24"/>
                            </w:rPr>
                            <w:t>Министерство обороны</w:t>
                          </w:r>
                        </w:p>
                      </w:txbxContent>
                    </v:textbox>
                  </v:shape>
                </v:group>
                <w10:anchorlock/>
              </v:group>
            </w:pict>
          </mc:Fallback>
        </mc:AlternateContent>
      </w:r>
    </w:p>
    <w:p w:rsidR="00EA72C7" w:rsidRDefault="00EA72C7" w:rsidP="00EA72C7">
      <w:pPr>
        <w:spacing w:after="0" w:line="240" w:lineRule="auto"/>
        <w:rPr>
          <w:rFonts w:ascii="Times New Roman" w:eastAsia="Times New Roman" w:hAnsi="Times New Roman" w:cs="Times New Roman"/>
          <w:sz w:val="28"/>
          <w:szCs w:val="28"/>
        </w:rPr>
      </w:pPr>
    </w:p>
    <w:p w:rsidR="00EA72C7" w:rsidRDefault="00EA72C7" w:rsidP="00EA72C7">
      <w:pPr>
        <w:spacing w:after="0" w:line="240" w:lineRule="auto"/>
        <w:jc w:val="center"/>
        <w:rPr>
          <w:rFonts w:ascii="Times New Roman" w:eastAsia="Times New Roman" w:hAnsi="Times New Roman" w:cs="Times New Roman"/>
          <w:sz w:val="16"/>
          <w:szCs w:val="16"/>
        </w:rPr>
      </w:pPr>
    </w:p>
    <w:p w:rsidR="00EA72C7" w:rsidRDefault="00EA72C7" w:rsidP="00EA72C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Рисунок Л.1 – Схема информационно-коммуникационного взаимодействия государственных органов</w:t>
      </w:r>
    </w:p>
    <w:p w:rsidR="00EA72C7" w:rsidRDefault="00EA72C7" w:rsidP="00EA72C7">
      <w:pPr>
        <w:pStyle w:val="2"/>
        <w:spacing w:before="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М</w:t>
      </w:r>
    </w:p>
    <w:p w:rsidR="00EA72C7" w:rsidRDefault="00EA72C7" w:rsidP="00EA72C7">
      <w:pPr>
        <w:pStyle w:val="2"/>
        <w:spacing w:before="0" w:line="240" w:lineRule="auto"/>
        <w:rPr>
          <w:rFonts w:ascii="Times New Roman" w:eastAsia="Times New Roman" w:hAnsi="Times New Roman" w:cs="Times New Roman"/>
          <w:color w:val="000000"/>
          <w:sz w:val="28"/>
          <w:szCs w:val="28"/>
        </w:rPr>
      </w:pPr>
    </w:p>
    <w:p w:rsidR="00EA72C7" w:rsidRDefault="00EA72C7" w:rsidP="00EA72C7">
      <w:pPr>
        <w:pStyle w:val="2"/>
        <w:spacing w:before="0" w:line="240" w:lineRule="auto"/>
        <w:rPr>
          <w:rFonts w:ascii="Times New Roman" w:eastAsia="Times New Roman" w:hAnsi="Times New Roman" w:cs="Times New Roman"/>
          <w:b w:val="0"/>
          <w:color w:val="000000"/>
          <w:sz w:val="28"/>
          <w:szCs w:val="28"/>
        </w:rPr>
      </w:pPr>
      <w:r>
        <w:rPr>
          <w:rFonts w:ascii="Times New Roman" w:eastAsia="Times New Roman" w:hAnsi="Times New Roman" w:cs="Times New Roman"/>
          <w:b w:val="0"/>
          <w:color w:val="000000"/>
          <w:sz w:val="28"/>
          <w:szCs w:val="28"/>
        </w:rPr>
        <w:t>Таблица И.1 – Этапы эскалации конфликта, связанного со строительством на озере Малый Талдыколь</w:t>
      </w:r>
    </w:p>
    <w:p w:rsidR="00EA72C7" w:rsidRDefault="00EA72C7" w:rsidP="00EA72C7">
      <w:pPr>
        <w:spacing w:after="0" w:line="240" w:lineRule="auto"/>
        <w:jc w:val="right"/>
        <w:rPr>
          <w:rFonts w:ascii="Times New Roman" w:eastAsia="Times New Roman" w:hAnsi="Times New Roman" w:cs="Times New Roman"/>
          <w:sz w:val="16"/>
          <w:szCs w:val="16"/>
        </w:rPr>
      </w:pPr>
    </w:p>
    <w:tbl>
      <w:tblPr>
        <w:tblW w:w="14501" w:type="dxa"/>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5"/>
        <w:gridCol w:w="3440"/>
        <w:gridCol w:w="6379"/>
        <w:gridCol w:w="3627"/>
      </w:tblGrid>
      <w:tr w:rsidR="00EA72C7" w:rsidTr="00EC4EFD">
        <w:tc>
          <w:tcPr>
            <w:tcW w:w="1055" w:type="dxa"/>
            <w:shd w:val="clear" w:color="auto" w:fill="FFFFFF"/>
          </w:tcPr>
          <w:p w:rsidR="00EA72C7" w:rsidRDefault="00EA72C7" w:rsidP="003E7002">
            <w:pPr>
              <w:tabs>
                <w:tab w:val="left" w:pos="1418"/>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w:t>
            </w:r>
          </w:p>
        </w:tc>
        <w:tc>
          <w:tcPr>
            <w:tcW w:w="3440" w:type="dxa"/>
            <w:shd w:val="clear" w:color="auto" w:fill="FFFFFF"/>
          </w:tcPr>
          <w:p w:rsidR="00EA72C7" w:rsidRDefault="00EA72C7" w:rsidP="003E7002">
            <w:pPr>
              <w:tabs>
                <w:tab w:val="left" w:pos="1418"/>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События</w:t>
            </w:r>
          </w:p>
        </w:tc>
        <w:tc>
          <w:tcPr>
            <w:tcW w:w="6379" w:type="dxa"/>
            <w:shd w:val="clear" w:color="auto" w:fill="FFFFFF"/>
          </w:tcPr>
          <w:p w:rsidR="00EA72C7" w:rsidRDefault="00EA72C7" w:rsidP="003E7002">
            <w:pPr>
              <w:tabs>
                <w:tab w:val="left" w:pos="1418"/>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Вовлеченность местного сообщества</w:t>
            </w:r>
          </w:p>
        </w:tc>
        <w:tc>
          <w:tcPr>
            <w:tcW w:w="3627" w:type="dxa"/>
            <w:shd w:val="clear" w:color="auto" w:fill="FFFFFF"/>
          </w:tcPr>
          <w:p w:rsidR="00EA72C7" w:rsidRDefault="00EA72C7" w:rsidP="003E7002">
            <w:pPr>
              <w:tabs>
                <w:tab w:val="left" w:pos="1418"/>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Реакция властей</w:t>
            </w:r>
          </w:p>
        </w:tc>
      </w:tr>
      <w:tr w:rsidR="00EA72C7" w:rsidTr="00EC4EFD">
        <w:tc>
          <w:tcPr>
            <w:tcW w:w="1055" w:type="dxa"/>
            <w:shd w:val="clear" w:color="auto" w:fill="FFFFFF"/>
          </w:tcPr>
          <w:p w:rsidR="00EA72C7" w:rsidRDefault="00EA72C7" w:rsidP="003E7002">
            <w:pPr>
              <w:tabs>
                <w:tab w:val="left" w:pos="1418"/>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40" w:type="dxa"/>
            <w:shd w:val="clear" w:color="auto" w:fill="FFFFFF"/>
          </w:tcPr>
          <w:p w:rsidR="00EA72C7" w:rsidRDefault="00EA72C7" w:rsidP="003E7002">
            <w:pPr>
              <w:tabs>
                <w:tab w:val="left" w:pos="1418"/>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379" w:type="dxa"/>
            <w:shd w:val="clear" w:color="auto" w:fill="FFFFFF"/>
          </w:tcPr>
          <w:p w:rsidR="00EA72C7" w:rsidRDefault="00EA72C7" w:rsidP="003E7002">
            <w:pPr>
              <w:tabs>
                <w:tab w:val="left" w:pos="1418"/>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27" w:type="dxa"/>
            <w:shd w:val="clear" w:color="auto" w:fill="FFFFFF"/>
          </w:tcPr>
          <w:p w:rsidR="00EA72C7" w:rsidRDefault="00EA72C7" w:rsidP="003E7002">
            <w:pPr>
              <w:tabs>
                <w:tab w:val="left" w:pos="1418"/>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A72C7" w:rsidTr="00EC4EFD">
        <w:tc>
          <w:tcPr>
            <w:tcW w:w="14501" w:type="dxa"/>
            <w:gridSpan w:val="4"/>
            <w:shd w:val="clear" w:color="auto" w:fill="FFFFFF"/>
          </w:tcPr>
          <w:p w:rsidR="00EA72C7" w:rsidRDefault="00EA72C7" w:rsidP="003E7002">
            <w:pPr>
              <w:tabs>
                <w:tab w:val="left" w:pos="1418"/>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этап – Чувство беспокойства, обида, несогласие (распространение требований внутри своей группы, попытки привлечения внимания широкого круга, попытки привлечения внимания разовой акцией). Период июль 2020 по октябрь 2020г.</w:t>
            </w:r>
          </w:p>
        </w:tc>
      </w:tr>
      <w:tr w:rsidR="00EA72C7" w:rsidTr="00EC4EFD">
        <w:tc>
          <w:tcPr>
            <w:tcW w:w="1055" w:type="dxa"/>
            <w:shd w:val="clear" w:color="auto" w:fill="FFFFFF"/>
          </w:tcPr>
          <w:p w:rsidR="00EA72C7" w:rsidRDefault="00EA72C7" w:rsidP="003E7002">
            <w:pPr>
              <w:tabs>
                <w:tab w:val="left" w:pos="1418"/>
              </w:tabs>
              <w:ind w:right="-89"/>
              <w:rPr>
                <w:rFonts w:ascii="Times New Roman" w:eastAsia="Times New Roman" w:hAnsi="Times New Roman" w:cs="Times New Roman"/>
                <w:sz w:val="24"/>
                <w:szCs w:val="24"/>
              </w:rPr>
            </w:pPr>
            <w:r>
              <w:rPr>
                <w:rFonts w:ascii="Times New Roman" w:eastAsia="Times New Roman" w:hAnsi="Times New Roman" w:cs="Times New Roman"/>
                <w:sz w:val="24"/>
                <w:szCs w:val="24"/>
              </w:rPr>
              <w:t>30.07.20</w:t>
            </w:r>
          </w:p>
        </w:tc>
        <w:tc>
          <w:tcPr>
            <w:tcW w:w="3440"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Утверждение ПДП, начало засыпки озера</w:t>
            </w:r>
          </w:p>
        </w:tc>
        <w:tc>
          <w:tcPr>
            <w:tcW w:w="6379"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Слабо организованная группа жителей 5-10 человек. Попытки актуализировать проблему посредством обращений в госорганы </w:t>
            </w:r>
          </w:p>
        </w:tc>
        <w:tc>
          <w:tcPr>
            <w:tcW w:w="3627"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Игнорирование </w:t>
            </w:r>
          </w:p>
        </w:tc>
      </w:tr>
      <w:tr w:rsidR="00EA72C7" w:rsidTr="00EC4EFD">
        <w:tc>
          <w:tcPr>
            <w:tcW w:w="1055" w:type="dxa"/>
            <w:shd w:val="clear" w:color="auto" w:fill="FFFFFF"/>
          </w:tcPr>
          <w:p w:rsidR="00EA72C7" w:rsidRDefault="00EA72C7" w:rsidP="003E7002">
            <w:pPr>
              <w:tabs>
                <w:tab w:val="left" w:pos="1418"/>
              </w:tabs>
              <w:ind w:right="-89"/>
              <w:rPr>
                <w:rFonts w:ascii="Times New Roman" w:eastAsia="Times New Roman" w:hAnsi="Times New Roman" w:cs="Times New Roman"/>
                <w:sz w:val="24"/>
                <w:szCs w:val="24"/>
              </w:rPr>
            </w:pPr>
            <w:r>
              <w:rPr>
                <w:rFonts w:ascii="Times New Roman" w:eastAsia="Times New Roman" w:hAnsi="Times New Roman" w:cs="Times New Roman"/>
                <w:sz w:val="24"/>
                <w:szCs w:val="24"/>
              </w:rPr>
              <w:t>16.08.20</w:t>
            </w:r>
          </w:p>
        </w:tc>
        <w:tc>
          <w:tcPr>
            <w:tcW w:w="3440"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Создана группа в Инстаграмм SOS Taldykol с целью объедине ния усилий для спасения системы озер Талдыколь.</w:t>
            </w:r>
          </w:p>
        </w:tc>
        <w:tc>
          <w:tcPr>
            <w:tcW w:w="6379"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Посты в Instagram. Местные жители, экологи и начали освещать работу по спасению озера.  </w:t>
            </w:r>
          </w:p>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Количество просмотров в соцсетях не превышали 100-150 и десятка лайков. </w:t>
            </w:r>
          </w:p>
        </w:tc>
        <w:tc>
          <w:tcPr>
            <w:tcW w:w="3627"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Замалчивание, попытки дискредитации отдельных членов инициативной группы</w:t>
            </w:r>
          </w:p>
        </w:tc>
      </w:tr>
      <w:tr w:rsidR="00EA72C7" w:rsidTr="00EC4EFD">
        <w:tc>
          <w:tcPr>
            <w:tcW w:w="1055" w:type="dxa"/>
            <w:shd w:val="clear" w:color="auto" w:fill="FFFFFF"/>
          </w:tcPr>
          <w:p w:rsidR="00EA72C7" w:rsidRDefault="00EA72C7" w:rsidP="003E7002">
            <w:pPr>
              <w:tabs>
                <w:tab w:val="left" w:pos="1418"/>
              </w:tabs>
              <w:ind w:right="-89"/>
              <w:rPr>
                <w:rFonts w:ascii="Times New Roman" w:eastAsia="Times New Roman" w:hAnsi="Times New Roman" w:cs="Times New Roman"/>
                <w:sz w:val="24"/>
                <w:szCs w:val="24"/>
              </w:rPr>
            </w:pPr>
            <w:r>
              <w:rPr>
                <w:rFonts w:ascii="Times New Roman" w:eastAsia="Times New Roman" w:hAnsi="Times New Roman" w:cs="Times New Roman"/>
                <w:sz w:val="24"/>
                <w:szCs w:val="24"/>
              </w:rPr>
              <w:t>30.08.20</w:t>
            </w:r>
          </w:p>
        </w:tc>
        <w:tc>
          <w:tcPr>
            <w:tcW w:w="3440"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общегородского субботника</w:t>
            </w:r>
          </w:p>
        </w:tc>
        <w:tc>
          <w:tcPr>
            <w:tcW w:w="6379" w:type="dxa"/>
            <w:shd w:val="clear" w:color="auto" w:fill="FFFFFF"/>
          </w:tcPr>
          <w:p w:rsidR="00EA72C7" w:rsidRDefault="00EC4EFD"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Актуализация</w:t>
            </w:r>
            <w:r w:rsidR="00EA72C7">
              <w:rPr>
                <w:rFonts w:ascii="Times New Roman" w:eastAsia="Times New Roman" w:hAnsi="Times New Roman" w:cs="Times New Roman"/>
                <w:sz w:val="24"/>
                <w:szCs w:val="24"/>
              </w:rPr>
              <w:t xml:space="preserve"> проблем</w:t>
            </w:r>
            <w:r>
              <w:rPr>
                <w:rFonts w:ascii="Times New Roman" w:eastAsia="Times New Roman" w:hAnsi="Times New Roman" w:cs="Times New Roman"/>
                <w:sz w:val="24"/>
                <w:szCs w:val="24"/>
              </w:rPr>
              <w:t>ы</w:t>
            </w:r>
            <w:r w:rsidR="00EA72C7">
              <w:rPr>
                <w:rFonts w:ascii="Times New Roman" w:eastAsia="Times New Roman" w:hAnsi="Times New Roman" w:cs="Times New Roman"/>
                <w:sz w:val="24"/>
                <w:szCs w:val="24"/>
              </w:rPr>
              <w:t xml:space="preserve"> посредством субботника</w:t>
            </w:r>
          </w:p>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Рост поддержки среди горожан и НПО, поддержка городских пабликов (свыше 200 тыс. человек)</w:t>
            </w:r>
          </w:p>
        </w:tc>
        <w:tc>
          <w:tcPr>
            <w:tcW w:w="3627"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Попытка подмены понятий статуса водного объекта и умышленная дезориентация. </w:t>
            </w:r>
          </w:p>
        </w:tc>
      </w:tr>
      <w:tr w:rsidR="00EA72C7" w:rsidTr="00EC4EFD">
        <w:tc>
          <w:tcPr>
            <w:tcW w:w="14501" w:type="dxa"/>
            <w:gridSpan w:val="4"/>
            <w:shd w:val="clear" w:color="auto" w:fill="FFFFFF"/>
          </w:tcPr>
          <w:p w:rsidR="00EA72C7" w:rsidRDefault="00EA72C7" w:rsidP="003E7002">
            <w:pPr>
              <w:tabs>
                <w:tab w:val="left" w:pos="1418"/>
              </w:tabs>
              <w:jc w:val="both"/>
              <w:rPr>
                <w:rFonts w:ascii="Times New Roman" w:eastAsia="Times New Roman" w:hAnsi="Times New Roman" w:cs="Times New Roman"/>
                <w:i/>
                <w:sz w:val="23"/>
                <w:szCs w:val="23"/>
              </w:rPr>
            </w:pPr>
            <w:r>
              <w:rPr>
                <w:rFonts w:ascii="Times New Roman" w:eastAsia="Times New Roman" w:hAnsi="Times New Roman" w:cs="Times New Roman"/>
                <w:i/>
                <w:sz w:val="23"/>
                <w:szCs w:val="23"/>
              </w:rPr>
              <w:t>2 этап – начало процесса организации общественной защиты и сохранения озера  (создание страницы в социальных сетях Instagram, Facebook, призывы к подписанию петиции и распространение постов не превышающих 100 лайков). Период октябрь 2020 по январь 2021г.</w:t>
            </w:r>
          </w:p>
        </w:tc>
      </w:tr>
      <w:tr w:rsidR="00EA72C7" w:rsidTr="00EC4EFD">
        <w:tc>
          <w:tcPr>
            <w:tcW w:w="1055" w:type="dxa"/>
            <w:shd w:val="clear" w:color="auto" w:fill="FFFFFF"/>
          </w:tcPr>
          <w:p w:rsidR="00EA72C7" w:rsidRDefault="00EA72C7" w:rsidP="003E7002">
            <w:pPr>
              <w:tabs>
                <w:tab w:val="left" w:pos="1418"/>
              </w:tabs>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01.10.20</w:t>
            </w:r>
          </w:p>
        </w:tc>
        <w:tc>
          <w:tcPr>
            <w:tcW w:w="3440"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Петиция по сохранению озера Малый Талдыколь на имя Президента страны К.К. Токаева </w:t>
            </w:r>
          </w:p>
        </w:tc>
        <w:tc>
          <w:tcPr>
            <w:tcW w:w="6379"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Сбор подписей, публикации в пабликах, группы по спасению Малого Талдыколя в WhatsApp  </w:t>
            </w:r>
          </w:p>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Петиция подписана 3 140 гражданами, что позволяет относить ее в 5-ку наиболее важных для казахстанского общества проблем</w:t>
            </w:r>
          </w:p>
        </w:tc>
        <w:tc>
          <w:tcPr>
            <w:tcW w:w="3627"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Игнорирование попыток диалога. Дискредитации членов инициативной группы в </w:t>
            </w:r>
            <w:r>
              <w:rPr>
                <w:rFonts w:ascii="Times New Roman" w:eastAsia="Times New Roman" w:hAnsi="Times New Roman" w:cs="Times New Roman"/>
                <w:sz w:val="24"/>
                <w:szCs w:val="24"/>
              </w:rPr>
              <w:lastRenderedPageBreak/>
              <w:t xml:space="preserve">преследовании личных интересов </w:t>
            </w:r>
          </w:p>
        </w:tc>
      </w:tr>
      <w:tr w:rsidR="00EC4EFD" w:rsidTr="00B44802">
        <w:tc>
          <w:tcPr>
            <w:tcW w:w="14501" w:type="dxa"/>
            <w:gridSpan w:val="4"/>
            <w:tcBorders>
              <w:top w:val="nil"/>
              <w:left w:val="nil"/>
              <w:right w:val="nil"/>
            </w:tcBorders>
            <w:shd w:val="clear" w:color="auto" w:fill="FFFFFF"/>
          </w:tcPr>
          <w:p w:rsidR="00EC4EFD" w:rsidRDefault="00EC4EFD" w:rsidP="00B44802">
            <w:pPr>
              <w:tabs>
                <w:tab w:val="left" w:pos="1418"/>
              </w:tabs>
              <w:ind w:hanging="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Продолжение таблицы И.1</w:t>
            </w:r>
          </w:p>
          <w:p w:rsidR="00EC4EFD" w:rsidRDefault="00EC4EFD" w:rsidP="00B44802">
            <w:pPr>
              <w:tabs>
                <w:tab w:val="left" w:pos="1418"/>
              </w:tabs>
              <w:ind w:hanging="94"/>
              <w:jc w:val="both"/>
              <w:rPr>
                <w:rFonts w:ascii="Times New Roman" w:eastAsia="Times New Roman" w:hAnsi="Times New Roman" w:cs="Times New Roman"/>
                <w:sz w:val="16"/>
                <w:szCs w:val="16"/>
              </w:rPr>
            </w:pPr>
          </w:p>
        </w:tc>
      </w:tr>
      <w:tr w:rsidR="00EC4EFD" w:rsidTr="00B44802">
        <w:tc>
          <w:tcPr>
            <w:tcW w:w="1055" w:type="dxa"/>
            <w:shd w:val="clear" w:color="auto" w:fill="FFFFFF"/>
          </w:tcPr>
          <w:p w:rsidR="00EC4EFD" w:rsidRDefault="00EC4EFD" w:rsidP="00B44802">
            <w:pPr>
              <w:tabs>
                <w:tab w:val="left" w:pos="1418"/>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40" w:type="dxa"/>
            <w:shd w:val="clear" w:color="auto" w:fill="FFFFFF"/>
          </w:tcPr>
          <w:p w:rsidR="00EC4EFD" w:rsidRDefault="00EC4EFD" w:rsidP="00B44802">
            <w:pPr>
              <w:tabs>
                <w:tab w:val="left" w:pos="1418"/>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379" w:type="dxa"/>
            <w:shd w:val="clear" w:color="auto" w:fill="FFFFFF"/>
          </w:tcPr>
          <w:p w:rsidR="00EC4EFD" w:rsidRDefault="00EC4EFD" w:rsidP="00B44802">
            <w:pPr>
              <w:tabs>
                <w:tab w:val="left" w:pos="1418"/>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27" w:type="dxa"/>
            <w:shd w:val="clear" w:color="auto" w:fill="FFFFFF"/>
          </w:tcPr>
          <w:p w:rsidR="00EC4EFD" w:rsidRDefault="00EC4EFD" w:rsidP="00B44802">
            <w:pPr>
              <w:tabs>
                <w:tab w:val="left" w:pos="1418"/>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C4EFD" w:rsidTr="00EC4EFD">
        <w:tc>
          <w:tcPr>
            <w:tcW w:w="1055" w:type="dxa"/>
            <w:shd w:val="clear" w:color="auto" w:fill="FFFFFF"/>
          </w:tcPr>
          <w:p w:rsidR="00EC4EFD" w:rsidRDefault="00EC4EFD" w:rsidP="003E7002">
            <w:pPr>
              <w:tabs>
                <w:tab w:val="left" w:pos="1418"/>
              </w:tabs>
              <w:ind w:right="-103"/>
              <w:rPr>
                <w:rFonts w:ascii="Times New Roman" w:eastAsia="Times New Roman" w:hAnsi="Times New Roman" w:cs="Times New Roman"/>
                <w:sz w:val="24"/>
                <w:szCs w:val="24"/>
              </w:rPr>
            </w:pPr>
          </w:p>
        </w:tc>
        <w:tc>
          <w:tcPr>
            <w:tcW w:w="3440" w:type="dxa"/>
            <w:shd w:val="clear" w:color="auto" w:fill="FFFFFF"/>
          </w:tcPr>
          <w:p w:rsidR="00EC4EFD" w:rsidRDefault="00EC4EFD" w:rsidP="003E7002">
            <w:pPr>
              <w:tabs>
                <w:tab w:val="left" w:pos="1418"/>
              </w:tabs>
              <w:rPr>
                <w:rFonts w:ascii="Times New Roman" w:eastAsia="Times New Roman" w:hAnsi="Times New Roman" w:cs="Times New Roman"/>
                <w:sz w:val="24"/>
                <w:szCs w:val="24"/>
              </w:rPr>
            </w:pPr>
          </w:p>
        </w:tc>
        <w:tc>
          <w:tcPr>
            <w:tcW w:w="6379" w:type="dxa"/>
            <w:shd w:val="clear" w:color="auto" w:fill="FFFFFF"/>
          </w:tcPr>
          <w:p w:rsidR="00EC4EFD" w:rsidRDefault="00EC4EFD" w:rsidP="003E7002">
            <w:pPr>
              <w:tabs>
                <w:tab w:val="left" w:pos="1418"/>
              </w:tabs>
              <w:rPr>
                <w:rFonts w:ascii="Times New Roman" w:eastAsia="Times New Roman" w:hAnsi="Times New Roman" w:cs="Times New Roman"/>
                <w:sz w:val="24"/>
                <w:szCs w:val="24"/>
              </w:rPr>
            </w:pPr>
          </w:p>
        </w:tc>
        <w:tc>
          <w:tcPr>
            <w:tcW w:w="3627" w:type="dxa"/>
            <w:shd w:val="clear" w:color="auto" w:fill="FFFFFF"/>
          </w:tcPr>
          <w:p w:rsidR="00EC4EFD" w:rsidRDefault="00EC4EFD" w:rsidP="003E7002">
            <w:pPr>
              <w:tabs>
                <w:tab w:val="left" w:pos="1418"/>
              </w:tabs>
              <w:rPr>
                <w:rFonts w:ascii="Times New Roman" w:eastAsia="Times New Roman" w:hAnsi="Times New Roman" w:cs="Times New Roman"/>
                <w:sz w:val="24"/>
                <w:szCs w:val="24"/>
              </w:rPr>
            </w:pPr>
          </w:p>
        </w:tc>
      </w:tr>
      <w:tr w:rsidR="00EA72C7" w:rsidTr="00EC4EFD">
        <w:tc>
          <w:tcPr>
            <w:tcW w:w="1055" w:type="dxa"/>
            <w:tcBorders>
              <w:bottom w:val="nil"/>
            </w:tcBorders>
            <w:shd w:val="clear" w:color="auto" w:fill="FFFFFF"/>
          </w:tcPr>
          <w:p w:rsidR="00EA72C7" w:rsidRDefault="00EA72C7" w:rsidP="003E7002">
            <w:pPr>
              <w:tabs>
                <w:tab w:val="left" w:pos="1418"/>
              </w:tabs>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31.10.20</w:t>
            </w:r>
          </w:p>
        </w:tc>
        <w:tc>
          <w:tcPr>
            <w:tcW w:w="3440" w:type="dxa"/>
            <w:tcBorders>
              <w:bottom w:val="nil"/>
            </w:tcBorders>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общедоступной группы на Facebook SOS. Taldykol</w:t>
            </w:r>
          </w:p>
        </w:tc>
        <w:tc>
          <w:tcPr>
            <w:tcW w:w="6379" w:type="dxa"/>
            <w:tcBorders>
              <w:bottom w:val="nil"/>
            </w:tcBorders>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ИГ регулярно публикуется вся деятельность, связан ная с сохранением озера.</w:t>
            </w:r>
          </w:p>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Свыше 800 человек подписано, свыше 200 постов и публикаций содержащих 132 фото, 188 текстовой информации, 74 видео и 165 ссылок.</w:t>
            </w:r>
          </w:p>
        </w:tc>
        <w:tc>
          <w:tcPr>
            <w:tcW w:w="3627" w:type="dxa"/>
            <w:tcBorders>
              <w:bottom w:val="nil"/>
            </w:tcBorders>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Игнорирование диалога. Активизация фейковых аккаунтов в пользу решения об осушении озера</w:t>
            </w:r>
          </w:p>
        </w:tc>
      </w:tr>
      <w:tr w:rsidR="00EA72C7" w:rsidTr="00EC4EFD">
        <w:tc>
          <w:tcPr>
            <w:tcW w:w="14501" w:type="dxa"/>
            <w:gridSpan w:val="4"/>
            <w:shd w:val="clear" w:color="auto" w:fill="FFFFFF"/>
          </w:tcPr>
          <w:p w:rsidR="00EA72C7" w:rsidRDefault="00EA72C7" w:rsidP="003E7002">
            <w:pPr>
              <w:tabs>
                <w:tab w:val="left" w:pos="1418"/>
              </w:tabs>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этап – институционализация общественного движения SOS Талдыколь (выработка единой цели и стратегии развития движения, формирование пула экспертов, проведения дискуссий с властью, формализация требований и их публикация). Период январь 2021 по март 2021 г.</w:t>
            </w:r>
          </w:p>
        </w:tc>
      </w:tr>
      <w:tr w:rsidR="00EA72C7" w:rsidTr="00EC4EFD">
        <w:trPr>
          <w:trHeight w:val="1053"/>
        </w:trPr>
        <w:tc>
          <w:tcPr>
            <w:tcW w:w="1055" w:type="dxa"/>
            <w:shd w:val="clear" w:color="auto" w:fill="FFFFFF"/>
          </w:tcPr>
          <w:p w:rsidR="00EA72C7" w:rsidRDefault="00EA72C7" w:rsidP="003E7002">
            <w:pPr>
              <w:tabs>
                <w:tab w:val="left" w:pos="1418"/>
              </w:tabs>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30.01.21</w:t>
            </w:r>
          </w:p>
        </w:tc>
        <w:tc>
          <w:tcPr>
            <w:tcW w:w="3440"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признаки институционализации ИГ, знакомство, встреча офлайн</w:t>
            </w:r>
          </w:p>
        </w:tc>
        <w:tc>
          <w:tcPr>
            <w:tcW w:w="6379"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присоединение @asbk.kz, @artcon.platform, @fading.tse, ecounion.kz</w:t>
            </w:r>
          </w:p>
        </w:tc>
        <w:tc>
          <w:tcPr>
            <w:tcW w:w="3627"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Имитация диалога, посредством ряда публикаций о достигнутых договоренностей с ИГ</w:t>
            </w:r>
          </w:p>
        </w:tc>
      </w:tr>
      <w:tr w:rsidR="00EA72C7" w:rsidTr="00EC4EFD">
        <w:trPr>
          <w:trHeight w:val="781"/>
        </w:trPr>
        <w:tc>
          <w:tcPr>
            <w:tcW w:w="1055" w:type="dxa"/>
            <w:shd w:val="clear" w:color="auto" w:fill="FFFFFF"/>
          </w:tcPr>
          <w:p w:rsidR="00EA72C7" w:rsidRDefault="00EA72C7" w:rsidP="003E7002">
            <w:pPr>
              <w:tabs>
                <w:tab w:val="left" w:pos="1418"/>
              </w:tabs>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06.02.21</w:t>
            </w:r>
          </w:p>
        </w:tc>
        <w:tc>
          <w:tcPr>
            <w:tcW w:w="3440"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Организация ледового катка и горки на озере </w:t>
            </w:r>
          </w:p>
        </w:tc>
        <w:tc>
          <w:tcPr>
            <w:tcW w:w="6379"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свыше 20 человек, массовые катания на катке и горке на протяжении 2 месяцев</w:t>
            </w:r>
          </w:p>
        </w:tc>
        <w:tc>
          <w:tcPr>
            <w:tcW w:w="3627"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Игнорирование</w:t>
            </w:r>
          </w:p>
        </w:tc>
      </w:tr>
      <w:tr w:rsidR="00EA72C7" w:rsidTr="00EC4EFD">
        <w:trPr>
          <w:trHeight w:val="1178"/>
        </w:trPr>
        <w:tc>
          <w:tcPr>
            <w:tcW w:w="1055" w:type="dxa"/>
            <w:shd w:val="clear" w:color="auto" w:fill="FFFFFF"/>
          </w:tcPr>
          <w:p w:rsidR="00EA72C7" w:rsidRDefault="00EA72C7" w:rsidP="003E7002">
            <w:pPr>
              <w:tabs>
                <w:tab w:val="left" w:pos="1418"/>
              </w:tabs>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13.02.21</w:t>
            </w:r>
          </w:p>
        </w:tc>
        <w:tc>
          <w:tcPr>
            <w:tcW w:w="3440"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Круглый стол в Астана ГенПлан</w:t>
            </w:r>
          </w:p>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2-ая попытка  встречи в формате Круглого стола (04.02.20).</w:t>
            </w:r>
          </w:p>
        </w:tc>
        <w:tc>
          <w:tcPr>
            <w:tcW w:w="6379"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от лица ИГ 6 экспертов в области экологии, сохранения биоразнообразия истории и архитектуры. Создание Рабочей группы</w:t>
            </w:r>
          </w:p>
        </w:tc>
        <w:tc>
          <w:tcPr>
            <w:tcW w:w="3627"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Представители акимата выразили мнение о наличии бактерий в воде и что озеро </w:t>
            </w:r>
            <w:r>
              <w:rPr>
                <w:rFonts w:ascii="Times New Roman" w:eastAsia="Times New Roman" w:hAnsi="Times New Roman" w:cs="Times New Roman"/>
                <w:sz w:val="24"/>
                <w:szCs w:val="24"/>
              </w:rPr>
              <w:lastRenderedPageBreak/>
              <w:t xml:space="preserve">является источником запаха и комаров </w:t>
            </w:r>
          </w:p>
        </w:tc>
      </w:tr>
      <w:tr w:rsidR="00EA72C7" w:rsidTr="00EC4EFD">
        <w:tc>
          <w:tcPr>
            <w:tcW w:w="1055" w:type="dxa"/>
            <w:shd w:val="clear" w:color="auto" w:fill="FFFFFF"/>
          </w:tcPr>
          <w:p w:rsidR="00EA72C7" w:rsidRDefault="00EA72C7" w:rsidP="003E7002">
            <w:pPr>
              <w:tabs>
                <w:tab w:val="left" w:pos="1418"/>
              </w:tabs>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14.02.21</w:t>
            </w:r>
          </w:p>
        </w:tc>
        <w:tc>
          <w:tcPr>
            <w:tcW w:w="3440"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Официальная публикация требований инициативной группы</w:t>
            </w:r>
          </w:p>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Формализация требований</w:t>
            </w:r>
          </w:p>
        </w:tc>
        <w:tc>
          <w:tcPr>
            <w:tcW w:w="6379" w:type="dxa"/>
            <w:shd w:val="clear" w:color="auto" w:fill="FFFFFF"/>
          </w:tcPr>
          <w:p w:rsidR="00EA72C7" w:rsidRDefault="00EA72C7" w:rsidP="00EA72C7">
            <w:pPr>
              <w:numPr>
                <w:ilvl w:val="0"/>
                <w:numId w:val="6"/>
              </w:numPr>
              <w:pBdr>
                <w:top w:val="nil"/>
                <w:left w:val="nil"/>
                <w:bottom w:val="nil"/>
                <w:right w:val="nil"/>
                <w:between w:val="nil"/>
              </w:pBdr>
              <w:tabs>
                <w:tab w:val="left" w:pos="323"/>
              </w:tabs>
              <w:spacing w:after="0"/>
              <w:ind w:left="193" w:hanging="1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Приостановление строительства;</w:t>
            </w:r>
          </w:p>
          <w:p w:rsidR="00EA72C7" w:rsidRDefault="00EA72C7" w:rsidP="00EA72C7">
            <w:pPr>
              <w:numPr>
                <w:ilvl w:val="0"/>
                <w:numId w:val="6"/>
              </w:numPr>
              <w:pBdr>
                <w:top w:val="nil"/>
                <w:left w:val="nil"/>
                <w:bottom w:val="nil"/>
                <w:right w:val="nil"/>
                <w:between w:val="nil"/>
              </w:pBdr>
              <w:tabs>
                <w:tab w:val="left" w:pos="323"/>
              </w:tabs>
              <w:spacing w:after="0"/>
              <w:ind w:left="193" w:hanging="1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открытого слушания;</w:t>
            </w:r>
          </w:p>
          <w:p w:rsidR="00EA72C7" w:rsidRDefault="00EA72C7" w:rsidP="00EA72C7">
            <w:pPr>
              <w:numPr>
                <w:ilvl w:val="0"/>
                <w:numId w:val="6"/>
              </w:numPr>
              <w:pBdr>
                <w:top w:val="nil"/>
                <w:left w:val="nil"/>
                <w:bottom w:val="nil"/>
                <w:right w:val="nil"/>
                <w:between w:val="nil"/>
              </w:pBdr>
              <w:tabs>
                <w:tab w:val="left" w:pos="323"/>
              </w:tabs>
              <w:spacing w:after="0"/>
              <w:ind w:left="193" w:hanging="1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комплексного исследования;</w:t>
            </w:r>
          </w:p>
          <w:p w:rsidR="00EA72C7" w:rsidRDefault="00EA72C7" w:rsidP="00EA72C7">
            <w:pPr>
              <w:numPr>
                <w:ilvl w:val="0"/>
                <w:numId w:val="6"/>
              </w:numPr>
              <w:pBdr>
                <w:top w:val="nil"/>
                <w:left w:val="nil"/>
                <w:bottom w:val="nil"/>
                <w:right w:val="nil"/>
                <w:between w:val="nil"/>
              </w:pBdr>
              <w:tabs>
                <w:tab w:val="left" w:pos="323"/>
              </w:tabs>
              <w:spacing w:after="0"/>
              <w:ind w:left="193" w:hanging="1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Очистка территории от строительного мусора;</w:t>
            </w:r>
          </w:p>
          <w:p w:rsidR="00EA72C7" w:rsidRDefault="00EA72C7" w:rsidP="00EA72C7">
            <w:pPr>
              <w:numPr>
                <w:ilvl w:val="0"/>
                <w:numId w:val="6"/>
              </w:numPr>
              <w:pBdr>
                <w:top w:val="nil"/>
                <w:left w:val="nil"/>
                <w:bottom w:val="nil"/>
                <w:right w:val="nil"/>
                <w:between w:val="nil"/>
              </w:pBdr>
              <w:tabs>
                <w:tab w:val="left" w:pos="323"/>
              </w:tabs>
              <w:spacing w:after="0"/>
              <w:ind w:left="193" w:hanging="1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Отнесение озер к категории водного фонда</w:t>
            </w:r>
          </w:p>
          <w:p w:rsidR="00EA72C7" w:rsidRDefault="00EA72C7" w:rsidP="003E7002">
            <w:pPr>
              <w:numPr>
                <w:ilvl w:val="0"/>
                <w:numId w:val="6"/>
              </w:numPr>
              <w:pBdr>
                <w:top w:val="nil"/>
                <w:left w:val="nil"/>
                <w:bottom w:val="nil"/>
                <w:right w:val="nil"/>
                <w:between w:val="nil"/>
              </w:pBdr>
              <w:tabs>
                <w:tab w:val="left" w:pos="323"/>
              </w:tabs>
              <w:ind w:left="193" w:hanging="1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на озере природного парка</w:t>
            </w:r>
          </w:p>
        </w:tc>
        <w:tc>
          <w:tcPr>
            <w:tcW w:w="3627"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Игнорирование </w:t>
            </w:r>
          </w:p>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Появление комментариев о наличии холеры в воде и что озеро является источником неприятного запаха и комаров </w:t>
            </w:r>
          </w:p>
        </w:tc>
      </w:tr>
      <w:tr w:rsidR="00EA72C7" w:rsidTr="00EC4EFD">
        <w:tc>
          <w:tcPr>
            <w:tcW w:w="14501" w:type="dxa"/>
            <w:gridSpan w:val="4"/>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Выводы: начало диалога с властью, делегирование прав по защите интересов жителей пулу экспертов в разных отраслях</w:t>
            </w:r>
          </w:p>
        </w:tc>
      </w:tr>
      <w:tr w:rsidR="00EA72C7" w:rsidTr="00EC4EFD">
        <w:tc>
          <w:tcPr>
            <w:tcW w:w="14501" w:type="dxa"/>
            <w:gridSpan w:val="4"/>
            <w:tcBorders>
              <w:bottom w:val="single" w:sz="4" w:space="0" w:color="000000"/>
            </w:tcBorders>
            <w:shd w:val="clear" w:color="auto" w:fill="FFFFFF"/>
          </w:tcPr>
          <w:p w:rsidR="00EA72C7" w:rsidRDefault="00EA72C7" w:rsidP="003E7002">
            <w:pPr>
              <w:tabs>
                <w:tab w:val="left" w:pos="1418"/>
              </w:tabs>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4 этап – институционализации (систематизация, регулярность, масштабирование).</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Распространение знаний, просветительская работа, обсуждение тематики вопроса на экспертном поле (цикл лекций-семинаров), добиваются от властей создания Рабочей группы и проведение 1 заседания, усиление использования соцсетей, посты собирают до 9 тыс лайков, акции протеста носят систематический характер на еженедельной основе с привлечение различных социальных слоев. </w:t>
            </w:r>
            <w:r>
              <w:rPr>
                <w:rFonts w:ascii="Times New Roman" w:eastAsia="Times New Roman" w:hAnsi="Times New Roman" w:cs="Times New Roman"/>
                <w:i/>
                <w:sz w:val="24"/>
                <w:szCs w:val="24"/>
              </w:rPr>
              <w:t>Период март 2021 по июль 2021 г.</w:t>
            </w:r>
          </w:p>
        </w:tc>
      </w:tr>
      <w:tr w:rsidR="00EA72C7" w:rsidTr="00EC4EFD">
        <w:tc>
          <w:tcPr>
            <w:tcW w:w="1055" w:type="dxa"/>
            <w:tcBorders>
              <w:bottom w:val="nil"/>
            </w:tcBorders>
            <w:shd w:val="clear" w:color="auto" w:fill="FFFFFF"/>
          </w:tcPr>
          <w:p w:rsidR="00EA72C7" w:rsidRDefault="00EA72C7" w:rsidP="003E7002">
            <w:pPr>
              <w:tabs>
                <w:tab w:val="left" w:pos="1418"/>
              </w:tabs>
              <w:ind w:right="-117"/>
              <w:rPr>
                <w:rFonts w:ascii="Times New Roman" w:eastAsia="Times New Roman" w:hAnsi="Times New Roman" w:cs="Times New Roman"/>
                <w:sz w:val="24"/>
                <w:szCs w:val="24"/>
              </w:rPr>
            </w:pPr>
            <w:r>
              <w:rPr>
                <w:rFonts w:ascii="Times New Roman" w:eastAsia="Times New Roman" w:hAnsi="Times New Roman" w:cs="Times New Roman"/>
                <w:sz w:val="24"/>
                <w:szCs w:val="24"/>
              </w:rPr>
              <w:t>05.03.21</w:t>
            </w:r>
          </w:p>
        </w:tc>
        <w:tc>
          <w:tcPr>
            <w:tcW w:w="3440" w:type="dxa"/>
            <w:tcBorders>
              <w:bottom w:val="nil"/>
            </w:tcBorders>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Перфоманс возле Байтерека в защиту озера Qustar keldy, пуб ликация стихов в защиту озера</w:t>
            </w:r>
          </w:p>
        </w:tc>
        <w:tc>
          <w:tcPr>
            <w:tcW w:w="6379" w:type="dxa"/>
            <w:tcBorders>
              <w:bottom w:val="nil"/>
            </w:tcBorders>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целью показать хрупкость экосистемы </w:t>
            </w:r>
          </w:p>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Организатор Artcom Platform, художники.</w:t>
            </w:r>
          </w:p>
        </w:tc>
        <w:tc>
          <w:tcPr>
            <w:tcW w:w="3627" w:type="dxa"/>
            <w:tcBorders>
              <w:bottom w:val="nil"/>
            </w:tcBorders>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Игнорирование</w:t>
            </w:r>
          </w:p>
        </w:tc>
      </w:tr>
      <w:tr w:rsidR="00EA72C7" w:rsidTr="00EC4EFD">
        <w:tc>
          <w:tcPr>
            <w:tcW w:w="14501" w:type="dxa"/>
            <w:gridSpan w:val="4"/>
            <w:tcBorders>
              <w:top w:val="nil"/>
              <w:left w:val="nil"/>
              <w:right w:val="nil"/>
            </w:tcBorders>
            <w:shd w:val="clear" w:color="auto" w:fill="FFFFFF"/>
          </w:tcPr>
          <w:p w:rsidR="00EA72C7" w:rsidRDefault="00EA72C7" w:rsidP="003E7002">
            <w:pPr>
              <w:tabs>
                <w:tab w:val="left" w:pos="1418"/>
              </w:tabs>
              <w:ind w:hanging="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Продолжение таблицы И.1</w:t>
            </w:r>
          </w:p>
          <w:p w:rsidR="00EA72C7" w:rsidRDefault="00EA72C7" w:rsidP="003E7002">
            <w:pPr>
              <w:tabs>
                <w:tab w:val="left" w:pos="1418"/>
              </w:tabs>
              <w:ind w:hanging="94"/>
              <w:jc w:val="both"/>
              <w:rPr>
                <w:rFonts w:ascii="Times New Roman" w:eastAsia="Times New Roman" w:hAnsi="Times New Roman" w:cs="Times New Roman"/>
                <w:sz w:val="16"/>
                <w:szCs w:val="16"/>
              </w:rPr>
            </w:pPr>
          </w:p>
        </w:tc>
      </w:tr>
      <w:tr w:rsidR="00EA72C7" w:rsidTr="00EC4EFD">
        <w:tc>
          <w:tcPr>
            <w:tcW w:w="1055" w:type="dxa"/>
            <w:shd w:val="clear" w:color="auto" w:fill="FFFFFF"/>
          </w:tcPr>
          <w:p w:rsidR="00EA72C7" w:rsidRDefault="00EA72C7" w:rsidP="003E7002">
            <w:pPr>
              <w:tabs>
                <w:tab w:val="left" w:pos="1418"/>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40" w:type="dxa"/>
            <w:shd w:val="clear" w:color="auto" w:fill="FFFFFF"/>
          </w:tcPr>
          <w:p w:rsidR="00EA72C7" w:rsidRDefault="00EA72C7" w:rsidP="003E7002">
            <w:pPr>
              <w:tabs>
                <w:tab w:val="left" w:pos="1418"/>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379" w:type="dxa"/>
            <w:shd w:val="clear" w:color="auto" w:fill="FFFFFF"/>
          </w:tcPr>
          <w:p w:rsidR="00EA72C7" w:rsidRDefault="00EA72C7" w:rsidP="003E7002">
            <w:pPr>
              <w:tabs>
                <w:tab w:val="left" w:pos="1418"/>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27" w:type="dxa"/>
            <w:shd w:val="clear" w:color="auto" w:fill="FFFFFF"/>
          </w:tcPr>
          <w:p w:rsidR="00EA72C7" w:rsidRDefault="00EA72C7" w:rsidP="003E7002">
            <w:pPr>
              <w:tabs>
                <w:tab w:val="left" w:pos="1418"/>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A72C7" w:rsidTr="00EC4EFD">
        <w:tc>
          <w:tcPr>
            <w:tcW w:w="1055" w:type="dxa"/>
            <w:shd w:val="clear" w:color="auto" w:fill="FFFFFF"/>
          </w:tcPr>
          <w:p w:rsidR="00EA72C7" w:rsidRDefault="00EA72C7" w:rsidP="003E7002">
            <w:pPr>
              <w:tabs>
                <w:tab w:val="left" w:pos="1418"/>
              </w:tabs>
              <w:ind w:right="-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03.04.21 10.04.21 17.04.21 </w:t>
            </w:r>
            <w:r>
              <w:rPr>
                <w:rFonts w:ascii="Times New Roman" w:eastAsia="Times New Roman" w:hAnsi="Times New Roman" w:cs="Times New Roman"/>
                <w:sz w:val="24"/>
                <w:szCs w:val="24"/>
              </w:rPr>
              <w:lastRenderedPageBreak/>
              <w:t>24.04.21 02.05.21</w:t>
            </w:r>
          </w:p>
        </w:tc>
        <w:tc>
          <w:tcPr>
            <w:tcW w:w="3440"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Организация цикла публичных лекций «Город vs Природа» на платформе Facebook и записью на YouTube канале</w:t>
            </w:r>
          </w:p>
        </w:tc>
        <w:tc>
          <w:tcPr>
            <w:tcW w:w="6379"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 создан YouTube канал с одноименным названием где все лекции опубликованы </w:t>
            </w:r>
          </w:p>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 экспертами Казахстана в области экологии, гидрологии, истории, философии, архитектуры и искусства. Всего 11 спикеров.</w:t>
            </w:r>
          </w:p>
        </w:tc>
        <w:tc>
          <w:tcPr>
            <w:tcW w:w="3627"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Игнорирование</w:t>
            </w:r>
          </w:p>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Начаты работы по осушению и фрагментации озер</w:t>
            </w:r>
          </w:p>
          <w:p w:rsidR="00EA72C7" w:rsidRDefault="00EA72C7" w:rsidP="003E7002">
            <w:pPr>
              <w:tabs>
                <w:tab w:val="left" w:pos="1418"/>
              </w:tabs>
              <w:rPr>
                <w:rFonts w:ascii="Times New Roman" w:eastAsia="Times New Roman" w:hAnsi="Times New Roman" w:cs="Times New Roman"/>
                <w:sz w:val="24"/>
                <w:szCs w:val="24"/>
              </w:rPr>
            </w:pPr>
          </w:p>
        </w:tc>
      </w:tr>
      <w:tr w:rsidR="00EA72C7" w:rsidTr="00EC4EFD">
        <w:tc>
          <w:tcPr>
            <w:tcW w:w="1055" w:type="dxa"/>
            <w:shd w:val="clear" w:color="auto" w:fill="FFFFFF"/>
          </w:tcPr>
          <w:p w:rsidR="00EA72C7" w:rsidRDefault="00EA72C7" w:rsidP="003E7002">
            <w:pPr>
              <w:tabs>
                <w:tab w:val="left" w:pos="1418"/>
              </w:tabs>
              <w:ind w:right="-8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23.04.21</w:t>
            </w:r>
          </w:p>
        </w:tc>
        <w:tc>
          <w:tcPr>
            <w:tcW w:w="3440"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Заседание Рабочей группы по вопросам Малого Талдыколя</w:t>
            </w:r>
          </w:p>
          <w:p w:rsidR="00EA72C7" w:rsidRDefault="00EA72C7" w:rsidP="003E7002">
            <w:pPr>
              <w:tabs>
                <w:tab w:val="left" w:pos="1418"/>
              </w:tabs>
              <w:rPr>
                <w:rFonts w:ascii="Times New Roman" w:eastAsia="Times New Roman" w:hAnsi="Times New Roman" w:cs="Times New Roman"/>
                <w:sz w:val="24"/>
                <w:szCs w:val="24"/>
              </w:rPr>
            </w:pPr>
          </w:p>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Попытка диалога</w:t>
            </w:r>
          </w:p>
        </w:tc>
        <w:tc>
          <w:tcPr>
            <w:tcW w:w="6379"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представителей акимата с результатами исследований Малого Талдыколя и международного опыта создания парков.</w:t>
            </w:r>
          </w:p>
        </w:tc>
        <w:tc>
          <w:tcPr>
            <w:tcW w:w="3627"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Обещание изучения всех материалов исследований, проведения забора проб воды</w:t>
            </w:r>
          </w:p>
        </w:tc>
      </w:tr>
      <w:tr w:rsidR="00EA72C7" w:rsidTr="00EC4EFD">
        <w:tc>
          <w:tcPr>
            <w:tcW w:w="1055" w:type="dxa"/>
            <w:shd w:val="clear" w:color="auto" w:fill="FFFFFF"/>
          </w:tcPr>
          <w:p w:rsidR="00EA72C7" w:rsidRDefault="00EA72C7" w:rsidP="003E7002">
            <w:pPr>
              <w:tabs>
                <w:tab w:val="left" w:pos="1418"/>
              </w:tabs>
              <w:ind w:right="-89"/>
              <w:rPr>
                <w:rFonts w:ascii="Times New Roman" w:eastAsia="Times New Roman" w:hAnsi="Times New Roman" w:cs="Times New Roman"/>
                <w:sz w:val="24"/>
                <w:szCs w:val="24"/>
              </w:rPr>
            </w:pPr>
            <w:r>
              <w:rPr>
                <w:rFonts w:ascii="Times New Roman" w:eastAsia="Times New Roman" w:hAnsi="Times New Roman" w:cs="Times New Roman"/>
                <w:sz w:val="24"/>
                <w:szCs w:val="24"/>
              </w:rPr>
              <w:t>24.04.21</w:t>
            </w:r>
          </w:p>
        </w:tc>
        <w:tc>
          <w:tcPr>
            <w:tcW w:w="3440"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палаточного лагеря на озере с приглашением посетить Малый Талдыколь руководство страны</w:t>
            </w:r>
          </w:p>
        </w:tc>
        <w:tc>
          <w:tcPr>
            <w:tcW w:w="6379"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Участвовало 12 человек, никто из представителей власти кроме полиции не приехал.</w:t>
            </w:r>
          </w:p>
          <w:p w:rsidR="00EA72C7" w:rsidRDefault="00EA72C7" w:rsidP="003E7002">
            <w:pPr>
              <w:tabs>
                <w:tab w:val="left" w:pos="1418"/>
              </w:tabs>
              <w:rPr>
                <w:rFonts w:ascii="Times New Roman" w:eastAsia="Times New Roman" w:hAnsi="Times New Roman" w:cs="Times New Roman"/>
                <w:sz w:val="24"/>
                <w:szCs w:val="24"/>
              </w:rPr>
            </w:pPr>
          </w:p>
        </w:tc>
        <w:tc>
          <w:tcPr>
            <w:tcW w:w="3627"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Игнорирование</w:t>
            </w:r>
          </w:p>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Намеренный ввод в заблуждение о том  что озеро сохранят ссылаясь на благоустройство вокруг озера Большой Талдыколь</w:t>
            </w:r>
          </w:p>
        </w:tc>
      </w:tr>
      <w:tr w:rsidR="00EA72C7" w:rsidTr="00EC4EFD">
        <w:tc>
          <w:tcPr>
            <w:tcW w:w="1055" w:type="dxa"/>
            <w:shd w:val="clear" w:color="auto" w:fill="FFFFFF"/>
          </w:tcPr>
          <w:p w:rsidR="00EA72C7" w:rsidRDefault="00EA72C7" w:rsidP="003E7002">
            <w:pPr>
              <w:tabs>
                <w:tab w:val="left" w:pos="1418"/>
              </w:tabs>
              <w:ind w:right="-89"/>
              <w:rPr>
                <w:rFonts w:ascii="Times New Roman" w:eastAsia="Times New Roman" w:hAnsi="Times New Roman" w:cs="Times New Roman"/>
                <w:sz w:val="24"/>
                <w:szCs w:val="24"/>
              </w:rPr>
            </w:pPr>
            <w:r>
              <w:rPr>
                <w:rFonts w:ascii="Times New Roman" w:eastAsia="Times New Roman" w:hAnsi="Times New Roman" w:cs="Times New Roman"/>
                <w:sz w:val="24"/>
                <w:szCs w:val="24"/>
              </w:rPr>
              <w:t>30.04.21</w:t>
            </w:r>
          </w:p>
        </w:tc>
        <w:tc>
          <w:tcPr>
            <w:tcW w:w="3440"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Организация курса медитации (йога) на озере </w:t>
            </w:r>
          </w:p>
        </w:tc>
        <w:tc>
          <w:tcPr>
            <w:tcW w:w="6379"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Участвовало 15 человек</w:t>
            </w:r>
          </w:p>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-асана-йога</w:t>
            </w:r>
          </w:p>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-пикник чаепитие</w:t>
            </w:r>
          </w:p>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 мини субботник</w:t>
            </w:r>
          </w:p>
        </w:tc>
        <w:tc>
          <w:tcPr>
            <w:tcW w:w="3627"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Игнорирование</w:t>
            </w:r>
          </w:p>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Осушение и фрагментация озер продолжается</w:t>
            </w:r>
          </w:p>
        </w:tc>
      </w:tr>
      <w:tr w:rsidR="00EA72C7" w:rsidTr="00EC4EFD">
        <w:tc>
          <w:tcPr>
            <w:tcW w:w="1055" w:type="dxa"/>
            <w:shd w:val="clear" w:color="auto" w:fill="FFFFFF"/>
          </w:tcPr>
          <w:p w:rsidR="00EA72C7" w:rsidRDefault="00EA72C7" w:rsidP="003E7002">
            <w:pPr>
              <w:tabs>
                <w:tab w:val="left" w:pos="1418"/>
              </w:tabs>
              <w:ind w:right="-89"/>
              <w:rPr>
                <w:rFonts w:ascii="Times New Roman" w:eastAsia="Times New Roman" w:hAnsi="Times New Roman" w:cs="Times New Roman"/>
                <w:sz w:val="24"/>
                <w:szCs w:val="24"/>
              </w:rPr>
            </w:pPr>
            <w:r>
              <w:rPr>
                <w:rFonts w:ascii="Times New Roman" w:eastAsia="Times New Roman" w:hAnsi="Times New Roman" w:cs="Times New Roman"/>
                <w:sz w:val="24"/>
                <w:szCs w:val="24"/>
              </w:rPr>
              <w:t>07.05.21</w:t>
            </w:r>
          </w:p>
          <w:p w:rsidR="00EA72C7" w:rsidRDefault="00EA72C7" w:rsidP="003E7002">
            <w:pPr>
              <w:tabs>
                <w:tab w:val="left" w:pos="1418"/>
              </w:tabs>
              <w:ind w:right="-89"/>
              <w:rPr>
                <w:rFonts w:ascii="Times New Roman" w:eastAsia="Times New Roman" w:hAnsi="Times New Roman" w:cs="Times New Roman"/>
                <w:sz w:val="24"/>
                <w:szCs w:val="24"/>
              </w:rPr>
            </w:pPr>
            <w:r>
              <w:rPr>
                <w:rFonts w:ascii="Times New Roman" w:eastAsia="Times New Roman" w:hAnsi="Times New Roman" w:cs="Times New Roman"/>
                <w:sz w:val="24"/>
                <w:szCs w:val="24"/>
              </w:rPr>
              <w:t>09.05.21</w:t>
            </w:r>
          </w:p>
        </w:tc>
        <w:tc>
          <w:tcPr>
            <w:tcW w:w="3440"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пеших прогулок на озере с уборкой мусора</w:t>
            </w:r>
          </w:p>
        </w:tc>
        <w:tc>
          <w:tcPr>
            <w:tcW w:w="6379"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прогулок и фотосессий на берегу озера Малый Талдыколь.</w:t>
            </w:r>
          </w:p>
        </w:tc>
        <w:tc>
          <w:tcPr>
            <w:tcW w:w="3627"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Осушение и фрагментация озер продолжается</w:t>
            </w:r>
          </w:p>
        </w:tc>
      </w:tr>
      <w:tr w:rsidR="00EA72C7" w:rsidTr="00EC4EFD">
        <w:tc>
          <w:tcPr>
            <w:tcW w:w="1055" w:type="dxa"/>
            <w:shd w:val="clear" w:color="auto" w:fill="FFFFFF"/>
          </w:tcPr>
          <w:p w:rsidR="00EA72C7" w:rsidRDefault="00EA72C7" w:rsidP="003E7002">
            <w:pPr>
              <w:tabs>
                <w:tab w:val="left" w:pos="1418"/>
              </w:tabs>
              <w:ind w:right="-89"/>
              <w:rPr>
                <w:rFonts w:ascii="Times New Roman" w:eastAsia="Times New Roman" w:hAnsi="Times New Roman" w:cs="Times New Roman"/>
                <w:sz w:val="24"/>
                <w:szCs w:val="24"/>
              </w:rPr>
            </w:pPr>
            <w:r>
              <w:rPr>
                <w:rFonts w:ascii="Times New Roman" w:eastAsia="Times New Roman" w:hAnsi="Times New Roman" w:cs="Times New Roman"/>
                <w:sz w:val="24"/>
                <w:szCs w:val="24"/>
              </w:rPr>
              <w:t>20.05-25.05.21</w:t>
            </w:r>
          </w:p>
        </w:tc>
        <w:tc>
          <w:tcPr>
            <w:tcW w:w="3440"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Забор пробы воды.</w:t>
            </w:r>
          </w:p>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ИГ на 6 участках озера самостоятельно</w:t>
            </w:r>
          </w:p>
        </w:tc>
        <w:tc>
          <w:tcPr>
            <w:tcW w:w="6379"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Найм лодки, оплата услуг лаборатории, волонтерство</w:t>
            </w:r>
          </w:p>
        </w:tc>
        <w:tc>
          <w:tcPr>
            <w:tcW w:w="3627"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Осушение и фрагментация озер продолжается</w:t>
            </w:r>
          </w:p>
        </w:tc>
      </w:tr>
      <w:tr w:rsidR="00EA72C7" w:rsidTr="00EC4EFD">
        <w:tc>
          <w:tcPr>
            <w:tcW w:w="1055" w:type="dxa"/>
            <w:tcBorders>
              <w:bottom w:val="single" w:sz="4" w:space="0" w:color="000000"/>
            </w:tcBorders>
            <w:shd w:val="clear" w:color="auto" w:fill="FFFFFF"/>
          </w:tcPr>
          <w:p w:rsidR="00EA72C7" w:rsidRDefault="00EA72C7" w:rsidP="003E7002">
            <w:pPr>
              <w:tabs>
                <w:tab w:val="left" w:pos="1418"/>
              </w:tabs>
              <w:ind w:right="-8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13.06.21</w:t>
            </w:r>
          </w:p>
        </w:tc>
        <w:tc>
          <w:tcPr>
            <w:tcW w:w="3440" w:type="dxa"/>
            <w:tcBorders>
              <w:bottom w:val="single" w:sz="4" w:space="0" w:color="000000"/>
            </w:tcBorders>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Организация trail забега на 17 км вокруг озера Малый Талдыколь </w:t>
            </w:r>
          </w:p>
        </w:tc>
        <w:tc>
          <w:tcPr>
            <w:tcW w:w="6379" w:type="dxa"/>
            <w:tcBorders>
              <w:bottom w:val="single" w:sz="4" w:space="0" w:color="000000"/>
            </w:tcBorders>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Приняло участие 25 бегунов из разных клубов столицы</w:t>
            </w:r>
          </w:p>
        </w:tc>
        <w:tc>
          <w:tcPr>
            <w:tcW w:w="3627" w:type="dxa"/>
            <w:tcBorders>
              <w:bottom w:val="single" w:sz="4" w:space="0" w:color="000000"/>
            </w:tcBorders>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Осушение и фрагментация озер продолжается</w:t>
            </w:r>
          </w:p>
        </w:tc>
      </w:tr>
      <w:tr w:rsidR="00EA72C7" w:rsidTr="00EC4EFD">
        <w:tc>
          <w:tcPr>
            <w:tcW w:w="1055" w:type="dxa"/>
            <w:tcBorders>
              <w:bottom w:val="nil"/>
            </w:tcBorders>
            <w:shd w:val="clear" w:color="auto" w:fill="FFFFFF"/>
          </w:tcPr>
          <w:p w:rsidR="00EA72C7" w:rsidRDefault="00EA72C7" w:rsidP="003E7002">
            <w:pPr>
              <w:tabs>
                <w:tab w:val="left" w:pos="1418"/>
              </w:tabs>
              <w:ind w:right="-89"/>
              <w:rPr>
                <w:rFonts w:ascii="Times New Roman" w:eastAsia="Times New Roman" w:hAnsi="Times New Roman" w:cs="Times New Roman"/>
                <w:sz w:val="24"/>
                <w:szCs w:val="24"/>
              </w:rPr>
            </w:pPr>
            <w:r>
              <w:rPr>
                <w:rFonts w:ascii="Times New Roman" w:eastAsia="Times New Roman" w:hAnsi="Times New Roman" w:cs="Times New Roman"/>
                <w:sz w:val="24"/>
                <w:szCs w:val="24"/>
              </w:rPr>
              <w:t>13.06.21</w:t>
            </w:r>
          </w:p>
        </w:tc>
        <w:tc>
          <w:tcPr>
            <w:tcW w:w="3440" w:type="dxa"/>
            <w:tcBorders>
              <w:bottom w:val="nil"/>
            </w:tcBorders>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субботника с трансляцией в сторис</w:t>
            </w:r>
          </w:p>
        </w:tc>
        <w:tc>
          <w:tcPr>
            <w:tcW w:w="6379" w:type="dxa"/>
            <w:tcBorders>
              <w:bottom w:val="nil"/>
            </w:tcBorders>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Приняло участие свыше 40 человек, участвовали члены общественных экологических организаций</w:t>
            </w:r>
          </w:p>
        </w:tc>
        <w:tc>
          <w:tcPr>
            <w:tcW w:w="3627" w:type="dxa"/>
            <w:tcBorders>
              <w:bottom w:val="nil"/>
            </w:tcBorders>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Дезинформация касательно строительства туристического комплекса на озере</w:t>
            </w:r>
          </w:p>
        </w:tc>
      </w:tr>
      <w:tr w:rsidR="00EA72C7" w:rsidTr="00EC4EFD">
        <w:tc>
          <w:tcPr>
            <w:tcW w:w="14501" w:type="dxa"/>
            <w:gridSpan w:val="4"/>
            <w:tcBorders>
              <w:top w:val="nil"/>
              <w:left w:val="nil"/>
              <w:right w:val="nil"/>
            </w:tcBorders>
            <w:shd w:val="clear" w:color="auto" w:fill="FFFFFF"/>
          </w:tcPr>
          <w:p w:rsidR="00EA72C7" w:rsidRDefault="00EA72C7" w:rsidP="003E7002">
            <w:pPr>
              <w:tabs>
                <w:tab w:val="left" w:pos="1418"/>
              </w:tabs>
              <w:ind w:hanging="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Продолжение таблицы И.1</w:t>
            </w:r>
          </w:p>
          <w:p w:rsidR="00EA72C7" w:rsidRDefault="00EA72C7" w:rsidP="003E7002">
            <w:pPr>
              <w:tabs>
                <w:tab w:val="left" w:pos="1418"/>
              </w:tabs>
              <w:ind w:hanging="94"/>
              <w:jc w:val="both"/>
              <w:rPr>
                <w:rFonts w:ascii="Times New Roman" w:eastAsia="Times New Roman" w:hAnsi="Times New Roman" w:cs="Times New Roman"/>
                <w:sz w:val="16"/>
                <w:szCs w:val="16"/>
              </w:rPr>
            </w:pPr>
          </w:p>
        </w:tc>
      </w:tr>
      <w:tr w:rsidR="00EA72C7" w:rsidTr="00EC4EFD">
        <w:tc>
          <w:tcPr>
            <w:tcW w:w="1055" w:type="dxa"/>
            <w:shd w:val="clear" w:color="auto" w:fill="FFFFFF"/>
          </w:tcPr>
          <w:p w:rsidR="00EA72C7" w:rsidRDefault="00EA72C7" w:rsidP="003E7002">
            <w:pPr>
              <w:tabs>
                <w:tab w:val="left" w:pos="1418"/>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40" w:type="dxa"/>
            <w:shd w:val="clear" w:color="auto" w:fill="FFFFFF"/>
          </w:tcPr>
          <w:p w:rsidR="00EA72C7" w:rsidRDefault="00EA72C7" w:rsidP="003E7002">
            <w:pPr>
              <w:tabs>
                <w:tab w:val="left" w:pos="1418"/>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379" w:type="dxa"/>
            <w:shd w:val="clear" w:color="auto" w:fill="FFFFFF"/>
          </w:tcPr>
          <w:p w:rsidR="00EA72C7" w:rsidRDefault="00EA72C7" w:rsidP="003E7002">
            <w:pPr>
              <w:tabs>
                <w:tab w:val="left" w:pos="1418"/>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27" w:type="dxa"/>
            <w:shd w:val="clear" w:color="auto" w:fill="FFFFFF"/>
          </w:tcPr>
          <w:p w:rsidR="00EA72C7" w:rsidRDefault="00EA72C7" w:rsidP="003E7002">
            <w:pPr>
              <w:tabs>
                <w:tab w:val="left" w:pos="1418"/>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A72C7" w:rsidTr="00EC4EFD">
        <w:tc>
          <w:tcPr>
            <w:tcW w:w="1055" w:type="dxa"/>
            <w:shd w:val="clear" w:color="auto" w:fill="FFFFFF"/>
          </w:tcPr>
          <w:p w:rsidR="00EA72C7" w:rsidRDefault="00EA72C7" w:rsidP="003E7002">
            <w:pPr>
              <w:tabs>
                <w:tab w:val="left" w:pos="1418"/>
              </w:tabs>
              <w:ind w:right="-75"/>
              <w:rPr>
                <w:rFonts w:ascii="Times New Roman" w:eastAsia="Times New Roman" w:hAnsi="Times New Roman" w:cs="Times New Roman"/>
                <w:sz w:val="24"/>
                <w:szCs w:val="24"/>
              </w:rPr>
            </w:pPr>
            <w:r>
              <w:rPr>
                <w:rFonts w:ascii="Times New Roman" w:eastAsia="Times New Roman" w:hAnsi="Times New Roman" w:cs="Times New Roman"/>
                <w:sz w:val="24"/>
                <w:szCs w:val="24"/>
              </w:rPr>
              <w:t>10.07.21</w:t>
            </w:r>
          </w:p>
        </w:tc>
        <w:tc>
          <w:tcPr>
            <w:tcW w:w="3440"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и распространение ролика «Самое красивое место в Астане».</w:t>
            </w:r>
          </w:p>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пеших прогулок на озере с уборкой мусора</w:t>
            </w:r>
          </w:p>
        </w:tc>
        <w:tc>
          <w:tcPr>
            <w:tcW w:w="6379"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Ряд публикаций в официальных СМИ, обсуждение вопроса незаконности застройки в социальных сетях среди не только жителей Нур-Султана, но и других городов Казахстана.</w:t>
            </w:r>
          </w:p>
        </w:tc>
        <w:tc>
          <w:tcPr>
            <w:tcW w:w="3627"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Осушение и фрагментация продолжается. Заявление акимата о том что участок водной глади будет сохранен </w:t>
            </w:r>
          </w:p>
        </w:tc>
      </w:tr>
      <w:tr w:rsidR="00EA72C7" w:rsidTr="00EC4EFD">
        <w:tc>
          <w:tcPr>
            <w:tcW w:w="14501" w:type="dxa"/>
            <w:gridSpan w:val="4"/>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Выводы: сформировался устойчивый коммьюнити жителей, экспертов, экоактивистов</w:t>
            </w:r>
          </w:p>
        </w:tc>
      </w:tr>
      <w:tr w:rsidR="00EA72C7" w:rsidTr="00EC4EFD">
        <w:tc>
          <w:tcPr>
            <w:tcW w:w="14501" w:type="dxa"/>
            <w:gridSpan w:val="4"/>
            <w:shd w:val="clear" w:color="auto" w:fill="FFFFFF"/>
          </w:tcPr>
          <w:p w:rsidR="00EA72C7" w:rsidRDefault="00EA72C7" w:rsidP="003E7002">
            <w:pPr>
              <w:tabs>
                <w:tab w:val="left" w:pos="1418"/>
              </w:tabs>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5 этап – создание легитимных форм общественного контроля.</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Систематизация  мониторинга и контроля за нарушением природоохранного допускаемыми застройщиками, привлечение профессиональных юристов для подготовки исков, брендирование гражданского движения посредством символизации, обращения международному сообществу,  подготовка и трансляция цикла документальных фильмов, привлечение блогеров, петиция Главе государства достигла 12 тысяч голосов. </w:t>
            </w:r>
          </w:p>
          <w:p w:rsidR="00EA72C7" w:rsidRDefault="00EA72C7" w:rsidP="003E7002">
            <w:pPr>
              <w:tabs>
                <w:tab w:val="left" w:pos="1418"/>
              </w:tabs>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Период с июля 2021 г. по настоящее время.</w:t>
            </w:r>
          </w:p>
        </w:tc>
      </w:tr>
      <w:tr w:rsidR="00EA72C7" w:rsidTr="00EC4EFD">
        <w:tc>
          <w:tcPr>
            <w:tcW w:w="1055" w:type="dxa"/>
            <w:shd w:val="clear" w:color="auto" w:fill="FFFFFF"/>
          </w:tcPr>
          <w:p w:rsidR="00EA72C7" w:rsidRDefault="00EA72C7" w:rsidP="003E7002">
            <w:pPr>
              <w:tabs>
                <w:tab w:val="left" w:pos="1418"/>
              </w:tabs>
              <w:ind w:right="-89"/>
              <w:rPr>
                <w:rFonts w:ascii="Times New Roman" w:eastAsia="Times New Roman" w:hAnsi="Times New Roman" w:cs="Times New Roman"/>
                <w:sz w:val="24"/>
                <w:szCs w:val="24"/>
              </w:rPr>
            </w:pPr>
            <w:r>
              <w:rPr>
                <w:rFonts w:ascii="Times New Roman" w:eastAsia="Times New Roman" w:hAnsi="Times New Roman" w:cs="Times New Roman"/>
                <w:sz w:val="24"/>
                <w:szCs w:val="24"/>
              </w:rPr>
              <w:t>15.07.21</w:t>
            </w:r>
          </w:p>
        </w:tc>
        <w:tc>
          <w:tcPr>
            <w:tcW w:w="3440"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Официальный комментарий Министра экологии, геологии и природных ресурсов о том что озеро на балансе акимата и </w:t>
            </w:r>
            <w:r>
              <w:rPr>
                <w:rFonts w:ascii="Times New Roman" w:eastAsia="Times New Roman" w:hAnsi="Times New Roman" w:cs="Times New Roman"/>
                <w:sz w:val="24"/>
                <w:szCs w:val="24"/>
              </w:rPr>
              <w:lastRenderedPageBreak/>
              <w:t>исследования должны финансировать МИО</w:t>
            </w:r>
          </w:p>
        </w:tc>
        <w:tc>
          <w:tcPr>
            <w:tcW w:w="6379"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Привлечение к обсуждению зарубежных экспертов. Серия выпусков с комментариями журналистов и экологов. Достигнуто соглашение с сообществом профессиональных юристов о подаче исков на строительные компании.</w:t>
            </w:r>
          </w:p>
        </w:tc>
        <w:tc>
          <w:tcPr>
            <w:tcW w:w="3627"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Решением акимата водный объект «озеро Малый Талдыколь» был переведен из </w:t>
            </w:r>
            <w:r>
              <w:rPr>
                <w:rFonts w:ascii="Times New Roman" w:eastAsia="Times New Roman" w:hAnsi="Times New Roman" w:cs="Times New Roman"/>
                <w:sz w:val="24"/>
                <w:szCs w:val="24"/>
              </w:rPr>
              <w:lastRenderedPageBreak/>
              <w:t>земель водного фонда в земли населенного пункта</w:t>
            </w:r>
          </w:p>
        </w:tc>
      </w:tr>
      <w:tr w:rsidR="00EA72C7" w:rsidTr="00EC4EFD">
        <w:tc>
          <w:tcPr>
            <w:tcW w:w="1055" w:type="dxa"/>
            <w:shd w:val="clear" w:color="auto" w:fill="FFFFFF"/>
          </w:tcPr>
          <w:p w:rsidR="00EA72C7" w:rsidRDefault="00EA72C7" w:rsidP="003E7002">
            <w:pPr>
              <w:tabs>
                <w:tab w:val="left" w:pos="1418"/>
              </w:tabs>
              <w:ind w:right="-8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17.09.21</w:t>
            </w:r>
          </w:p>
        </w:tc>
        <w:tc>
          <w:tcPr>
            <w:tcW w:w="3440"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Петиция по сохранению озера Малый Талдыколь на имя Президента РК</w:t>
            </w:r>
          </w:p>
          <w:p w:rsidR="00EA72C7" w:rsidRDefault="00EA72C7" w:rsidP="003E7002">
            <w:pPr>
              <w:tabs>
                <w:tab w:val="left" w:pos="1418"/>
              </w:tabs>
              <w:rPr>
                <w:rFonts w:ascii="Times New Roman" w:eastAsia="Times New Roman" w:hAnsi="Times New Roman" w:cs="Times New Roman"/>
                <w:sz w:val="24"/>
                <w:szCs w:val="24"/>
              </w:rPr>
            </w:pPr>
          </w:p>
        </w:tc>
        <w:tc>
          <w:tcPr>
            <w:tcW w:w="6379"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color w:val="262626"/>
                <w:sz w:val="24"/>
                <w:szCs w:val="24"/>
                <w:highlight w:val="white"/>
              </w:rPr>
              <w:t xml:space="preserve">Петиция подписана свыше 12.000 голосов, представляет из себя книгу в 1583 страницы с комментариями, </w:t>
            </w:r>
            <w:hyperlink r:id="rId101">
              <w:r>
                <w:rPr>
                  <w:rFonts w:ascii="Times New Roman" w:eastAsia="Times New Roman" w:hAnsi="Times New Roman" w:cs="Times New Roman"/>
                  <w:color w:val="000000"/>
                  <w:sz w:val="24"/>
                  <w:szCs w:val="24"/>
                  <w:highlight w:val="white"/>
                </w:rPr>
                <w:t>@tokayev_online</w:t>
              </w:r>
            </w:hyperlink>
            <w:r>
              <w:rPr>
                <w:rFonts w:ascii="Times New Roman" w:eastAsia="Times New Roman" w:hAnsi="Times New Roman" w:cs="Times New Roman"/>
                <w:sz w:val="24"/>
                <w:szCs w:val="24"/>
              </w:rPr>
              <w:br/>
            </w:r>
            <w:r>
              <w:rPr>
                <w:rFonts w:ascii="Quattrocento Sans" w:eastAsia="Quattrocento Sans" w:hAnsi="Quattrocento Sans" w:cs="Quattrocento Sans"/>
                <w:sz w:val="24"/>
                <w:szCs w:val="24"/>
                <w:highlight w:val="white"/>
              </w:rPr>
              <w:t>⠀📍</w:t>
            </w:r>
            <w:r>
              <w:rPr>
                <w:rFonts w:ascii="Times New Roman" w:eastAsia="Times New Roman" w:hAnsi="Times New Roman" w:cs="Times New Roman"/>
                <w:sz w:val="24"/>
                <w:szCs w:val="24"/>
                <w:highlight w:val="white"/>
              </w:rPr>
              <w:t xml:space="preserve"> </w:t>
            </w:r>
            <w:hyperlink r:id="rId102">
              <w:r>
                <w:rPr>
                  <w:rFonts w:ascii="Times New Roman" w:eastAsia="Times New Roman" w:hAnsi="Times New Roman" w:cs="Times New Roman"/>
                  <w:color w:val="000000"/>
                  <w:sz w:val="24"/>
                  <w:szCs w:val="24"/>
                  <w:highlight w:val="white"/>
                </w:rPr>
                <w:t>@akordapress</w:t>
              </w:r>
            </w:hyperlink>
            <w:hyperlink r:id="rId103">
              <w:r>
                <w:rPr>
                  <w:rFonts w:ascii="Times New Roman" w:eastAsia="Times New Roman" w:hAnsi="Times New Roman" w:cs="Times New Roman"/>
                  <w:color w:val="000000"/>
                  <w:sz w:val="24"/>
                  <w:szCs w:val="24"/>
                  <w:highlight w:val="white"/>
                </w:rPr>
                <w:t>@berikuali</w:t>
              </w:r>
            </w:hyperlink>
          </w:p>
        </w:tc>
        <w:tc>
          <w:tcPr>
            <w:tcW w:w="3627" w:type="dxa"/>
            <w:shd w:val="clear" w:color="auto" w:fill="FFFFFF"/>
          </w:tcPr>
          <w:p w:rsidR="00EA72C7" w:rsidRDefault="00EA72C7" w:rsidP="003E7002">
            <w:pPr>
              <w:tabs>
                <w:tab w:val="left" w:pos="1418"/>
              </w:tabs>
              <w:rPr>
                <w:rFonts w:ascii="Times New Roman" w:eastAsia="Times New Roman" w:hAnsi="Times New Roman" w:cs="Times New Roman"/>
                <w:sz w:val="24"/>
                <w:szCs w:val="24"/>
              </w:rPr>
            </w:pPr>
            <w:r>
              <w:rPr>
                <w:rFonts w:ascii="Times New Roman" w:eastAsia="Times New Roman" w:hAnsi="Times New Roman" w:cs="Times New Roman"/>
                <w:sz w:val="24"/>
                <w:szCs w:val="24"/>
              </w:rPr>
              <w:t>В открытых источниках отсутствует информация об изменении статуса земель.</w:t>
            </w:r>
          </w:p>
        </w:tc>
      </w:tr>
    </w:tbl>
    <w:p w:rsidR="00EA72C7" w:rsidRDefault="00EA72C7" w:rsidP="00EA72C7">
      <w:pPr>
        <w:shd w:val="clear" w:color="auto" w:fill="FFFFFF"/>
        <w:tabs>
          <w:tab w:val="left" w:pos="851"/>
          <w:tab w:val="left" w:pos="993"/>
        </w:tabs>
        <w:spacing w:after="0" w:line="240" w:lineRule="auto"/>
        <w:jc w:val="both"/>
        <w:rPr>
          <w:rFonts w:ascii="Times New Roman" w:eastAsia="Times New Roman" w:hAnsi="Times New Roman" w:cs="Times New Roman"/>
          <w:sz w:val="28"/>
          <w:szCs w:val="28"/>
        </w:rPr>
      </w:pPr>
    </w:p>
    <w:p w:rsidR="00EA72C7" w:rsidRDefault="00EA72C7" w:rsidP="00EA72C7">
      <w:pPr>
        <w:shd w:val="clear" w:color="auto" w:fill="FFFFFF"/>
        <w:tabs>
          <w:tab w:val="left" w:pos="851"/>
          <w:tab w:val="left" w:pos="993"/>
        </w:tabs>
        <w:spacing w:after="0" w:line="240" w:lineRule="auto"/>
        <w:jc w:val="center"/>
        <w:rPr>
          <w:rFonts w:ascii="Times New Roman" w:eastAsia="Times New Roman" w:hAnsi="Times New Roman" w:cs="Times New Roman"/>
          <w:b/>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pStyle w:val="2"/>
        <w:spacing w:before="0" w:line="240" w:lineRule="auto"/>
        <w:jc w:val="center"/>
        <w:rPr>
          <w:rFonts w:ascii="Times New Roman" w:eastAsia="Times New Roman" w:hAnsi="Times New Roman" w:cs="Times New Roman"/>
          <w:color w:val="000000"/>
          <w:sz w:val="28"/>
          <w:szCs w:val="28"/>
        </w:rPr>
      </w:pPr>
      <w:bookmarkStart w:id="35" w:name="_heading=h.ihv636" w:colFirst="0" w:colLast="0"/>
      <w:bookmarkEnd w:id="35"/>
    </w:p>
    <w:p w:rsidR="00EA72C7" w:rsidRDefault="00EA72C7" w:rsidP="00EA72C7">
      <w:pPr>
        <w:pStyle w:val="2"/>
        <w:spacing w:before="0" w:line="240" w:lineRule="auto"/>
        <w:rPr>
          <w:rFonts w:ascii="Times New Roman" w:eastAsia="Times New Roman" w:hAnsi="Times New Roman" w:cs="Times New Roman"/>
          <w:color w:val="000000"/>
          <w:sz w:val="28"/>
          <w:szCs w:val="28"/>
        </w:rPr>
      </w:pPr>
    </w:p>
    <w:p w:rsidR="00EA72C7" w:rsidRDefault="00EA72C7" w:rsidP="00EA72C7">
      <w:pPr>
        <w:spacing w:after="0" w:line="240" w:lineRule="auto"/>
        <w:jc w:val="both"/>
        <w:rPr>
          <w:rFonts w:ascii="Times New Roman" w:eastAsia="Times New Roman" w:hAnsi="Times New Roman" w:cs="Times New Roman"/>
          <w:sz w:val="28"/>
          <w:szCs w:val="28"/>
        </w:rPr>
      </w:pPr>
    </w:p>
    <w:p w:rsidR="00EA72C7" w:rsidRDefault="00EA72C7" w:rsidP="00EA72C7">
      <w:pPr>
        <w:spacing w:after="0" w:line="240" w:lineRule="auto"/>
        <w:rPr>
          <w:rFonts w:ascii="Times New Roman" w:eastAsia="Times New Roman" w:hAnsi="Times New Roman" w:cs="Times New Roman"/>
          <w:color w:val="000000"/>
          <w:sz w:val="28"/>
          <w:szCs w:val="28"/>
        </w:rPr>
      </w:pPr>
      <w:r>
        <w:br w:type="page"/>
      </w:r>
      <w:bookmarkStart w:id="36" w:name="_heading=h.32hioqz" w:colFirst="0" w:colLast="0"/>
      <w:bookmarkStart w:id="37" w:name="_heading=h.1hmsyys" w:colFirst="0" w:colLast="0"/>
      <w:bookmarkStart w:id="38" w:name="_heading=h.41mghml" w:colFirst="0" w:colLast="0"/>
      <w:bookmarkEnd w:id="36"/>
      <w:bookmarkEnd w:id="37"/>
      <w:bookmarkEnd w:id="38"/>
      <w:r>
        <w:rPr>
          <w:rFonts w:ascii="Times New Roman" w:eastAsia="Times New Roman" w:hAnsi="Times New Roman" w:cs="Times New Roman"/>
          <w:color w:val="000000"/>
          <w:sz w:val="28"/>
          <w:szCs w:val="28"/>
        </w:rPr>
        <w:lastRenderedPageBreak/>
        <w:t>ПРИЛОЖЕНИЕ Н</w:t>
      </w:r>
    </w:p>
    <w:p w:rsidR="00EA72C7" w:rsidRDefault="00EA72C7" w:rsidP="00EA72C7">
      <w:pPr>
        <w:pStyle w:val="2"/>
        <w:spacing w:before="0" w:line="240" w:lineRule="auto"/>
        <w:jc w:val="both"/>
        <w:rPr>
          <w:rFonts w:ascii="Times New Roman" w:eastAsia="Times New Roman" w:hAnsi="Times New Roman" w:cs="Times New Roman"/>
          <w:color w:val="000000"/>
          <w:sz w:val="28"/>
          <w:szCs w:val="28"/>
        </w:rPr>
      </w:pPr>
    </w:p>
    <w:p w:rsidR="00EA72C7" w:rsidRDefault="00EA72C7" w:rsidP="00EA72C7">
      <w:pPr>
        <w:pStyle w:val="2"/>
        <w:spacing w:before="0" w:line="240" w:lineRule="auto"/>
        <w:jc w:val="both"/>
        <w:rPr>
          <w:sz w:val="24"/>
          <w:szCs w:val="24"/>
        </w:rPr>
      </w:pPr>
      <w:r>
        <w:rPr>
          <w:rFonts w:ascii="Times New Roman" w:eastAsia="Times New Roman" w:hAnsi="Times New Roman" w:cs="Times New Roman"/>
          <w:b w:val="0"/>
          <w:color w:val="000000"/>
          <w:sz w:val="28"/>
          <w:szCs w:val="28"/>
        </w:rPr>
        <w:t xml:space="preserve"> </w:t>
      </w:r>
    </w:p>
    <w:p w:rsidR="00EA72C7" w:rsidRDefault="00EA72C7" w:rsidP="00EA72C7">
      <w:pPr>
        <w:spacing w:after="0" w:line="240" w:lineRule="auto"/>
      </w:pPr>
      <w:r>
        <w:rPr>
          <w:noProof/>
        </w:rPr>
        <mc:AlternateContent>
          <mc:Choice Requires="wpg">
            <w:drawing>
              <wp:inline distT="0" distB="0" distL="0" distR="0" wp14:anchorId="5A6FDDAF" wp14:editId="1098687B">
                <wp:extent cx="9096375" cy="4381995"/>
                <wp:effectExtent l="0" t="0" r="0" b="0"/>
                <wp:docPr id="274" name="Группа 274"/>
                <wp:cNvGraphicFramePr/>
                <a:graphic xmlns:a="http://schemas.openxmlformats.org/drawingml/2006/main">
                  <a:graphicData uri="http://schemas.microsoft.com/office/word/2010/wordprocessingGroup">
                    <wpg:wgp>
                      <wpg:cNvGrpSpPr/>
                      <wpg:grpSpPr>
                        <a:xfrm>
                          <a:off x="0" y="0"/>
                          <a:ext cx="9096375" cy="4381995"/>
                          <a:chOff x="0" y="0"/>
                          <a:chExt cx="9102575" cy="4381975"/>
                        </a:xfrm>
                      </wpg:grpSpPr>
                      <wpg:grpSp>
                        <wpg:cNvPr id="275" name="Группа 275"/>
                        <wpg:cNvGrpSpPr/>
                        <wpg:grpSpPr>
                          <a:xfrm>
                            <a:off x="0" y="0"/>
                            <a:ext cx="9096375" cy="4381975"/>
                            <a:chOff x="0" y="0"/>
                            <a:chExt cx="9096375" cy="4381975"/>
                          </a:xfrm>
                        </wpg:grpSpPr>
                        <wps:wsp>
                          <wps:cNvPr id="276" name="Прямоугольник 276"/>
                          <wps:cNvSpPr/>
                          <wps:spPr>
                            <a:xfrm>
                              <a:off x="0" y="0"/>
                              <a:ext cx="9096375" cy="4381975"/>
                            </a:xfrm>
                            <a:prstGeom prst="rect">
                              <a:avLst/>
                            </a:prstGeom>
                            <a:noFill/>
                            <a:ln>
                              <a:noFill/>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77" name="Полилиния 277"/>
                          <wps:cNvSpPr/>
                          <wps:spPr>
                            <a:xfrm>
                              <a:off x="8094158" y="3062148"/>
                              <a:ext cx="91440" cy="348194"/>
                            </a:xfrm>
                            <a:custGeom>
                              <a:avLst/>
                              <a:gdLst/>
                              <a:ahLst/>
                              <a:cxnLst/>
                              <a:rect l="l" t="t" r="r" b="b"/>
                              <a:pathLst>
                                <a:path w="120000" h="120000" extrusionOk="0">
                                  <a:moveTo>
                                    <a:pt x="60000" y="0"/>
                                  </a:moveTo>
                                  <a:lnTo>
                                    <a:pt x="6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78" name="Полилиния 278"/>
                          <wps:cNvSpPr/>
                          <wps:spPr>
                            <a:xfrm>
                              <a:off x="6676597" y="1953713"/>
                              <a:ext cx="1463281" cy="348194"/>
                            </a:xfrm>
                            <a:custGeom>
                              <a:avLst/>
                              <a:gdLst/>
                              <a:ahLst/>
                              <a:cxnLst/>
                              <a:rect l="l" t="t" r="r" b="b"/>
                              <a:pathLst>
                                <a:path w="120000" h="120000" extrusionOk="0">
                                  <a:moveTo>
                                    <a:pt x="0" y="0"/>
                                  </a:moveTo>
                                  <a:lnTo>
                                    <a:pt x="0" y="81776"/>
                                  </a:lnTo>
                                  <a:lnTo>
                                    <a:pt x="120000" y="81776"/>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79" name="Полилиния 279"/>
                          <wps:cNvSpPr/>
                          <wps:spPr>
                            <a:xfrm>
                              <a:off x="6451900" y="1953713"/>
                              <a:ext cx="224696" cy="348194"/>
                            </a:xfrm>
                            <a:custGeom>
                              <a:avLst/>
                              <a:gdLst/>
                              <a:ahLst/>
                              <a:cxnLst/>
                              <a:rect l="l" t="t" r="r" b="b"/>
                              <a:pathLst>
                                <a:path w="120000" h="120000" extrusionOk="0">
                                  <a:moveTo>
                                    <a:pt x="120000" y="0"/>
                                  </a:moveTo>
                                  <a:lnTo>
                                    <a:pt x="120000" y="81776"/>
                                  </a:lnTo>
                                  <a:lnTo>
                                    <a:pt x="0" y="81776"/>
                                  </a:lnTo>
                                  <a:lnTo>
                                    <a:pt x="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80" name="Полилиния 280"/>
                          <wps:cNvSpPr/>
                          <wps:spPr>
                            <a:xfrm>
                              <a:off x="4988619" y="1953713"/>
                              <a:ext cx="1687977" cy="348194"/>
                            </a:xfrm>
                            <a:custGeom>
                              <a:avLst/>
                              <a:gdLst/>
                              <a:ahLst/>
                              <a:cxnLst/>
                              <a:rect l="l" t="t" r="r" b="b"/>
                              <a:pathLst>
                                <a:path w="120000" h="120000" extrusionOk="0">
                                  <a:moveTo>
                                    <a:pt x="120000" y="0"/>
                                  </a:moveTo>
                                  <a:lnTo>
                                    <a:pt x="120000" y="81776"/>
                                  </a:lnTo>
                                  <a:lnTo>
                                    <a:pt x="0" y="81776"/>
                                  </a:lnTo>
                                  <a:lnTo>
                                    <a:pt x="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81" name="Полилиния 281"/>
                          <wps:cNvSpPr/>
                          <wps:spPr>
                            <a:xfrm>
                              <a:off x="4394249" y="845277"/>
                              <a:ext cx="2282347" cy="348194"/>
                            </a:xfrm>
                            <a:custGeom>
                              <a:avLst/>
                              <a:gdLst/>
                              <a:ahLst/>
                              <a:cxnLst/>
                              <a:rect l="l" t="t" r="r" b="b"/>
                              <a:pathLst>
                                <a:path w="120000" h="120000" extrusionOk="0">
                                  <a:moveTo>
                                    <a:pt x="0" y="0"/>
                                  </a:moveTo>
                                  <a:lnTo>
                                    <a:pt x="0" y="81776"/>
                                  </a:lnTo>
                                  <a:lnTo>
                                    <a:pt x="120000" y="81776"/>
                                  </a:lnTo>
                                  <a:lnTo>
                                    <a:pt x="12000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282" name="Полилиния 282"/>
                          <wps:cNvSpPr/>
                          <wps:spPr>
                            <a:xfrm>
                              <a:off x="2062056" y="1953713"/>
                              <a:ext cx="1463281" cy="348194"/>
                            </a:xfrm>
                            <a:custGeom>
                              <a:avLst/>
                              <a:gdLst/>
                              <a:ahLst/>
                              <a:cxnLst/>
                              <a:rect l="l" t="t" r="r" b="b"/>
                              <a:pathLst>
                                <a:path w="120000" h="120000" extrusionOk="0">
                                  <a:moveTo>
                                    <a:pt x="0" y="0"/>
                                  </a:moveTo>
                                  <a:lnTo>
                                    <a:pt x="0" y="81776"/>
                                  </a:lnTo>
                                  <a:lnTo>
                                    <a:pt x="120000" y="81776"/>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83" name="Полилиния 283"/>
                          <wps:cNvSpPr/>
                          <wps:spPr>
                            <a:xfrm>
                              <a:off x="2016336" y="1953713"/>
                              <a:ext cx="91440" cy="348194"/>
                            </a:xfrm>
                            <a:custGeom>
                              <a:avLst/>
                              <a:gdLst/>
                              <a:ahLst/>
                              <a:cxnLst/>
                              <a:rect l="l" t="t" r="r" b="b"/>
                              <a:pathLst>
                                <a:path w="120000" h="120000" extrusionOk="0">
                                  <a:moveTo>
                                    <a:pt x="60000" y="0"/>
                                  </a:moveTo>
                                  <a:lnTo>
                                    <a:pt x="6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84" name="Полилиния 284"/>
                          <wps:cNvSpPr/>
                          <wps:spPr>
                            <a:xfrm>
                              <a:off x="553054" y="3062148"/>
                              <a:ext cx="91440" cy="348194"/>
                            </a:xfrm>
                            <a:custGeom>
                              <a:avLst/>
                              <a:gdLst/>
                              <a:ahLst/>
                              <a:cxnLst/>
                              <a:rect l="l" t="t" r="r" b="b"/>
                              <a:pathLst>
                                <a:path w="120000" h="120000" extrusionOk="0">
                                  <a:moveTo>
                                    <a:pt x="60000" y="0"/>
                                  </a:moveTo>
                                  <a:lnTo>
                                    <a:pt x="6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85" name="Полилиния 285"/>
                          <wps:cNvSpPr/>
                          <wps:spPr>
                            <a:xfrm>
                              <a:off x="598774" y="1953713"/>
                              <a:ext cx="1463281" cy="348194"/>
                            </a:xfrm>
                            <a:custGeom>
                              <a:avLst/>
                              <a:gdLst/>
                              <a:ahLst/>
                              <a:cxnLst/>
                              <a:rect l="l" t="t" r="r" b="b"/>
                              <a:pathLst>
                                <a:path w="120000" h="120000" extrusionOk="0">
                                  <a:moveTo>
                                    <a:pt x="120000" y="0"/>
                                  </a:moveTo>
                                  <a:lnTo>
                                    <a:pt x="120000" y="81776"/>
                                  </a:lnTo>
                                  <a:lnTo>
                                    <a:pt x="0" y="81776"/>
                                  </a:lnTo>
                                  <a:lnTo>
                                    <a:pt x="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86" name="Полилиния 286"/>
                          <wps:cNvSpPr/>
                          <wps:spPr>
                            <a:xfrm>
                              <a:off x="2062056" y="845277"/>
                              <a:ext cx="2332193" cy="348194"/>
                            </a:xfrm>
                            <a:custGeom>
                              <a:avLst/>
                              <a:gdLst/>
                              <a:ahLst/>
                              <a:cxnLst/>
                              <a:rect l="l" t="t" r="r" b="b"/>
                              <a:pathLst>
                                <a:path w="120000" h="120000" extrusionOk="0">
                                  <a:moveTo>
                                    <a:pt x="120000" y="0"/>
                                  </a:moveTo>
                                  <a:lnTo>
                                    <a:pt x="120000" y="81776"/>
                                  </a:lnTo>
                                  <a:lnTo>
                                    <a:pt x="0" y="81776"/>
                                  </a:lnTo>
                                  <a:lnTo>
                                    <a:pt x="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287" name="Скругленный прямоугольник 287"/>
                          <wps:cNvSpPr/>
                          <wps:spPr>
                            <a:xfrm>
                              <a:off x="857092" y="85035"/>
                              <a:ext cx="7074314" cy="760241"/>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88" name="Скругленный прямоугольник 288"/>
                          <wps:cNvSpPr/>
                          <wps:spPr>
                            <a:xfrm>
                              <a:off x="990118" y="211410"/>
                              <a:ext cx="7074314" cy="760241"/>
                            </a:xfrm>
                            <a:prstGeom prst="roundRect">
                              <a:avLst>
                                <a:gd name="adj" fmla="val 10000"/>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89" name="Надпись 289"/>
                          <wps:cNvSpPr txBox="1"/>
                          <wps:spPr>
                            <a:xfrm>
                              <a:off x="1012385" y="233677"/>
                              <a:ext cx="7029780" cy="715707"/>
                            </a:xfrm>
                            <a:prstGeom prst="rect">
                              <a:avLst/>
                            </a:prstGeom>
                            <a:noFill/>
                            <a:ln>
                              <a:noFill/>
                            </a:ln>
                          </wps:spPr>
                          <wps:txbx>
                            <w:txbxContent>
                              <w:p w:rsidR="00D06B63" w:rsidRDefault="00D06B63" w:rsidP="00EA72C7">
                                <w:pPr>
                                  <w:spacing w:after="0" w:line="215" w:lineRule="auto"/>
                                  <w:jc w:val="center"/>
                                  <w:textDirection w:val="btLr"/>
                                </w:pPr>
                                <w:r>
                                  <w:rPr>
                                    <w:rFonts w:ascii="Times New Roman" w:eastAsia="Times New Roman" w:hAnsi="Times New Roman" w:cs="Times New Roman"/>
                                    <w:i/>
                                    <w:color w:val="000000"/>
                                    <w:sz w:val="24"/>
                                  </w:rPr>
                                  <w:t>Система оценки деятельности ГО</w:t>
                                </w:r>
                              </w:p>
                            </w:txbxContent>
                          </wps:txbx>
                          <wps:bodyPr spcFirstLastPara="1" wrap="square" lIns="45700" tIns="45700" rIns="45700" bIns="45700" anchor="ctr" anchorCtr="0">
                            <a:noAutofit/>
                          </wps:bodyPr>
                        </wps:wsp>
                        <wps:wsp>
                          <wps:cNvPr id="290" name="Скругленный прямоугольник 290"/>
                          <wps:cNvSpPr/>
                          <wps:spPr>
                            <a:xfrm>
                              <a:off x="622494" y="1193471"/>
                              <a:ext cx="2879123" cy="760241"/>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91" name="Скругленный прямоугольник 291"/>
                          <wps:cNvSpPr/>
                          <wps:spPr>
                            <a:xfrm>
                              <a:off x="755519" y="1319846"/>
                              <a:ext cx="2879123" cy="760241"/>
                            </a:xfrm>
                            <a:prstGeom prst="roundRect">
                              <a:avLst>
                                <a:gd name="adj" fmla="val 10000"/>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92" name="Надпись 292"/>
                          <wps:cNvSpPr txBox="1"/>
                          <wps:spPr>
                            <a:xfrm>
                              <a:off x="777786" y="1342113"/>
                              <a:ext cx="2834589" cy="715707"/>
                            </a:xfrm>
                            <a:prstGeom prst="rect">
                              <a:avLst/>
                            </a:prstGeom>
                            <a:noFill/>
                            <a:ln>
                              <a:noFill/>
                            </a:ln>
                          </wps:spPr>
                          <wps:txbx>
                            <w:txbxContent>
                              <w:p w:rsidR="00D06B63" w:rsidRDefault="00D06B63" w:rsidP="00EA72C7">
                                <w:pPr>
                                  <w:spacing w:after="0" w:line="215" w:lineRule="auto"/>
                                  <w:jc w:val="center"/>
                                  <w:textDirection w:val="btLr"/>
                                </w:pPr>
                                <w:r>
                                  <w:rPr>
                                    <w:i/>
                                    <w:color w:val="000000"/>
                                    <w:sz w:val="24"/>
                                  </w:rPr>
                                  <w:t>Операционная оценка</w:t>
                                </w:r>
                              </w:p>
                            </w:txbxContent>
                          </wps:txbx>
                          <wps:bodyPr spcFirstLastPara="1" wrap="square" lIns="45700" tIns="45700" rIns="45700" bIns="45700" anchor="ctr" anchorCtr="0">
                            <a:noAutofit/>
                          </wps:bodyPr>
                        </wps:wsp>
                        <wps:wsp>
                          <wps:cNvPr id="293" name="Скругленный прямоугольник 293"/>
                          <wps:cNvSpPr/>
                          <wps:spPr>
                            <a:xfrm>
                              <a:off x="159" y="2301907"/>
                              <a:ext cx="1197230" cy="760241"/>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94" name="Скругленный прямоугольник 294"/>
                          <wps:cNvSpPr/>
                          <wps:spPr>
                            <a:xfrm>
                              <a:off x="133184" y="2428281"/>
                              <a:ext cx="1197230" cy="760241"/>
                            </a:xfrm>
                            <a:prstGeom prst="roundRect">
                              <a:avLst>
                                <a:gd name="adj" fmla="val 10000"/>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95" name="Надпись 295"/>
                          <wps:cNvSpPr txBox="1"/>
                          <wps:spPr>
                            <a:xfrm>
                              <a:off x="155451" y="2450548"/>
                              <a:ext cx="1152696" cy="715707"/>
                            </a:xfrm>
                            <a:prstGeom prst="rect">
                              <a:avLst/>
                            </a:prstGeom>
                            <a:noFill/>
                            <a:ln>
                              <a:noFill/>
                            </a:ln>
                          </wps:spPr>
                          <wps:txbx>
                            <w:txbxContent>
                              <w:p w:rsidR="00D06B63" w:rsidRDefault="00D06B63" w:rsidP="00EA72C7">
                                <w:pPr>
                                  <w:spacing w:after="0" w:line="192" w:lineRule="auto"/>
                                  <w:jc w:val="center"/>
                                  <w:textDirection w:val="btLr"/>
                                </w:pPr>
                                <w:r>
                                  <w:rPr>
                                    <w:i/>
                                    <w:color w:val="000000"/>
                                    <w:sz w:val="21"/>
                                  </w:rPr>
                                  <w:t>Взаимодействия с физ. и юр. лицами (уполн орг. в сфере информации)</w:t>
                                </w:r>
                              </w:p>
                            </w:txbxContent>
                          </wps:txbx>
                          <wps:bodyPr spcFirstLastPara="1" wrap="square" lIns="41900" tIns="41900" rIns="41900" bIns="41900" anchor="ctr" anchorCtr="0">
                            <a:noAutofit/>
                          </wps:bodyPr>
                        </wps:wsp>
                        <wps:wsp>
                          <wps:cNvPr id="296" name="Скругленный прямоугольник 296"/>
                          <wps:cNvSpPr/>
                          <wps:spPr>
                            <a:xfrm>
                              <a:off x="159" y="3410343"/>
                              <a:ext cx="1197230" cy="760241"/>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97" name="Скругленный прямоугольник 297"/>
                          <wps:cNvSpPr/>
                          <wps:spPr>
                            <a:xfrm>
                              <a:off x="133184" y="3536717"/>
                              <a:ext cx="1197230" cy="760241"/>
                            </a:xfrm>
                            <a:prstGeom prst="roundRect">
                              <a:avLst>
                                <a:gd name="adj" fmla="val 10000"/>
                              </a:avLst>
                            </a:prstGeom>
                            <a:solidFill>
                              <a:srgbClr val="ACB8CA">
                                <a:alpha val="89803"/>
                              </a:srgbClr>
                            </a:solidFill>
                            <a:ln w="12700" cap="flat" cmpd="sng">
                              <a:solidFill>
                                <a:srgbClr val="599BD5"/>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298" name="Надпись 298"/>
                          <wps:cNvSpPr txBox="1"/>
                          <wps:spPr>
                            <a:xfrm>
                              <a:off x="155451" y="3558984"/>
                              <a:ext cx="1152696" cy="715707"/>
                            </a:xfrm>
                            <a:prstGeom prst="rect">
                              <a:avLst/>
                            </a:prstGeom>
                            <a:noFill/>
                            <a:ln>
                              <a:noFill/>
                            </a:ln>
                          </wps:spPr>
                          <wps:txbx>
                            <w:txbxContent>
                              <w:p w:rsidR="00D06B63" w:rsidRDefault="00D06B63" w:rsidP="00EA72C7">
                                <w:pPr>
                                  <w:spacing w:after="0" w:line="215" w:lineRule="auto"/>
                                  <w:jc w:val="center"/>
                                  <w:textDirection w:val="btLr"/>
                                </w:pPr>
                                <w:r>
                                  <w:rPr>
                                    <w:i/>
                                    <w:color w:val="000000"/>
                                    <w:sz w:val="21"/>
                                  </w:rPr>
                                  <w:t>Доступ к экологической информации</w:t>
                                </w:r>
                              </w:p>
                            </w:txbxContent>
                          </wps:txbx>
                          <wps:bodyPr spcFirstLastPara="1" wrap="square" lIns="41900" tIns="41900" rIns="41900" bIns="41900" anchor="ctr" anchorCtr="0">
                            <a:noAutofit/>
                          </wps:bodyPr>
                        </wps:wsp>
                        <wps:wsp>
                          <wps:cNvPr id="299" name="Скругленный прямоугольник 299"/>
                          <wps:cNvSpPr/>
                          <wps:spPr>
                            <a:xfrm>
                              <a:off x="1463440" y="2301907"/>
                              <a:ext cx="1197230" cy="760241"/>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300" name="Скругленный прямоугольник 300"/>
                          <wps:cNvSpPr/>
                          <wps:spPr>
                            <a:xfrm>
                              <a:off x="1596466" y="2428281"/>
                              <a:ext cx="1197230" cy="760241"/>
                            </a:xfrm>
                            <a:prstGeom prst="roundRect">
                              <a:avLst>
                                <a:gd name="adj" fmla="val 10000"/>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301" name="Надпись 301"/>
                          <wps:cNvSpPr txBox="1"/>
                          <wps:spPr>
                            <a:xfrm>
                              <a:off x="1618733" y="2450548"/>
                              <a:ext cx="1152696" cy="715707"/>
                            </a:xfrm>
                            <a:prstGeom prst="rect">
                              <a:avLst/>
                            </a:prstGeom>
                            <a:noFill/>
                            <a:ln>
                              <a:noFill/>
                            </a:ln>
                          </wps:spPr>
                          <wps:txbx>
                            <w:txbxContent>
                              <w:p w:rsidR="00D06B63" w:rsidRDefault="00D06B63" w:rsidP="00EA72C7">
                                <w:pPr>
                                  <w:spacing w:after="0" w:line="215" w:lineRule="auto"/>
                                  <w:jc w:val="center"/>
                                  <w:textDirection w:val="btLr"/>
                                </w:pPr>
                                <w:r>
                                  <w:rPr>
                                    <w:i/>
                                    <w:color w:val="000000"/>
                                    <w:sz w:val="21"/>
                                  </w:rPr>
                                  <w:t>Организационное развитие ГО</w:t>
                                </w:r>
                              </w:p>
                            </w:txbxContent>
                          </wps:txbx>
                          <wps:bodyPr spcFirstLastPara="1" wrap="square" lIns="41900" tIns="41900" rIns="41900" bIns="41900" anchor="ctr" anchorCtr="0">
                            <a:noAutofit/>
                          </wps:bodyPr>
                        </wps:wsp>
                        <wps:wsp>
                          <wps:cNvPr id="302" name="Скругленный прямоугольник 302"/>
                          <wps:cNvSpPr/>
                          <wps:spPr>
                            <a:xfrm>
                              <a:off x="2926722" y="2301907"/>
                              <a:ext cx="1197230" cy="760241"/>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303" name="Скругленный прямоугольник 303"/>
                          <wps:cNvSpPr/>
                          <wps:spPr>
                            <a:xfrm>
                              <a:off x="3059748" y="2428281"/>
                              <a:ext cx="1197230" cy="760241"/>
                            </a:xfrm>
                            <a:prstGeom prst="roundRect">
                              <a:avLst>
                                <a:gd name="adj" fmla="val 10000"/>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304" name="Надпись 304"/>
                          <wps:cNvSpPr txBox="1"/>
                          <wps:spPr>
                            <a:xfrm>
                              <a:off x="3082015" y="2450548"/>
                              <a:ext cx="1152696" cy="715707"/>
                            </a:xfrm>
                            <a:prstGeom prst="rect">
                              <a:avLst/>
                            </a:prstGeom>
                            <a:noFill/>
                            <a:ln>
                              <a:noFill/>
                            </a:ln>
                          </wps:spPr>
                          <wps:txbx>
                            <w:txbxContent>
                              <w:p w:rsidR="00D06B63" w:rsidRDefault="00D06B63" w:rsidP="00EA72C7">
                                <w:pPr>
                                  <w:spacing w:after="0" w:line="215" w:lineRule="auto"/>
                                  <w:jc w:val="center"/>
                                  <w:textDirection w:val="btLr"/>
                                </w:pPr>
                                <w:r>
                                  <w:rPr>
                                    <w:i/>
                                    <w:color w:val="000000"/>
                                    <w:sz w:val="21"/>
                                  </w:rPr>
                                  <w:t>Достижение целей</w:t>
                                </w:r>
                              </w:p>
                            </w:txbxContent>
                          </wps:txbx>
                          <wps:bodyPr spcFirstLastPara="1" wrap="square" lIns="41900" tIns="41900" rIns="41900" bIns="41900" anchor="ctr" anchorCtr="0">
                            <a:noAutofit/>
                          </wps:bodyPr>
                        </wps:wsp>
                        <wps:wsp>
                          <wps:cNvPr id="305" name="Скругленный прямоугольник 305"/>
                          <wps:cNvSpPr/>
                          <wps:spPr>
                            <a:xfrm>
                              <a:off x="5187188" y="1193471"/>
                              <a:ext cx="2978817" cy="760241"/>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306" name="Скругленный прямоугольник 306"/>
                          <wps:cNvSpPr/>
                          <wps:spPr>
                            <a:xfrm>
                              <a:off x="5320214" y="1319846"/>
                              <a:ext cx="2978817" cy="760241"/>
                            </a:xfrm>
                            <a:prstGeom prst="roundRect">
                              <a:avLst>
                                <a:gd name="adj" fmla="val 10000"/>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307" name="Надпись 307"/>
                          <wps:cNvSpPr txBox="1"/>
                          <wps:spPr>
                            <a:xfrm>
                              <a:off x="5342481" y="1342113"/>
                              <a:ext cx="2934283" cy="715707"/>
                            </a:xfrm>
                            <a:prstGeom prst="rect">
                              <a:avLst/>
                            </a:prstGeom>
                            <a:noFill/>
                            <a:ln>
                              <a:noFill/>
                            </a:ln>
                          </wps:spPr>
                          <wps:txbx>
                            <w:txbxContent>
                              <w:p w:rsidR="00D06B63" w:rsidRDefault="00D06B63" w:rsidP="00EA72C7">
                                <w:pPr>
                                  <w:spacing w:after="0" w:line="215" w:lineRule="auto"/>
                                  <w:jc w:val="center"/>
                                  <w:textDirection w:val="btLr"/>
                                </w:pPr>
                                <w:r>
                                  <w:rPr>
                                    <w:i/>
                                    <w:color w:val="000000"/>
                                    <w:sz w:val="24"/>
                                  </w:rPr>
                                  <w:t>Оценка результативности деятельности</w:t>
                                </w:r>
                              </w:p>
                            </w:txbxContent>
                          </wps:txbx>
                          <wps:bodyPr spcFirstLastPara="1" wrap="square" lIns="45700" tIns="45700" rIns="45700" bIns="45700" anchor="ctr" anchorCtr="0">
                            <a:noAutofit/>
                          </wps:bodyPr>
                        </wps:wsp>
                        <wps:wsp>
                          <wps:cNvPr id="308" name="Скругленный прямоугольник 308"/>
                          <wps:cNvSpPr/>
                          <wps:spPr>
                            <a:xfrm>
                              <a:off x="4390004" y="2301907"/>
                              <a:ext cx="1197230" cy="760241"/>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309" name="Скругленный прямоугольник 309"/>
                          <wps:cNvSpPr/>
                          <wps:spPr>
                            <a:xfrm>
                              <a:off x="4523029" y="2428281"/>
                              <a:ext cx="1197230" cy="760241"/>
                            </a:xfrm>
                            <a:prstGeom prst="roundRect">
                              <a:avLst>
                                <a:gd name="adj" fmla="val 10000"/>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310" name="Надпись 310"/>
                          <wps:cNvSpPr txBox="1"/>
                          <wps:spPr>
                            <a:xfrm>
                              <a:off x="4545296" y="2450548"/>
                              <a:ext cx="1152696" cy="715707"/>
                            </a:xfrm>
                            <a:prstGeom prst="rect">
                              <a:avLst/>
                            </a:prstGeom>
                            <a:noFill/>
                            <a:ln>
                              <a:noFill/>
                            </a:ln>
                          </wps:spPr>
                          <wps:txbx>
                            <w:txbxContent>
                              <w:p w:rsidR="00D06B63" w:rsidRDefault="00D06B63" w:rsidP="00EA72C7">
                                <w:pPr>
                                  <w:spacing w:after="0" w:line="215" w:lineRule="auto"/>
                                  <w:jc w:val="center"/>
                                  <w:textDirection w:val="btLr"/>
                                </w:pPr>
                                <w:r>
                                  <w:rPr>
                                    <w:i/>
                                    <w:color w:val="000000"/>
                                    <w:sz w:val="21"/>
                                  </w:rPr>
                                  <w:t>Результаты социологических исследований</w:t>
                                </w:r>
                              </w:p>
                            </w:txbxContent>
                          </wps:txbx>
                          <wps:bodyPr spcFirstLastPara="1" wrap="square" lIns="41900" tIns="41900" rIns="41900" bIns="41900" anchor="ctr" anchorCtr="0">
                            <a:noAutofit/>
                          </wps:bodyPr>
                        </wps:wsp>
                        <wps:wsp>
                          <wps:cNvPr id="311" name="Скругленный прямоугольник 311"/>
                          <wps:cNvSpPr/>
                          <wps:spPr>
                            <a:xfrm>
                              <a:off x="5853285" y="2301907"/>
                              <a:ext cx="1197230" cy="760241"/>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312" name="Скругленный прямоугольник 312"/>
                          <wps:cNvSpPr/>
                          <wps:spPr>
                            <a:xfrm>
                              <a:off x="5986311" y="2428281"/>
                              <a:ext cx="1197230" cy="760241"/>
                            </a:xfrm>
                            <a:prstGeom prst="roundRect">
                              <a:avLst>
                                <a:gd name="adj" fmla="val 10000"/>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313" name="Надпись 313"/>
                          <wps:cNvSpPr txBox="1"/>
                          <wps:spPr>
                            <a:xfrm>
                              <a:off x="6008578" y="2450548"/>
                              <a:ext cx="1152696" cy="715707"/>
                            </a:xfrm>
                            <a:prstGeom prst="rect">
                              <a:avLst/>
                            </a:prstGeom>
                            <a:noFill/>
                            <a:ln>
                              <a:noFill/>
                            </a:ln>
                          </wps:spPr>
                          <wps:txbx>
                            <w:txbxContent>
                              <w:p w:rsidR="00D06B63" w:rsidRDefault="00D06B63" w:rsidP="00EA72C7">
                                <w:pPr>
                                  <w:spacing w:after="0" w:line="192" w:lineRule="auto"/>
                                  <w:jc w:val="center"/>
                                  <w:textDirection w:val="btLr"/>
                                </w:pPr>
                                <w:r>
                                  <w:rPr>
                                    <w:i/>
                                    <w:color w:val="000000"/>
                                    <w:sz w:val="21"/>
                                  </w:rPr>
                                  <w:t>Достижения ГО ключевых показателей результативности</w:t>
                                </w:r>
                              </w:p>
                            </w:txbxContent>
                          </wps:txbx>
                          <wps:bodyPr spcFirstLastPara="1" wrap="square" lIns="41900" tIns="41900" rIns="41900" bIns="41900" anchor="ctr" anchorCtr="0">
                            <a:noAutofit/>
                          </wps:bodyPr>
                        </wps:wsp>
                        <wps:wsp>
                          <wps:cNvPr id="314" name="Скругленный прямоугольник 314"/>
                          <wps:cNvSpPr/>
                          <wps:spPr>
                            <a:xfrm>
                              <a:off x="7316567" y="2301907"/>
                              <a:ext cx="1646622" cy="760241"/>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315" name="Скругленный прямоугольник 315"/>
                          <wps:cNvSpPr/>
                          <wps:spPr>
                            <a:xfrm>
                              <a:off x="7449592" y="2428281"/>
                              <a:ext cx="1646622" cy="760241"/>
                            </a:xfrm>
                            <a:prstGeom prst="roundRect">
                              <a:avLst>
                                <a:gd name="adj" fmla="val 10000"/>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316" name="Надпись 316"/>
                          <wps:cNvSpPr txBox="1"/>
                          <wps:spPr>
                            <a:xfrm>
                              <a:off x="7471859" y="2450548"/>
                              <a:ext cx="1602088" cy="715707"/>
                            </a:xfrm>
                            <a:prstGeom prst="rect">
                              <a:avLst/>
                            </a:prstGeom>
                            <a:noFill/>
                            <a:ln>
                              <a:noFill/>
                            </a:ln>
                          </wps:spPr>
                          <wps:txbx>
                            <w:txbxContent>
                              <w:p w:rsidR="00D06B63" w:rsidRDefault="00D06B63" w:rsidP="00EA72C7">
                                <w:pPr>
                                  <w:spacing w:after="0" w:line="215" w:lineRule="auto"/>
                                  <w:jc w:val="center"/>
                                  <w:textDirection w:val="btLr"/>
                                </w:pPr>
                                <w:r>
                                  <w:rPr>
                                    <w:i/>
                                    <w:color w:val="000000"/>
                                    <w:sz w:val="21"/>
                                  </w:rPr>
                                  <w:t>Индекс общестранового прогресса</w:t>
                                </w:r>
                              </w:p>
                              <w:p w:rsidR="00D06B63" w:rsidRDefault="00D06B63" w:rsidP="00EA72C7">
                                <w:pPr>
                                  <w:spacing w:after="0" w:line="215" w:lineRule="auto"/>
                                  <w:jc w:val="center"/>
                                  <w:textDirection w:val="btLr"/>
                                </w:pPr>
                                <w:r>
                                  <w:rPr>
                                    <w:i/>
                                    <w:color w:val="000000"/>
                                    <w:sz w:val="21"/>
                                  </w:rPr>
                                  <w:t xml:space="preserve"> (Нацплан развития Казахстана до 2025г)</w:t>
                                </w:r>
                              </w:p>
                            </w:txbxContent>
                          </wps:txbx>
                          <wps:bodyPr spcFirstLastPara="1" wrap="square" lIns="41900" tIns="41900" rIns="41900" bIns="41900" anchor="ctr" anchorCtr="0">
                            <a:noAutofit/>
                          </wps:bodyPr>
                        </wps:wsp>
                        <wps:wsp>
                          <wps:cNvPr id="317" name="Скругленный прямоугольник 317"/>
                          <wps:cNvSpPr/>
                          <wps:spPr>
                            <a:xfrm>
                              <a:off x="7384055" y="3410343"/>
                              <a:ext cx="1511647" cy="760241"/>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318" name="Скругленный прямоугольник 318"/>
                          <wps:cNvSpPr/>
                          <wps:spPr>
                            <a:xfrm>
                              <a:off x="7517080" y="3536717"/>
                              <a:ext cx="1511647" cy="760241"/>
                            </a:xfrm>
                            <a:prstGeom prst="roundRect">
                              <a:avLst>
                                <a:gd name="adj" fmla="val 10000"/>
                              </a:avLst>
                            </a:prstGeom>
                            <a:solidFill>
                              <a:srgbClr val="ACB8CA">
                                <a:alpha val="89803"/>
                              </a:srgbClr>
                            </a:solidFill>
                            <a:ln w="12700" cap="flat" cmpd="sng">
                              <a:solidFill>
                                <a:srgbClr val="599BD5"/>
                              </a:solidFill>
                              <a:prstDash val="solid"/>
                              <a:miter lim="800000"/>
                              <a:headEnd type="none" w="sm" len="sm"/>
                              <a:tailEnd type="none" w="sm" len="sm"/>
                            </a:ln>
                          </wps:spPr>
                          <wps:txbx>
                            <w:txbxContent>
                              <w:p w:rsidR="00D06B63" w:rsidRDefault="00D06B63" w:rsidP="00EA72C7">
                                <w:pPr>
                                  <w:spacing w:after="0" w:line="240" w:lineRule="auto"/>
                                  <w:textDirection w:val="btLr"/>
                                </w:pPr>
                              </w:p>
                            </w:txbxContent>
                          </wps:txbx>
                          <wps:bodyPr spcFirstLastPara="1" wrap="square" lIns="91425" tIns="91425" rIns="91425" bIns="91425" anchor="ctr" anchorCtr="0">
                            <a:noAutofit/>
                          </wps:bodyPr>
                        </wps:wsp>
                        <wps:wsp>
                          <wps:cNvPr id="319" name="Надпись 319"/>
                          <wps:cNvSpPr txBox="1"/>
                          <wps:spPr>
                            <a:xfrm>
                              <a:off x="7539347" y="3558984"/>
                              <a:ext cx="1467113" cy="715707"/>
                            </a:xfrm>
                            <a:prstGeom prst="rect">
                              <a:avLst/>
                            </a:prstGeom>
                            <a:noFill/>
                            <a:ln>
                              <a:noFill/>
                            </a:ln>
                          </wps:spPr>
                          <wps:txbx>
                            <w:txbxContent>
                              <w:p w:rsidR="00D06B63" w:rsidRDefault="00D06B63" w:rsidP="00EA72C7">
                                <w:pPr>
                                  <w:spacing w:after="0" w:line="215" w:lineRule="auto"/>
                                  <w:jc w:val="center"/>
                                  <w:textDirection w:val="btLr"/>
                                </w:pPr>
                                <w:r>
                                  <w:rPr>
                                    <w:i/>
                                    <w:color w:val="000000"/>
                                    <w:sz w:val="21"/>
                                  </w:rPr>
                                  <w:t>Индикаторы экологической эффективности</w:t>
                                </w:r>
                              </w:p>
                            </w:txbxContent>
                          </wps:txbx>
                          <wps:bodyPr spcFirstLastPara="1" wrap="square" lIns="41900" tIns="41900" rIns="41900" bIns="41900" anchor="ctr" anchorCtr="0">
                            <a:noAutofit/>
                          </wps:bodyPr>
                        </wps:wsp>
                      </wpg:grpSp>
                    </wpg:wgp>
                  </a:graphicData>
                </a:graphic>
              </wp:inline>
            </w:drawing>
          </mc:Choice>
          <mc:Fallback xmlns:w16se="http://schemas.microsoft.com/office/word/2015/wordml/symex" xmlns:cx="http://schemas.microsoft.com/office/drawing/2014/chartex">
            <w:pict>
              <v:group w14:anchorId="5A6FDDAF" id="Группа 274" o:spid="_x0000_s1262" style="width:716.25pt;height:345.05pt;mso-position-horizontal-relative:char;mso-position-vertical-relative:line" coordsize="91025,43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">
                <v:group id="Группа 275" o:spid="_x0000_s1263" style="position:absolute;width:90963;height:43819" coordsize="90963,4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ect id="Прямоугольник 276" o:spid="_x0000_s1264" style="position:absolute;width:90963;height:43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" filled="f" stroked="f">
                    <v:textbox inset="2.53958mm,2.53958mm,2.53958mm,2.53958mm">
                      <w:txbxContent>
                        <w:p w:rsidR="00D06B63" w:rsidRDefault="00D06B63" w:rsidP="00EA72C7">
                          <w:pPr>
                            <w:spacing w:after="0" w:line="240" w:lineRule="auto"/>
                            <w:textDirection w:val="btLr"/>
                          </w:pPr>
                        </w:p>
                      </w:txbxContent>
                    </v:textbox>
                  </v:rect>
                  <v:shape id="Полилиния 277" o:spid="_x0000_s1265" style="position:absolute;left:80941;top:30621;width:914;height:34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" path="m60000,r,120000e" filled="f" strokecolor="#528cbe" strokeweight="1pt">
                    <v:stroke startarrowwidth="narrow" startarrowlength="short" endarrowwidth="narrow" endarrowlength="short" joinstyle="miter"/>
                    <v:path arrowok="t" o:extrusionok="f"/>
                  </v:shape>
                  <v:shape id="Полилиния 278" o:spid="_x0000_s1266" style="position:absolute;left:66765;top:19537;width:14633;height:34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" path="m,l,81776r120000,l120000,120000e" filled="f" strokecolor="#528cbe" strokeweight="1pt">
                    <v:stroke startarrowwidth="narrow" startarrowlength="short" endarrowwidth="narrow" endarrowlength="short" joinstyle="miter"/>
                    <v:path arrowok="t" o:extrusionok="f"/>
                  </v:shape>
                  <v:shape id="Полилиния 279" o:spid="_x0000_s1267" style="position:absolute;left:64519;top:19537;width:2246;height:34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" path="m120000,r,81776l,81776r,38224e" filled="f" strokecolor="#528cbe" strokeweight="1pt">
                    <v:stroke startarrowwidth="narrow" startarrowlength="short" endarrowwidth="narrow" endarrowlength="short" joinstyle="miter"/>
                    <v:path arrowok="t" o:extrusionok="f"/>
                  </v:shape>
                  <v:shape id="Полилиния 280" o:spid="_x0000_s1268" style="position:absolute;left:49886;top:19537;width:16879;height:34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" path="m120000,r,81776l,81776r,38224e" filled="f" strokecolor="#528cbe" strokeweight="1pt">
                    <v:stroke startarrowwidth="narrow" startarrowlength="short" endarrowwidth="narrow" endarrowlength="short" joinstyle="miter"/>
                    <v:path arrowok="t" o:extrusionok="f"/>
                  </v:shape>
                  <v:shape id="Полилиния 281" o:spid="_x0000_s1269" style="position:absolute;left:43942;top:8452;width:22823;height:34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" path="m,l,81776r120000,l120000,120000e" filled="f" strokecolor="#487aa8" strokeweight="1pt">
                    <v:stroke startarrowwidth="narrow" startarrowlength="short" endarrowwidth="narrow" endarrowlength="short" joinstyle="miter"/>
                    <v:path arrowok="t" o:extrusionok="f"/>
                  </v:shape>
                  <v:shape id="Полилиния 282" o:spid="_x0000_s1270" style="position:absolute;left:20620;top:19537;width:14633;height:34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" path="m,l,81776r120000,l120000,120000e" filled="f" strokecolor="#528cbe" strokeweight="1pt">
                    <v:stroke startarrowwidth="narrow" startarrowlength="short" endarrowwidth="narrow" endarrowlength="short" joinstyle="miter"/>
                    <v:path arrowok="t" o:extrusionok="f"/>
                  </v:shape>
                  <v:shape id="Полилиния 283" o:spid="_x0000_s1271" style="position:absolute;left:20163;top:19537;width:914;height:34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" path="m60000,r,120000e" filled="f" strokecolor="#528cbe" strokeweight="1pt">
                    <v:stroke startarrowwidth="narrow" startarrowlength="short" endarrowwidth="narrow" endarrowlength="short" joinstyle="miter"/>
                    <v:path arrowok="t" o:extrusionok="f"/>
                  </v:shape>
                  <v:shape id="Полилиния 284" o:spid="_x0000_s1272" style="position:absolute;left:5530;top:30621;width:914;height:34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" path="m60000,r,120000e" filled="f" strokecolor="#528cbe" strokeweight="1pt">
                    <v:stroke startarrowwidth="narrow" startarrowlength="short" endarrowwidth="narrow" endarrowlength="short" joinstyle="miter"/>
                    <v:path arrowok="t" o:extrusionok="f"/>
                  </v:shape>
                  <v:shape id="Полилиния 285" o:spid="_x0000_s1273" style="position:absolute;left:5987;top:19537;width:14633;height:34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" path="m120000,r,81776l,81776r,38224e" filled="f" strokecolor="#528cbe" strokeweight="1pt">
                    <v:stroke startarrowwidth="narrow" startarrowlength="short" endarrowwidth="narrow" endarrowlength="short" joinstyle="miter"/>
                    <v:path arrowok="t" o:extrusionok="f"/>
                  </v:shape>
                  <v:shape id="Полилиния 286" o:spid="_x0000_s1274" style="position:absolute;left:20620;top:8452;width:23322;height:34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" path="m120000,r,81776l,81776r,38224e" filled="f" strokecolor="#487aa8" strokeweight="1pt">
                    <v:stroke startarrowwidth="narrow" startarrowlength="short" endarrowwidth="narrow" endarrowlength="short" joinstyle="miter"/>
                    <v:path arrowok="t" o:extrusionok="f"/>
                  </v:shape>
                  <v:roundrect id="Скругленный прямоугольник 287" o:spid="_x0000_s1275" style="position:absolute;left:8570;top:850;width:70744;height:76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roundrect id="Скругленный прямоугольник 288" o:spid="_x0000_s1276" style="position:absolute;left:9901;top:2114;width:70743;height:76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" fillcolor="white [3201]" strokecolor="#599bd5" strokeweight="1pt">
                    <v:fill opacity="58853f"/>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289" o:spid="_x0000_s1277" type="#_x0000_t202" style="position:absolute;left:10123;top:2336;width:70298;height:7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" filled="f" stroked="f">
                    <v:textbox inset="1.2694mm,1.2694mm,1.2694mm,1.2694mm">
                      <w:txbxContent>
                        <w:p w:rsidR="00D06B63" w:rsidRDefault="00D06B63" w:rsidP="00EA72C7">
                          <w:pPr>
                            <w:spacing w:after="0" w:line="215" w:lineRule="auto"/>
                            <w:jc w:val="center"/>
                            <w:textDirection w:val="btLr"/>
                          </w:pPr>
                          <w:r>
                            <w:rPr>
                              <w:rFonts w:ascii="Times New Roman" w:eastAsia="Times New Roman" w:hAnsi="Times New Roman" w:cs="Times New Roman"/>
                              <w:i/>
                              <w:color w:val="000000"/>
                              <w:sz w:val="24"/>
                            </w:rPr>
                            <w:t>Система оценки деятельности ГО</w:t>
                          </w:r>
                        </w:p>
                      </w:txbxContent>
                    </v:textbox>
                  </v:shape>
                  <v:roundrect id="Скругленный прямоугольник 290" o:spid="_x0000_s1278" style="position:absolute;left:6224;top:11934;width:28792;height:760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roundrect id="Скругленный прямоугольник 291" o:spid="_x0000_s1279" style="position:absolute;left:7555;top:13198;width:28791;height:76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" fillcolor="white [3201]" strokecolor="#599bd5" strokeweight="1pt">
                    <v:fill opacity="58853f"/>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292" o:spid="_x0000_s1280" type="#_x0000_t202" style="position:absolute;left:7777;top:13421;width:28346;height:7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" filled="f" stroked="f">
                    <v:textbox inset="1.2694mm,1.2694mm,1.2694mm,1.2694mm">
                      <w:txbxContent>
                        <w:p w:rsidR="00D06B63" w:rsidRDefault="00D06B63" w:rsidP="00EA72C7">
                          <w:pPr>
                            <w:spacing w:after="0" w:line="215" w:lineRule="auto"/>
                            <w:jc w:val="center"/>
                            <w:textDirection w:val="btLr"/>
                          </w:pPr>
                          <w:r>
                            <w:rPr>
                              <w:i/>
                              <w:color w:val="000000"/>
                              <w:sz w:val="24"/>
                            </w:rPr>
                            <w:t>Операционная оценка</w:t>
                          </w:r>
                        </w:p>
                      </w:txbxContent>
                    </v:textbox>
                  </v:shape>
                  <v:roundrect id="Скругленный прямоугольник 293" o:spid="_x0000_s1281" style="position:absolute;left:1;top:23019;width:11972;height:76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roundrect id="Скругленный прямоугольник 294" o:spid="_x0000_s1282" style="position:absolute;left:1331;top:24282;width:11973;height:760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" fillcolor="white [3201]" strokecolor="#599bd5" strokeweight="1pt">
                    <v:fill opacity="58853f"/>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295" o:spid="_x0000_s1283" type="#_x0000_t202" style="position:absolute;left:1554;top:24505;width:11527;height:7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" filled="f" stroked="f">
                    <v:textbox inset="1.1639mm,1.1639mm,1.1639mm,1.1639mm">
                      <w:txbxContent>
                        <w:p w:rsidR="00D06B63" w:rsidRDefault="00D06B63" w:rsidP="00EA72C7">
                          <w:pPr>
                            <w:spacing w:after="0" w:line="192" w:lineRule="auto"/>
                            <w:jc w:val="center"/>
                            <w:textDirection w:val="btLr"/>
                          </w:pPr>
                          <w:r>
                            <w:rPr>
                              <w:i/>
                              <w:color w:val="000000"/>
                              <w:sz w:val="21"/>
                            </w:rPr>
                            <w:t>Взаимодействия с физ. и юр. лицами (уполн орг. в сфере информации)</w:t>
                          </w:r>
                        </w:p>
                      </w:txbxContent>
                    </v:textbox>
                  </v:shape>
                  <v:roundrect id="Скругленный прямоугольник 296" o:spid="_x0000_s1284" style="position:absolute;left:1;top:34103;width:11972;height:76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roundrect id="Скругленный прямоугольник 297" o:spid="_x0000_s1285" style="position:absolute;left:1331;top:35367;width:11973;height:76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" fillcolor="#acb8ca" strokecolor="#599bd5" strokeweight="1pt">
                    <v:fill opacity="58853f"/>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298" o:spid="_x0000_s1286" type="#_x0000_t202" style="position:absolute;left:1554;top:35589;width:11527;height:7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" filled="f" stroked="f">
                    <v:textbox inset="1.1639mm,1.1639mm,1.1639mm,1.1639mm">
                      <w:txbxContent>
                        <w:p w:rsidR="00D06B63" w:rsidRDefault="00D06B63" w:rsidP="00EA72C7">
                          <w:pPr>
                            <w:spacing w:after="0" w:line="215" w:lineRule="auto"/>
                            <w:jc w:val="center"/>
                            <w:textDirection w:val="btLr"/>
                          </w:pPr>
                          <w:r>
                            <w:rPr>
                              <w:i/>
                              <w:color w:val="000000"/>
                              <w:sz w:val="21"/>
                            </w:rPr>
                            <w:t>Доступ к экологической информации</w:t>
                          </w:r>
                        </w:p>
                      </w:txbxContent>
                    </v:textbox>
                  </v:shape>
                  <v:roundrect id="Скругленный прямоугольник 299" o:spid="_x0000_s1287" style="position:absolute;left:14634;top:23019;width:11972;height:76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roundrect id="Скругленный прямоугольник 300" o:spid="_x0000_s1288" style="position:absolute;left:15964;top:24282;width:11972;height:760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" fillcolor="white [3201]" strokecolor="#599bd5" strokeweight="1pt">
                    <v:fill opacity="58853f"/>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301" o:spid="_x0000_s1289" type="#_x0000_t202" style="position:absolute;left:16187;top:24505;width:11527;height:7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" filled="f" stroked="f">
                    <v:textbox inset="1.1639mm,1.1639mm,1.1639mm,1.1639mm">
                      <w:txbxContent>
                        <w:p w:rsidR="00D06B63" w:rsidRDefault="00D06B63" w:rsidP="00EA72C7">
                          <w:pPr>
                            <w:spacing w:after="0" w:line="215" w:lineRule="auto"/>
                            <w:jc w:val="center"/>
                            <w:textDirection w:val="btLr"/>
                          </w:pPr>
                          <w:r>
                            <w:rPr>
                              <w:i/>
                              <w:color w:val="000000"/>
                              <w:sz w:val="21"/>
                            </w:rPr>
                            <w:t>Организационное развитие ГО</w:t>
                          </w:r>
                        </w:p>
                      </w:txbxContent>
                    </v:textbox>
                  </v:shape>
                  <v:roundrect id="Скругленный прямоугольник 302" o:spid="_x0000_s1290" style="position:absolute;left:29267;top:23019;width:11972;height:76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roundrect id="Скругленный прямоугольник 303" o:spid="_x0000_s1291" style="position:absolute;left:30597;top:24282;width:11972;height:760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" fillcolor="white [3201]" strokecolor="#599bd5" strokeweight="1pt">
                    <v:fill opacity="58853f"/>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304" o:spid="_x0000_s1292" type="#_x0000_t202" style="position:absolute;left:30820;top:24505;width:11527;height:7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" filled="f" stroked="f">
                    <v:textbox inset="1.1639mm,1.1639mm,1.1639mm,1.1639mm">
                      <w:txbxContent>
                        <w:p w:rsidR="00D06B63" w:rsidRDefault="00D06B63" w:rsidP="00EA72C7">
                          <w:pPr>
                            <w:spacing w:after="0" w:line="215" w:lineRule="auto"/>
                            <w:jc w:val="center"/>
                            <w:textDirection w:val="btLr"/>
                          </w:pPr>
                          <w:r>
                            <w:rPr>
                              <w:i/>
                              <w:color w:val="000000"/>
                              <w:sz w:val="21"/>
                            </w:rPr>
                            <w:t>Достижение целей</w:t>
                          </w:r>
                        </w:p>
                      </w:txbxContent>
                    </v:textbox>
                  </v:shape>
                  <v:roundrect id="Скругленный прямоугольник 305" o:spid="_x0000_s1293" style="position:absolute;left:51871;top:11934;width:29789;height:760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roundrect id="Скругленный прямоугольник 306" o:spid="_x0000_s1294" style="position:absolute;left:53202;top:13198;width:29788;height:76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" fillcolor="white [3201]" strokecolor="#599bd5" strokeweight="1pt">
                    <v:fill opacity="58853f"/>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307" o:spid="_x0000_s1295" type="#_x0000_t202" style="position:absolute;left:53424;top:13421;width:29343;height:7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" filled="f" stroked="f">
                    <v:textbox inset="1.2694mm,1.2694mm,1.2694mm,1.2694mm">
                      <w:txbxContent>
                        <w:p w:rsidR="00D06B63" w:rsidRDefault="00D06B63" w:rsidP="00EA72C7">
                          <w:pPr>
                            <w:spacing w:after="0" w:line="215" w:lineRule="auto"/>
                            <w:jc w:val="center"/>
                            <w:textDirection w:val="btLr"/>
                          </w:pPr>
                          <w:r>
                            <w:rPr>
                              <w:i/>
                              <w:color w:val="000000"/>
                              <w:sz w:val="24"/>
                            </w:rPr>
                            <w:t>Оценка результативности деятельности</w:t>
                          </w:r>
                        </w:p>
                      </w:txbxContent>
                    </v:textbox>
                  </v:shape>
                  <v:roundrect id="Скругленный прямоугольник 308" o:spid="_x0000_s1296" style="position:absolute;left:43900;top:23019;width:11972;height:76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roundrect id="Скругленный прямоугольник 309" o:spid="_x0000_s1297" style="position:absolute;left:45230;top:24282;width:11972;height:760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" fillcolor="white [3201]" strokecolor="#599bd5" strokeweight="1pt">
                    <v:fill opacity="58853f"/>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310" o:spid="_x0000_s1298" type="#_x0000_t202" style="position:absolute;left:45452;top:24505;width:11527;height:7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" filled="f" stroked="f">
                    <v:textbox inset="1.1639mm,1.1639mm,1.1639mm,1.1639mm">
                      <w:txbxContent>
                        <w:p w:rsidR="00D06B63" w:rsidRDefault="00D06B63" w:rsidP="00EA72C7">
                          <w:pPr>
                            <w:spacing w:after="0" w:line="215" w:lineRule="auto"/>
                            <w:jc w:val="center"/>
                            <w:textDirection w:val="btLr"/>
                          </w:pPr>
                          <w:r>
                            <w:rPr>
                              <w:i/>
                              <w:color w:val="000000"/>
                              <w:sz w:val="21"/>
                            </w:rPr>
                            <w:t>Результаты социологических исследований</w:t>
                          </w:r>
                        </w:p>
                      </w:txbxContent>
                    </v:textbox>
                  </v:shape>
                  <v:roundrect id="Скругленный прямоугольник 311" o:spid="_x0000_s1299" style="position:absolute;left:58532;top:23019;width:11973;height:76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roundrect id="Скругленный прямоугольник 312" o:spid="_x0000_s1300" style="position:absolute;left:59863;top:24282;width:11972;height:760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" fillcolor="white [3201]" strokecolor="#599bd5" strokeweight="1pt">
                    <v:fill opacity="58853f"/>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313" o:spid="_x0000_s1301" type="#_x0000_t202" style="position:absolute;left:60085;top:24505;width:11527;height:7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" filled="f" stroked="f">
                    <v:textbox inset="1.1639mm,1.1639mm,1.1639mm,1.1639mm">
                      <w:txbxContent>
                        <w:p w:rsidR="00D06B63" w:rsidRDefault="00D06B63" w:rsidP="00EA72C7">
                          <w:pPr>
                            <w:spacing w:after="0" w:line="192" w:lineRule="auto"/>
                            <w:jc w:val="center"/>
                            <w:textDirection w:val="btLr"/>
                          </w:pPr>
                          <w:r>
                            <w:rPr>
                              <w:i/>
                              <w:color w:val="000000"/>
                              <w:sz w:val="21"/>
                            </w:rPr>
                            <w:t>Достижения ГО ключевых показателей результативности</w:t>
                          </w:r>
                        </w:p>
                      </w:txbxContent>
                    </v:textbox>
                  </v:shape>
                  <v:roundrect id="Скругленный прямоугольник 314" o:spid="_x0000_s1302" style="position:absolute;left:73165;top:23019;width:16466;height:76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roundrect id="Скругленный прямоугольник 315" o:spid="_x0000_s1303" style="position:absolute;left:74495;top:24282;width:16467;height:760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" fillcolor="white [3201]" strokecolor="#599bd5" strokeweight="1pt">
                    <v:fill opacity="58853f"/>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316" o:spid="_x0000_s1304" type="#_x0000_t202" style="position:absolute;left:74718;top:24505;width:16021;height:7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" filled="f" stroked="f">
                    <v:textbox inset="1.1639mm,1.1639mm,1.1639mm,1.1639mm">
                      <w:txbxContent>
                        <w:p w:rsidR="00D06B63" w:rsidRDefault="00D06B63" w:rsidP="00EA72C7">
                          <w:pPr>
                            <w:spacing w:after="0" w:line="215" w:lineRule="auto"/>
                            <w:jc w:val="center"/>
                            <w:textDirection w:val="btLr"/>
                          </w:pPr>
                          <w:r>
                            <w:rPr>
                              <w:i/>
                              <w:color w:val="000000"/>
                              <w:sz w:val="21"/>
                            </w:rPr>
                            <w:t>Индекс общестранового прогресса</w:t>
                          </w:r>
                        </w:p>
                        <w:p w:rsidR="00D06B63" w:rsidRDefault="00D06B63" w:rsidP="00EA72C7">
                          <w:pPr>
                            <w:spacing w:after="0" w:line="215" w:lineRule="auto"/>
                            <w:jc w:val="center"/>
                            <w:textDirection w:val="btLr"/>
                          </w:pPr>
                          <w:r>
                            <w:rPr>
                              <w:i/>
                              <w:color w:val="000000"/>
                              <w:sz w:val="21"/>
                            </w:rPr>
                            <w:t xml:space="preserve"> (Нацплан развития Казахстана до 2025г)</w:t>
                          </w:r>
                        </w:p>
                      </w:txbxContent>
                    </v:textbox>
                  </v:shape>
                  <v:roundrect id="Скругленный прямоугольник 317" o:spid="_x0000_s1305" style="position:absolute;left:73840;top:34103;width:15117;height:76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" fillcolor="#599bd5" strokecolor="white [3201]" strokeweight="1pt">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roundrect id="Скругленный прямоугольник 318" o:spid="_x0000_s1306" style="position:absolute;left:75170;top:35367;width:15117;height:76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" fillcolor="#acb8ca" strokecolor="#599bd5" strokeweight="1pt">
                    <v:fill opacity="58853f"/>
                    <v:stroke startarrowwidth="narrow" startarrowlength="short" endarrowwidth="narrow" endarrowlength="short" joinstyle="miter"/>
                    <v:textbox inset="2.53958mm,2.53958mm,2.53958mm,2.53958mm">
                      <w:txbxContent>
                        <w:p w:rsidR="00D06B63" w:rsidRDefault="00D06B63" w:rsidP="00EA72C7">
                          <w:pPr>
                            <w:spacing w:after="0" w:line="240" w:lineRule="auto"/>
                            <w:textDirection w:val="btLr"/>
                          </w:pPr>
                        </w:p>
                      </w:txbxContent>
                    </v:textbox>
                  </v:roundrect>
                  <v:shape id="Надпись 319" o:spid="_x0000_s1307" type="#_x0000_t202" style="position:absolute;left:75393;top:35589;width:14671;height:7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" filled="f" stroked="f">
                    <v:textbox inset="1.1639mm,1.1639mm,1.1639mm,1.1639mm">
                      <w:txbxContent>
                        <w:p w:rsidR="00D06B63" w:rsidRDefault="00D06B63" w:rsidP="00EA72C7">
                          <w:pPr>
                            <w:spacing w:after="0" w:line="215" w:lineRule="auto"/>
                            <w:jc w:val="center"/>
                            <w:textDirection w:val="btLr"/>
                          </w:pPr>
                          <w:r>
                            <w:rPr>
                              <w:i/>
                              <w:color w:val="000000"/>
                              <w:sz w:val="21"/>
                            </w:rPr>
                            <w:t>Индикаторы экологической эффективности</w:t>
                          </w:r>
                        </w:p>
                      </w:txbxContent>
                    </v:textbox>
                  </v:shape>
                </v:group>
                <w10:anchorlock/>
              </v:group>
            </w:pict>
          </mc:Fallback>
        </mc:AlternateContent>
      </w:r>
    </w:p>
    <w:p w:rsidR="00EA72C7" w:rsidRDefault="00EA72C7" w:rsidP="00EA72C7">
      <w:pPr>
        <w:spacing w:after="0" w:line="240" w:lineRule="auto"/>
        <w:jc w:val="both"/>
        <w:rPr>
          <w:rFonts w:ascii="Times New Roman" w:eastAsia="Times New Roman" w:hAnsi="Times New Roman" w:cs="Times New Roman"/>
          <w:sz w:val="28"/>
          <w:szCs w:val="28"/>
        </w:rPr>
      </w:pPr>
    </w:p>
    <w:p w:rsidR="003E7002" w:rsidRDefault="00EA72C7" w:rsidP="00EA72C7">
      <w:pPr>
        <w:spacing w:after="0" w:line="240" w:lineRule="auto"/>
        <w:jc w:val="center"/>
      </w:pPr>
      <w:r>
        <w:rPr>
          <w:rFonts w:ascii="Times New Roman" w:eastAsia="Times New Roman" w:hAnsi="Times New Roman" w:cs="Times New Roman"/>
          <w:sz w:val="28"/>
          <w:szCs w:val="28"/>
        </w:rPr>
        <w:t>Рисунок Н.1 – Предлагаемые показатели оценки эффективности деятельности государственных органов Республики Казахстан</w:t>
      </w:r>
    </w:p>
    <w:sectPr w:rsidR="003E7002">
      <w:pgSz w:w="16838" w:h="11906" w:orient="landscape"/>
      <w:pgMar w:top="1701" w:right="1134" w:bottom="567"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217" w:rsidRDefault="00593217" w:rsidP="00EA72C7">
      <w:pPr>
        <w:spacing w:after="0" w:line="240" w:lineRule="auto"/>
      </w:pPr>
      <w:r>
        <w:separator/>
      </w:r>
    </w:p>
  </w:endnote>
  <w:endnote w:type="continuationSeparator" w:id="0">
    <w:p w:rsidR="00593217" w:rsidRDefault="00593217" w:rsidP="00EA7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Gungsuh">
    <w:altName w:val="MV Boli"/>
    <w:charset w:val="81"/>
    <w:family w:val="roman"/>
    <w:pitch w:val="variable"/>
    <w:sig w:usb0="B00002AF" w:usb1="69D77CFB" w:usb2="00000030" w:usb3="00000000" w:csb0="0008009F" w:csb1="00000000"/>
  </w:font>
  <w:font w:name="Quattrocento Sans">
    <w:altName w:val="MV Bol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B63" w:rsidRDefault="00D06B63">
    <w:pPr>
      <w:pBdr>
        <w:top w:val="nil"/>
        <w:left w:val="nil"/>
        <w:bottom w:val="nil"/>
        <w:right w:val="nil"/>
        <w:between w:val="nil"/>
      </w:pBdr>
      <w:tabs>
        <w:tab w:val="center" w:pos="4677"/>
        <w:tab w:val="right" w:pos="9355"/>
      </w:tabs>
      <w:spacing w:after="0" w:line="240" w:lineRule="auto"/>
      <w:jc w:val="center"/>
      <w:rPr>
        <w:color w:val="000000"/>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0A0D89">
      <w:rPr>
        <w:rFonts w:ascii="Times New Roman" w:eastAsia="Times New Roman" w:hAnsi="Times New Roman" w:cs="Times New Roman"/>
        <w:noProof/>
        <w:color w:val="000000"/>
        <w:sz w:val="24"/>
        <w:szCs w:val="24"/>
      </w:rPr>
      <w:t>21</w:t>
    </w:r>
    <w:r>
      <w:rPr>
        <w:rFonts w:ascii="Times New Roman" w:eastAsia="Times New Roman" w:hAnsi="Times New Roman" w:cs="Times New Roman"/>
        <w:color w:val="000000"/>
        <w:sz w:val="24"/>
        <w:szCs w:val="24"/>
      </w:rPr>
      <w:fldChar w:fldCharType="end"/>
    </w:r>
  </w:p>
  <w:p w:rsidR="00D06B63" w:rsidRDefault="00D06B63">
    <w:pPr>
      <w:pBdr>
        <w:top w:val="nil"/>
        <w:left w:val="nil"/>
        <w:bottom w:val="nil"/>
        <w:right w:val="nil"/>
        <w:between w:val="nil"/>
      </w:pBdr>
      <w:tabs>
        <w:tab w:val="center" w:pos="4677"/>
        <w:tab w:val="right" w:pos="9355"/>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8807010"/>
      <w:docPartObj>
        <w:docPartGallery w:val="Page Numbers (Bottom of Page)"/>
        <w:docPartUnique/>
      </w:docPartObj>
    </w:sdtPr>
    <w:sdtEndPr>
      <w:rPr>
        <w:rFonts w:ascii="Times New Roman" w:hAnsi="Times New Roman" w:cs="Times New Roman"/>
        <w:sz w:val="24"/>
        <w:szCs w:val="24"/>
      </w:rPr>
    </w:sdtEndPr>
    <w:sdtContent>
      <w:p w:rsidR="00D06B63" w:rsidRPr="00602B4F" w:rsidRDefault="00D06B63">
        <w:pPr>
          <w:pStyle w:val="a7"/>
          <w:jc w:val="center"/>
          <w:rPr>
            <w:rFonts w:ascii="Times New Roman" w:hAnsi="Times New Roman" w:cs="Times New Roman"/>
            <w:sz w:val="24"/>
            <w:szCs w:val="24"/>
          </w:rPr>
        </w:pPr>
        <w:r w:rsidRPr="00602B4F">
          <w:rPr>
            <w:rFonts w:ascii="Times New Roman" w:hAnsi="Times New Roman" w:cs="Times New Roman"/>
            <w:sz w:val="24"/>
            <w:szCs w:val="24"/>
          </w:rPr>
          <w:fldChar w:fldCharType="begin"/>
        </w:r>
        <w:r w:rsidRPr="00602B4F">
          <w:rPr>
            <w:rFonts w:ascii="Times New Roman" w:hAnsi="Times New Roman" w:cs="Times New Roman"/>
            <w:sz w:val="24"/>
            <w:szCs w:val="24"/>
          </w:rPr>
          <w:instrText>PAGE   \* MERGEFORMAT</w:instrText>
        </w:r>
        <w:r w:rsidRPr="00602B4F">
          <w:rPr>
            <w:rFonts w:ascii="Times New Roman" w:hAnsi="Times New Roman" w:cs="Times New Roman"/>
            <w:sz w:val="24"/>
            <w:szCs w:val="24"/>
          </w:rPr>
          <w:fldChar w:fldCharType="separate"/>
        </w:r>
        <w:r w:rsidR="000A0D89">
          <w:rPr>
            <w:rFonts w:ascii="Times New Roman" w:hAnsi="Times New Roman" w:cs="Times New Roman"/>
            <w:noProof/>
            <w:sz w:val="24"/>
            <w:szCs w:val="24"/>
          </w:rPr>
          <w:t>1</w:t>
        </w:r>
        <w:r w:rsidRPr="00602B4F">
          <w:rPr>
            <w:rFonts w:ascii="Times New Roman" w:hAnsi="Times New Roman" w:cs="Times New Roman"/>
            <w:sz w:val="24"/>
            <w:szCs w:val="24"/>
          </w:rPr>
          <w:fldChar w:fldCharType="end"/>
        </w:r>
      </w:p>
    </w:sdtContent>
  </w:sdt>
  <w:p w:rsidR="00D06B63" w:rsidRDefault="00D06B6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217" w:rsidRDefault="00593217" w:rsidP="00EA72C7">
      <w:pPr>
        <w:spacing w:after="0" w:line="240" w:lineRule="auto"/>
      </w:pPr>
      <w:r>
        <w:separator/>
      </w:r>
    </w:p>
  </w:footnote>
  <w:footnote w:type="continuationSeparator" w:id="0">
    <w:p w:rsidR="00593217" w:rsidRDefault="00593217" w:rsidP="00EA72C7">
      <w:pPr>
        <w:spacing w:after="0" w:line="240" w:lineRule="auto"/>
      </w:pPr>
      <w:r>
        <w:continuationSeparator/>
      </w:r>
    </w:p>
  </w:footnote>
  <w:footnote w:id="1">
    <w:p w:rsidR="00D06B63" w:rsidRDefault="00D06B63" w:rsidP="00EA72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ИЗА</w:t>
      </w:r>
      <w:r>
        <w:rPr>
          <w:rFonts w:ascii="Times New Roman" w:eastAsia="Times New Roman" w:hAnsi="Times New Roman" w:cs="Times New Roman"/>
          <w:color w:val="000000"/>
          <w:sz w:val="20"/>
          <w:szCs w:val="20"/>
          <w:vertAlign w:val="subscript"/>
        </w:rPr>
        <w:t>5</w:t>
      </w:r>
      <w:r>
        <w:rPr>
          <w:rFonts w:ascii="Times New Roman" w:eastAsia="Times New Roman" w:hAnsi="Times New Roman" w:cs="Times New Roman"/>
          <w:color w:val="000000"/>
          <w:sz w:val="20"/>
          <w:szCs w:val="20"/>
        </w:rPr>
        <w:t xml:space="preserve"> – индекс загрязнения атмосферы, показатель загрязнения атмосферы. Для его расчета используются средние значения концентраций 5 загрязняющих веществ, деленные на ПДК и приведенные к вредности диоксида серы. Сероводород и взвешенные частицы РМ2,5 и РМ10 в расчете ИЗА</w:t>
      </w:r>
      <w:r>
        <w:rPr>
          <w:rFonts w:ascii="Times New Roman" w:eastAsia="Times New Roman" w:hAnsi="Times New Roman" w:cs="Times New Roman"/>
          <w:color w:val="000000"/>
          <w:sz w:val="20"/>
          <w:szCs w:val="20"/>
          <w:vertAlign w:val="subscript"/>
        </w:rPr>
        <w:t>5</w:t>
      </w:r>
      <w:r>
        <w:rPr>
          <w:rFonts w:ascii="Times New Roman" w:eastAsia="Times New Roman" w:hAnsi="Times New Roman" w:cs="Times New Roman"/>
          <w:color w:val="000000"/>
          <w:sz w:val="20"/>
          <w:szCs w:val="20"/>
        </w:rPr>
        <w:t xml:space="preserve"> не применяются.</w:t>
      </w:r>
    </w:p>
  </w:footnote>
  <w:footnote w:id="2">
    <w:p w:rsidR="00D06B63" w:rsidRDefault="00D06B63" w:rsidP="00EA72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СИ – стандартный индекс – наибольшая измеренная в городе максимальная разовая концентрация любого загрязняющего вещества, деленная на ПДК. НП – наибольшая повторяемость; %, превышения ПДК – наибольшая повторяемость превышения ПДК любым загрязняющим веществом в воздухе города.</w:t>
      </w:r>
    </w:p>
  </w:footnote>
  <w:footnote w:id="3">
    <w:p w:rsidR="00D06B63" w:rsidRDefault="00D06B63" w:rsidP="00EA72C7">
      <w:pPr>
        <w:pBdr>
          <w:top w:val="nil"/>
          <w:left w:val="nil"/>
          <w:bottom w:val="nil"/>
          <w:right w:val="nil"/>
          <w:between w:val="nil"/>
        </w:pBdr>
        <w:spacing w:after="0" w:line="240" w:lineRule="auto"/>
        <w:ind w:firstLine="709"/>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ПДК – предельно-допустимая концентрация, м.р. – максимальный размер</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3279F"/>
    <w:multiLevelType w:val="multilevel"/>
    <w:tmpl w:val="8E78F59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11EE781A"/>
    <w:multiLevelType w:val="multilevel"/>
    <w:tmpl w:val="B11852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612D4E"/>
    <w:multiLevelType w:val="multilevel"/>
    <w:tmpl w:val="95BE0F6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774CD0"/>
    <w:multiLevelType w:val="multilevel"/>
    <w:tmpl w:val="14CA079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A55641"/>
    <w:multiLevelType w:val="multilevel"/>
    <w:tmpl w:val="6F0A50EE"/>
    <w:lvl w:ilvl="0">
      <w:start w:val="1"/>
      <w:numFmt w:val="bullet"/>
      <w:lvlText w:val="–"/>
      <w:lvlJc w:val="left"/>
      <w:pPr>
        <w:ind w:left="1429" w:hanging="360"/>
      </w:pPr>
      <w:rPr>
        <w:rFonts w:ascii="Times New Roman" w:eastAsia="Times New Roman" w:hAnsi="Times New Roman" w:cs="Times New Roman"/>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3AEA5879"/>
    <w:multiLevelType w:val="multilevel"/>
    <w:tmpl w:val="C9F8B3B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002BCB"/>
    <w:multiLevelType w:val="multilevel"/>
    <w:tmpl w:val="AF04B6A4"/>
    <w:lvl w:ilvl="0">
      <w:start w:val="1"/>
      <w:numFmt w:val="decimal"/>
      <w:lvlText w:val="%1."/>
      <w:lvlJc w:val="left"/>
      <w:pPr>
        <w:ind w:left="1429" w:hanging="360"/>
      </w:p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15:restartNumberingAfterBreak="0">
    <w:nsid w:val="41CA2DED"/>
    <w:multiLevelType w:val="multilevel"/>
    <w:tmpl w:val="2D3232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7D047AC"/>
    <w:multiLevelType w:val="multilevel"/>
    <w:tmpl w:val="5C326E4A"/>
    <w:lvl w:ilvl="0">
      <w:start w:val="1"/>
      <w:numFmt w:val="decimal"/>
      <w:lvlText w:val="%1"/>
      <w:lvlJc w:val="left"/>
      <w:pPr>
        <w:ind w:left="1065" w:hanging="705"/>
      </w:pPr>
      <w:rPr>
        <w:lang w:val="ru-RU"/>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4005E7A"/>
    <w:multiLevelType w:val="multilevel"/>
    <w:tmpl w:val="8D8CBF70"/>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15:restartNumberingAfterBreak="0">
    <w:nsid w:val="5BDA0105"/>
    <w:multiLevelType w:val="multilevel"/>
    <w:tmpl w:val="9882618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BC6693F"/>
    <w:multiLevelType w:val="multilevel"/>
    <w:tmpl w:val="BAFE22B6"/>
    <w:lvl w:ilvl="0">
      <w:start w:val="1"/>
      <w:numFmt w:val="bullet"/>
      <w:lvlText w:val="–"/>
      <w:lvlJc w:val="left"/>
      <w:pPr>
        <w:ind w:left="1146" w:hanging="360"/>
      </w:pPr>
      <w:rPr>
        <w:rFonts w:ascii="Times New Roman" w:eastAsia="Times New Roman" w:hAnsi="Times New Roman" w:cs="Times New Roman"/>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2" w15:restartNumberingAfterBreak="0">
    <w:nsid w:val="6FBE2294"/>
    <w:multiLevelType w:val="multilevel"/>
    <w:tmpl w:val="A672142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6FF97E2F"/>
    <w:multiLevelType w:val="multilevel"/>
    <w:tmpl w:val="25044ED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72823330"/>
    <w:multiLevelType w:val="multilevel"/>
    <w:tmpl w:val="0A1A093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14"/>
  </w:num>
  <w:num w:numId="2">
    <w:abstractNumId w:val="10"/>
  </w:num>
  <w:num w:numId="3">
    <w:abstractNumId w:val="8"/>
  </w:num>
  <w:num w:numId="4">
    <w:abstractNumId w:val="5"/>
  </w:num>
  <w:num w:numId="5">
    <w:abstractNumId w:val="2"/>
  </w:num>
  <w:num w:numId="6">
    <w:abstractNumId w:val="7"/>
  </w:num>
  <w:num w:numId="7">
    <w:abstractNumId w:val="9"/>
  </w:num>
  <w:num w:numId="8">
    <w:abstractNumId w:val="13"/>
  </w:num>
  <w:num w:numId="9">
    <w:abstractNumId w:val="0"/>
  </w:num>
  <w:num w:numId="10">
    <w:abstractNumId w:val="11"/>
  </w:num>
  <w:num w:numId="11">
    <w:abstractNumId w:val="1"/>
  </w:num>
  <w:num w:numId="12">
    <w:abstractNumId w:val="12"/>
  </w:num>
  <w:num w:numId="13">
    <w:abstractNumId w:val="6"/>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2C7"/>
    <w:rsid w:val="00037F18"/>
    <w:rsid w:val="000A0D89"/>
    <w:rsid w:val="001F060E"/>
    <w:rsid w:val="00276569"/>
    <w:rsid w:val="00347F44"/>
    <w:rsid w:val="003E7002"/>
    <w:rsid w:val="004508C4"/>
    <w:rsid w:val="004D137E"/>
    <w:rsid w:val="005738AE"/>
    <w:rsid w:val="00593217"/>
    <w:rsid w:val="005A53A3"/>
    <w:rsid w:val="005F2A00"/>
    <w:rsid w:val="00637928"/>
    <w:rsid w:val="006E5560"/>
    <w:rsid w:val="007F7B5C"/>
    <w:rsid w:val="009066A2"/>
    <w:rsid w:val="0091071E"/>
    <w:rsid w:val="009F2A88"/>
    <w:rsid w:val="00A82F58"/>
    <w:rsid w:val="00CB3555"/>
    <w:rsid w:val="00CC5363"/>
    <w:rsid w:val="00CF5A64"/>
    <w:rsid w:val="00D06B63"/>
    <w:rsid w:val="00EA72C7"/>
    <w:rsid w:val="00EC4EFD"/>
    <w:rsid w:val="00F80BAE"/>
    <w:rsid w:val="00FD53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5D9FED-8AAF-4029-ABF4-651238FAF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72C7"/>
    <w:rPr>
      <w:rFonts w:ascii="Calibri" w:eastAsia="Calibri" w:hAnsi="Calibri" w:cs="Calibri"/>
      <w:lang w:eastAsia="ru-RU"/>
    </w:rPr>
  </w:style>
  <w:style w:type="paragraph" w:styleId="1">
    <w:name w:val="heading 1"/>
    <w:basedOn w:val="a"/>
    <w:next w:val="a"/>
    <w:link w:val="10"/>
    <w:uiPriority w:val="9"/>
    <w:qFormat/>
    <w:rsid w:val="00EA72C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EA72C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rsid w:val="00EA72C7"/>
    <w:pPr>
      <w:keepNext/>
      <w:keepLines/>
      <w:spacing w:before="280" w:after="80"/>
      <w:outlineLvl w:val="2"/>
    </w:pPr>
    <w:rPr>
      <w:b/>
      <w:sz w:val="28"/>
      <w:szCs w:val="28"/>
    </w:rPr>
  </w:style>
  <w:style w:type="paragraph" w:styleId="4">
    <w:name w:val="heading 4"/>
    <w:basedOn w:val="a"/>
    <w:next w:val="a"/>
    <w:link w:val="40"/>
    <w:uiPriority w:val="9"/>
    <w:semiHidden/>
    <w:unhideWhenUsed/>
    <w:qFormat/>
    <w:rsid w:val="00EA72C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rsid w:val="00EA72C7"/>
    <w:pPr>
      <w:keepNext/>
      <w:keepLines/>
      <w:spacing w:before="220" w:after="40"/>
      <w:outlineLvl w:val="4"/>
    </w:pPr>
    <w:rPr>
      <w:b/>
    </w:rPr>
  </w:style>
  <w:style w:type="paragraph" w:styleId="6">
    <w:name w:val="heading 6"/>
    <w:basedOn w:val="a"/>
    <w:next w:val="a"/>
    <w:link w:val="60"/>
    <w:rsid w:val="00EA72C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72C7"/>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uiPriority w:val="9"/>
    <w:rsid w:val="00EA72C7"/>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rsid w:val="00EA72C7"/>
    <w:rPr>
      <w:rFonts w:ascii="Calibri" w:eastAsia="Calibri" w:hAnsi="Calibri" w:cs="Calibri"/>
      <w:b/>
      <w:sz w:val="28"/>
      <w:szCs w:val="28"/>
      <w:lang w:eastAsia="ru-RU"/>
    </w:rPr>
  </w:style>
  <w:style w:type="character" w:customStyle="1" w:styleId="40">
    <w:name w:val="Заголовок 4 Знак"/>
    <w:basedOn w:val="a0"/>
    <w:link w:val="4"/>
    <w:uiPriority w:val="9"/>
    <w:semiHidden/>
    <w:rsid w:val="00EA72C7"/>
    <w:rPr>
      <w:rFonts w:asciiTheme="majorHAnsi" w:eastAsiaTheme="majorEastAsia" w:hAnsiTheme="majorHAnsi" w:cstheme="majorBidi"/>
      <w:i/>
      <w:iCs/>
      <w:color w:val="2E74B5" w:themeColor="accent1" w:themeShade="BF"/>
      <w:lang w:eastAsia="ru-RU"/>
    </w:rPr>
  </w:style>
  <w:style w:type="character" w:customStyle="1" w:styleId="50">
    <w:name w:val="Заголовок 5 Знак"/>
    <w:basedOn w:val="a0"/>
    <w:link w:val="5"/>
    <w:rsid w:val="00EA72C7"/>
    <w:rPr>
      <w:rFonts w:ascii="Calibri" w:eastAsia="Calibri" w:hAnsi="Calibri" w:cs="Calibri"/>
      <w:b/>
      <w:lang w:eastAsia="ru-RU"/>
    </w:rPr>
  </w:style>
  <w:style w:type="character" w:customStyle="1" w:styleId="60">
    <w:name w:val="Заголовок 6 Знак"/>
    <w:basedOn w:val="a0"/>
    <w:link w:val="6"/>
    <w:rsid w:val="00EA72C7"/>
    <w:rPr>
      <w:rFonts w:ascii="Calibri" w:eastAsia="Calibri" w:hAnsi="Calibri" w:cs="Calibri"/>
      <w:b/>
      <w:sz w:val="20"/>
      <w:szCs w:val="20"/>
      <w:lang w:eastAsia="ru-RU"/>
    </w:rPr>
  </w:style>
  <w:style w:type="table" w:customStyle="1" w:styleId="TableNormal">
    <w:name w:val="Table Normal"/>
    <w:rsid w:val="00EA72C7"/>
    <w:rPr>
      <w:rFonts w:ascii="Calibri" w:eastAsia="Calibri" w:hAnsi="Calibri" w:cs="Calibri"/>
      <w:lang w:eastAsia="ru-RU"/>
    </w:rPr>
    <w:tblPr>
      <w:tblCellMar>
        <w:top w:w="0" w:type="dxa"/>
        <w:left w:w="0" w:type="dxa"/>
        <w:bottom w:w="0" w:type="dxa"/>
        <w:right w:w="0" w:type="dxa"/>
      </w:tblCellMar>
    </w:tblPr>
  </w:style>
  <w:style w:type="paragraph" w:styleId="a3">
    <w:name w:val="Title"/>
    <w:basedOn w:val="a"/>
    <w:next w:val="a"/>
    <w:link w:val="a4"/>
    <w:rsid w:val="00EA72C7"/>
    <w:pPr>
      <w:keepNext/>
      <w:keepLines/>
      <w:spacing w:before="480" w:after="120"/>
    </w:pPr>
    <w:rPr>
      <w:b/>
      <w:sz w:val="72"/>
      <w:szCs w:val="72"/>
    </w:rPr>
  </w:style>
  <w:style w:type="character" w:customStyle="1" w:styleId="a4">
    <w:name w:val="Название Знак"/>
    <w:basedOn w:val="a0"/>
    <w:link w:val="a3"/>
    <w:rsid w:val="00EA72C7"/>
    <w:rPr>
      <w:rFonts w:ascii="Calibri" w:eastAsia="Calibri" w:hAnsi="Calibri" w:cs="Calibri"/>
      <w:b/>
      <w:sz w:val="72"/>
      <w:szCs w:val="72"/>
      <w:lang w:eastAsia="ru-RU"/>
    </w:rPr>
  </w:style>
  <w:style w:type="paragraph" w:styleId="a5">
    <w:name w:val="header"/>
    <w:basedOn w:val="a"/>
    <w:link w:val="a6"/>
    <w:uiPriority w:val="99"/>
    <w:unhideWhenUsed/>
    <w:rsid w:val="00EA72C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A72C7"/>
    <w:rPr>
      <w:rFonts w:ascii="Calibri" w:eastAsia="Calibri" w:hAnsi="Calibri" w:cs="Calibri"/>
      <w:lang w:eastAsia="ru-RU"/>
    </w:rPr>
  </w:style>
  <w:style w:type="paragraph" w:styleId="a7">
    <w:name w:val="footer"/>
    <w:basedOn w:val="a"/>
    <w:link w:val="a8"/>
    <w:uiPriority w:val="99"/>
    <w:unhideWhenUsed/>
    <w:rsid w:val="00EA72C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A72C7"/>
    <w:rPr>
      <w:rFonts w:ascii="Calibri" w:eastAsia="Calibri" w:hAnsi="Calibri" w:cs="Calibri"/>
      <w:lang w:eastAsia="ru-RU"/>
    </w:rPr>
  </w:style>
  <w:style w:type="paragraph" w:styleId="a9">
    <w:name w:val="TOC Heading"/>
    <w:basedOn w:val="1"/>
    <w:next w:val="a"/>
    <w:uiPriority w:val="39"/>
    <w:semiHidden/>
    <w:unhideWhenUsed/>
    <w:qFormat/>
    <w:rsid w:val="00EA72C7"/>
    <w:pPr>
      <w:spacing w:line="276" w:lineRule="auto"/>
      <w:outlineLvl w:val="9"/>
    </w:pPr>
  </w:style>
  <w:style w:type="paragraph" w:styleId="11">
    <w:name w:val="toc 1"/>
    <w:basedOn w:val="a"/>
    <w:next w:val="a"/>
    <w:autoRedefine/>
    <w:uiPriority w:val="39"/>
    <w:unhideWhenUsed/>
    <w:rsid w:val="00EA72C7"/>
    <w:pPr>
      <w:spacing w:after="100"/>
    </w:pPr>
  </w:style>
  <w:style w:type="paragraph" w:styleId="21">
    <w:name w:val="toc 2"/>
    <w:basedOn w:val="a"/>
    <w:next w:val="a"/>
    <w:autoRedefine/>
    <w:uiPriority w:val="39"/>
    <w:unhideWhenUsed/>
    <w:rsid w:val="00EA72C7"/>
    <w:pPr>
      <w:tabs>
        <w:tab w:val="right" w:leader="dot" w:pos="9345"/>
      </w:tabs>
      <w:spacing w:after="100"/>
      <w:ind w:left="220"/>
      <w:jc w:val="both"/>
    </w:pPr>
  </w:style>
  <w:style w:type="character" w:styleId="aa">
    <w:name w:val="Hyperlink"/>
    <w:basedOn w:val="a0"/>
    <w:uiPriority w:val="99"/>
    <w:unhideWhenUsed/>
    <w:rsid w:val="00EA72C7"/>
    <w:rPr>
      <w:color w:val="0563C1" w:themeColor="hyperlink"/>
      <w:u w:val="single"/>
    </w:rPr>
  </w:style>
  <w:style w:type="paragraph" w:styleId="ab">
    <w:name w:val="Balloon Text"/>
    <w:basedOn w:val="a"/>
    <w:link w:val="ac"/>
    <w:uiPriority w:val="99"/>
    <w:semiHidden/>
    <w:unhideWhenUsed/>
    <w:rsid w:val="00EA72C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A72C7"/>
    <w:rPr>
      <w:rFonts w:ascii="Tahoma" w:eastAsia="Calibri" w:hAnsi="Tahoma" w:cs="Tahoma"/>
      <w:sz w:val="16"/>
      <w:szCs w:val="16"/>
      <w:lang w:eastAsia="ru-RU"/>
    </w:rPr>
  </w:style>
  <w:style w:type="table" w:styleId="ad">
    <w:name w:val="Table Grid"/>
    <w:basedOn w:val="a1"/>
    <w:uiPriority w:val="39"/>
    <w:rsid w:val="00EA72C7"/>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 Char Знак Char Char,Footnote Text1,Char Знак Char Char,Footnote Text1 Знак, Char Знак Char Char1, Char Знак Знак Знак Знак,Текст сноски1,Footnote Text1 Знак Знак1, Char Знак Знак Знак1,Footnote Text1 Знак1,Знак Знак,Знак,Текст сноски-FN"/>
    <w:basedOn w:val="a"/>
    <w:link w:val="af"/>
    <w:uiPriority w:val="99"/>
    <w:unhideWhenUsed/>
    <w:rsid w:val="00EA72C7"/>
    <w:pPr>
      <w:spacing w:after="0" w:line="240" w:lineRule="auto"/>
    </w:pPr>
    <w:rPr>
      <w:sz w:val="20"/>
      <w:szCs w:val="20"/>
    </w:rPr>
  </w:style>
  <w:style w:type="character" w:customStyle="1" w:styleId="af">
    <w:name w:val="Текст сноски Знак"/>
    <w:aliases w:val=" Char Знак Char Char Знак,Footnote Text1 Знак2,Char Знак Char Char Знак,Footnote Text1 Знак Знак, Char Знак Char Char1 Знак, Char Знак Знак Знак Знак Знак,Текст сноски1 Знак,Footnote Text1 Знак Знак1 Знак, Char Знак Знак Знак1 Знак"/>
    <w:basedOn w:val="a0"/>
    <w:link w:val="ae"/>
    <w:uiPriority w:val="99"/>
    <w:rsid w:val="00EA72C7"/>
    <w:rPr>
      <w:rFonts w:ascii="Calibri" w:eastAsia="Calibri" w:hAnsi="Calibri" w:cs="Calibri"/>
      <w:sz w:val="20"/>
      <w:szCs w:val="20"/>
      <w:lang w:eastAsia="ru-RU"/>
    </w:rPr>
  </w:style>
  <w:style w:type="character" w:styleId="af0">
    <w:name w:val="footnote reference"/>
    <w:aliases w:val="Знак сноски-FN,Estilo de nota al pie de Africa,Footnote Reference1,Error-Fußnotenzeichen5,Error-Fußnotenzeichen6,Error-Fußnotenzeichen3,ftref,Footnote Reference Number,referencia nota al pie,Char Char Char Char Car Char,Ref,de nota al pie"/>
    <w:basedOn w:val="a0"/>
    <w:uiPriority w:val="99"/>
    <w:unhideWhenUsed/>
    <w:qFormat/>
    <w:rsid w:val="00EA72C7"/>
    <w:rPr>
      <w:vertAlign w:val="superscript"/>
    </w:rPr>
  </w:style>
  <w:style w:type="paragraph" w:styleId="af1">
    <w:name w:val="List Paragraph"/>
    <w:aliases w:val="маркированный,Main numbered paragraph,List Paragraph (numbered (a)),List bullets,Citation List,Resume Title,Numbered List Paragraph,List Paragraph1,Bullets,References,WB List Paragraph,Liste 1,Medium Grid 1 - Accent 21,List Paragraph nowy"/>
    <w:basedOn w:val="a"/>
    <w:link w:val="af2"/>
    <w:uiPriority w:val="34"/>
    <w:qFormat/>
    <w:rsid w:val="00EA72C7"/>
    <w:pPr>
      <w:ind w:left="720"/>
      <w:contextualSpacing/>
    </w:pPr>
  </w:style>
  <w:style w:type="character" w:styleId="af3">
    <w:name w:val="Placeholder Text"/>
    <w:basedOn w:val="a0"/>
    <w:uiPriority w:val="99"/>
    <w:semiHidden/>
    <w:rsid w:val="00EA72C7"/>
    <w:rPr>
      <w:color w:val="808080"/>
    </w:rPr>
  </w:style>
  <w:style w:type="paragraph" w:styleId="af4">
    <w:name w:val="No Spacing"/>
    <w:uiPriority w:val="1"/>
    <w:qFormat/>
    <w:rsid w:val="00EA72C7"/>
    <w:pPr>
      <w:spacing w:after="0" w:line="240" w:lineRule="auto"/>
    </w:pPr>
    <w:rPr>
      <w:rFonts w:ascii="Calibri" w:eastAsia="Calibri" w:hAnsi="Calibri" w:cs="Calibri"/>
      <w:lang w:eastAsia="ru-RU"/>
    </w:rPr>
  </w:style>
  <w:style w:type="paragraph" w:styleId="31">
    <w:name w:val="toc 3"/>
    <w:basedOn w:val="a"/>
    <w:next w:val="a"/>
    <w:autoRedefine/>
    <w:uiPriority w:val="39"/>
    <w:unhideWhenUsed/>
    <w:rsid w:val="00EA72C7"/>
    <w:pPr>
      <w:spacing w:after="100"/>
      <w:ind w:left="440"/>
    </w:pPr>
  </w:style>
  <w:style w:type="paragraph" w:styleId="af5">
    <w:name w:val="Normal (Web)"/>
    <w:basedOn w:val="a"/>
    <w:uiPriority w:val="99"/>
    <w:unhideWhenUsed/>
    <w:rsid w:val="00EA72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
    <w:name w:val="element"/>
    <w:basedOn w:val="a0"/>
    <w:rsid w:val="00EA72C7"/>
  </w:style>
  <w:style w:type="character" w:styleId="af6">
    <w:name w:val="Strong"/>
    <w:basedOn w:val="a0"/>
    <w:uiPriority w:val="22"/>
    <w:qFormat/>
    <w:rsid w:val="00EA72C7"/>
    <w:rPr>
      <w:b/>
      <w:bCs/>
    </w:rPr>
  </w:style>
  <w:style w:type="character" w:customStyle="1" w:styleId="af2">
    <w:name w:val="Абзац списка Знак"/>
    <w:aliases w:val="маркированный Знак,Main numbered paragraph Знак,List Paragraph (numbered (a)) Знак,List bullets Знак,Citation List Знак,Resume Title Знак,Numbered List Paragraph Знак,List Paragraph1 Знак,Bullets Знак,References Знак,Liste 1 Знак"/>
    <w:link w:val="af1"/>
    <w:uiPriority w:val="34"/>
    <w:qFormat/>
    <w:locked/>
    <w:rsid w:val="00EA72C7"/>
    <w:rPr>
      <w:rFonts w:ascii="Calibri" w:eastAsia="Calibri" w:hAnsi="Calibri" w:cs="Calibri"/>
      <w:lang w:eastAsia="ru-RU"/>
    </w:rPr>
  </w:style>
  <w:style w:type="paragraph" w:styleId="af7">
    <w:name w:val="Subtitle"/>
    <w:basedOn w:val="a"/>
    <w:next w:val="a"/>
    <w:link w:val="af8"/>
    <w:rsid w:val="00EA72C7"/>
    <w:pPr>
      <w:keepNext/>
      <w:keepLines/>
      <w:spacing w:before="360" w:after="80"/>
    </w:pPr>
    <w:rPr>
      <w:rFonts w:ascii="Georgia" w:eastAsia="Georgia" w:hAnsi="Georgia" w:cs="Georgia"/>
      <w:i/>
      <w:color w:val="666666"/>
      <w:sz w:val="48"/>
      <w:szCs w:val="48"/>
    </w:rPr>
  </w:style>
  <w:style w:type="character" w:customStyle="1" w:styleId="af8">
    <w:name w:val="Подзаголовок Знак"/>
    <w:basedOn w:val="a0"/>
    <w:link w:val="af7"/>
    <w:rsid w:val="00EA72C7"/>
    <w:rPr>
      <w:rFonts w:ascii="Georgia" w:eastAsia="Georgia" w:hAnsi="Georgia" w:cs="Georgia"/>
      <w:i/>
      <w:color w:val="666666"/>
      <w:sz w:val="48"/>
      <w:szCs w:val="48"/>
      <w:lang w:eastAsia="ru-RU"/>
    </w:rPr>
  </w:style>
  <w:style w:type="character" w:styleId="af9">
    <w:name w:val="FollowedHyperlink"/>
    <w:basedOn w:val="a0"/>
    <w:uiPriority w:val="99"/>
    <w:semiHidden/>
    <w:unhideWhenUsed/>
    <w:rsid w:val="00EA72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10.xml"/><Relationship Id="rId42" Type="http://schemas.openxmlformats.org/officeDocument/2006/relationships/hyperlink" Target="http://www.worldbank.org/en/topic/" TargetMode="External"/><Relationship Id="rId47" Type="http://schemas.openxmlformats.org/officeDocument/2006/relationships/hyperlink" Target="https://www.researchgate.net/publication" TargetMode="External"/><Relationship Id="rId63" Type="http://schemas.openxmlformats.org/officeDocument/2006/relationships/hyperlink" Target="http://adilet.zan.kz/rus/docs/P1700000827" TargetMode="External"/><Relationship Id="rId68" Type="http://schemas.openxmlformats.org/officeDocument/2006/relationships/hyperlink" Target="https://ecogosfond.kz/?%20ysclid=lbd3tdwixz879777087" TargetMode="External"/><Relationship Id="rId84" Type="http://schemas.openxmlformats.org/officeDocument/2006/relationships/hyperlink" Target="https://adilet.zan.kz/rus/docs" TargetMode="External"/><Relationship Id="rId89" Type="http://schemas.openxmlformats.org/officeDocument/2006/relationships/image" Target="media/image6.jpg"/><Relationship Id="rId16" Type="http://schemas.openxmlformats.org/officeDocument/2006/relationships/image" Target="media/image3.png"/><Relationship Id="rId11" Type="http://schemas.openxmlformats.org/officeDocument/2006/relationships/chart" Target="charts/chart3.xml"/><Relationship Id="rId32" Type="http://schemas.openxmlformats.org/officeDocument/2006/relationships/hyperlink" Target="http://climate.carececo.org/projects/climate-adaptation-and-mitigation-program-for-aral-sea-basin-camp4asb/" TargetMode="External"/><Relationship Id="rId37" Type="http://schemas.openxmlformats.org/officeDocument/2006/relationships/hyperlink" Target="https://adilet.zan.kz/rus/docs/K2100000400" TargetMode="External"/><Relationship Id="rId53" Type="http://schemas.openxmlformats.org/officeDocument/2006/relationships/hyperlink" Target="https://adilet.zan.kz/rus/docs/K1700000125" TargetMode="External"/><Relationship Id="rId58" Type="http://schemas.openxmlformats.org/officeDocument/2006/relationships/hyperlink" Target="http://adilet.zan.kz/rus/docs/P1400000724" TargetMode="External"/><Relationship Id="rId74" Type="http://schemas.openxmlformats.org/officeDocument/2006/relationships/hyperlink" Target="https://portal.esaulet.kz/ru" TargetMode="External"/><Relationship Id="rId79" Type="http://schemas.openxmlformats.org/officeDocument/2006/relationships/hyperlink" Target="https://www.businessperspectives.org/index.php/journals/author/nurzhan-kuandykov" TargetMode="External"/><Relationship Id="rId102" Type="http://schemas.openxmlformats.org/officeDocument/2006/relationships/hyperlink" Target="https://www.instagram.com/akordapress/" TargetMode="External"/><Relationship Id="rId5" Type="http://schemas.openxmlformats.org/officeDocument/2006/relationships/webSettings" Target="webSettings.xml"/><Relationship Id="rId90" Type="http://schemas.openxmlformats.org/officeDocument/2006/relationships/image" Target="media/image7.jpg"/><Relationship Id="rId95" Type="http://schemas.openxmlformats.org/officeDocument/2006/relationships/image" Target="media/image9.jpg"/><Relationship Id="rId22" Type="http://schemas.openxmlformats.org/officeDocument/2006/relationships/chart" Target="charts/chart11.xml"/><Relationship Id="rId27" Type="http://schemas.openxmlformats.org/officeDocument/2006/relationships/hyperlink" Target="https://ru.wikipedia.org/wiki/%D0%92%D1%81%D0%B5%D0%BC%D0%B8%D1%80%D0%BD%D0%B0%D1%8F_%D0%BE%D1%80%D0%B3%D0%B0%D0%BD%D0%B8%D0%B7%D0%B0%D1%86%D0%B8%D1%8F_%D0%B7%D0%B4%D1%80%D0%B0%D0%B2%D0%BE%D0%BE%D1%85%D1%80%D0%B0%D0%BD%D0%B5%D0%BD%D0%B8%D1%8F" TargetMode="External"/><Relationship Id="rId43" Type="http://schemas.openxmlformats.org/officeDocument/2006/relationships/hyperlink" Target="https://www.sciencedirect.com/topics/economics-econometrics-and" TargetMode="External"/><Relationship Id="rId48" Type="http://schemas.openxmlformats.org/officeDocument/2006/relationships/hyperlink" Target="http://www.kremlin.ru/events/president/news/53602" TargetMode="External"/><Relationship Id="rId64" Type="http://schemas.openxmlformats.org/officeDocument/2006/relationships/hyperlink" Target="https://www.inform.kz/ru/cifrovizaciya-sel-skogo-hozyaystva-umnye." TargetMode="External"/><Relationship Id="rId69" Type="http://schemas.openxmlformats.org/officeDocument/2006/relationships/hyperlink" Target="https://www.acbk.kz/." TargetMode="External"/><Relationship Id="rId80" Type="http://schemas.openxmlformats.org/officeDocument/2006/relationships/hyperlink" Target="https://www.businessperspectives.org/index.php/journals/author/yerlan-abil" TargetMode="External"/><Relationship Id="rId85"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chart" Target="charts/chart6.xml"/><Relationship Id="rId33" Type="http://schemas.openxmlformats.org/officeDocument/2006/relationships/hyperlink" Target="https://www.un.org/ru/ga/unep/" TargetMode="External"/><Relationship Id="rId38" Type="http://schemas.openxmlformats.org/officeDocument/2006/relationships/hyperlink" Target="https://www.researchgate.net/journal/Global-Policy-1758-5899" TargetMode="External"/><Relationship Id="rId59" Type="http://schemas.openxmlformats.org/officeDocument/2006/relationships/hyperlink" Target="https://www.stat.gov.kz/official/industry/151/publication" TargetMode="External"/><Relationship Id="rId103" Type="http://schemas.openxmlformats.org/officeDocument/2006/relationships/hyperlink" Target="https://www.instagram.com/berikuali/" TargetMode="External"/><Relationship Id="rId20" Type="http://schemas.openxmlformats.org/officeDocument/2006/relationships/chart" Target="charts/chart9.xml"/><Relationship Id="rId41" Type="http://schemas.openxmlformats.org/officeDocument/2006/relationships/hyperlink" Target="https://cices.eu/content/uploads/sites/8/2012/07/CICES-v-4." TargetMode="External"/><Relationship Id="rId54" Type="http://schemas.openxmlformats.org/officeDocument/2006/relationships/hyperlink" Target="https://adilet.zan.kz/rus" TargetMode="External"/><Relationship Id="rId62" Type="http://schemas.openxmlformats.org/officeDocument/2006/relationships/hyperlink" Target="https://adilet.zan.kz/rus/docs/P1800000423" TargetMode="External"/><Relationship Id="rId70" Type="http://schemas.openxmlformats.org/officeDocument/2006/relationships/hyperlink" Target="https://www.gov.kz/memleket/entities/stat?lang=ru&amp;ysclid=lbd52supvt" TargetMode="External"/><Relationship Id="rId75" Type="http://schemas.openxmlformats.org/officeDocument/2006/relationships/hyperlink" Target="https://informburo.kz/special/ziteli-stolicy-otstoyali-ozero-malyi.%2025.04.2021." TargetMode="External"/><Relationship Id="rId83" Type="http://schemas.openxmlformats.org/officeDocument/2006/relationships/hyperlink" Target="https://adilet.zan.kz/rus/docs/V2000019983" TargetMode="External"/><Relationship Id="rId88" Type="http://schemas.openxmlformats.org/officeDocument/2006/relationships/image" Target="media/image5.png"/><Relationship Id="rId91" Type="http://schemas.openxmlformats.org/officeDocument/2006/relationships/image" Target="media/image8.jpg"/><Relationship Id="rId9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hyperlink" Target="https://ru.wikipedia.org/wiki/%D0%9F%D1%81%D0%B8%D1%85%D0%B8%D1%87%D0%B5%D1%81%D0%BA%D0%BE%D0%B5_%D0%B7%D0%B4%D0%BE%D1%80%D0%BE%D0%B2%D1%8C%D0%B5" TargetMode="External"/><Relationship Id="rId36" Type="http://schemas.openxmlformats.org/officeDocument/2006/relationships/hyperlink" Target="https://unctad.org/meetings/en." TargetMode="External"/><Relationship Id="rId49" Type="http://schemas.openxmlformats.org/officeDocument/2006/relationships/hyperlink" Target="http://greeneconomy.minpriroda.gov.by/uploads/files/A5.3." TargetMode="External"/><Relationship Id="rId57" Type="http://schemas.openxmlformats.org/officeDocument/2006/relationships/hyperlink" Target="https://www.ritmeurasia.org/news--2018-02-21--kazahstan-i-mirovoj." TargetMode="External"/><Relationship Id="rId10" Type="http://schemas.openxmlformats.org/officeDocument/2006/relationships/chart" Target="charts/chart2.xml"/><Relationship Id="rId31" Type="http://schemas.openxmlformats.org/officeDocument/2006/relationships/hyperlink" Target="http://carececo.org/en/main/activity/projects/voda-obrazovanie-i-sotrudnichestvo-/" TargetMode="External"/><Relationship Id="rId44" Type="http://schemas.openxmlformats.org/officeDocument/2006/relationships/hyperlink" Target="https://library.wmo.int/%20doc_num.php?explnum_id=10211" TargetMode="External"/><Relationship Id="rId52" Type="http://schemas.openxmlformats.org/officeDocument/2006/relationships/hyperlink" Target="https://adilet.zan.kz" TargetMode="External"/><Relationship Id="rId60" Type="http://schemas.openxmlformats.org/officeDocument/2006/relationships/hyperlink" Target="https://www.stat.gov.kz/official/industry/14.%2005.06.2021." TargetMode="External"/><Relationship Id="rId65" Type="http://schemas.openxmlformats.org/officeDocument/2006/relationships/hyperlink" Target="https://adilet.zan.kz/rus/docs/P1700000511" TargetMode="External"/><Relationship Id="rId73" Type="http://schemas.openxmlformats.org/officeDocument/2006/relationships/hyperlink" Target="https://online.zakon.kz/Document/?doc_id" TargetMode="External"/><Relationship Id="rId78" Type="http://schemas.openxmlformats.org/officeDocument/2006/relationships/hyperlink" Target="https://www.gov.kz/memleket/entities/ecogeo/about?lang=ru" TargetMode="External"/><Relationship Id="rId81" Type="http://schemas.openxmlformats.org/officeDocument/2006/relationships/hyperlink" Target="https://www.oecd.org/tax/tax-morale-f3d8ea10-en.htm.%2005.09.2022" TargetMode="External"/><Relationship Id="rId86" Type="http://schemas.openxmlformats.org/officeDocument/2006/relationships/footer" Target="footer2.xml"/><Relationship Id="rId94" Type="http://schemas.openxmlformats.org/officeDocument/2006/relationships/image" Target="media/image11.jpeg"/><Relationship Id="rId99" Type="http://schemas.openxmlformats.org/officeDocument/2006/relationships/image" Target="media/image16.jpeg"/><Relationship Id="rId101" Type="http://schemas.openxmlformats.org/officeDocument/2006/relationships/hyperlink" Target="https://www.instagram.com/tokayev_online/" TargetMode="Externa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chart" Target="charts/chart7.xml"/><Relationship Id="rId39" Type="http://schemas.openxmlformats.org/officeDocument/2006/relationships/hyperlink" Target="https://web.stanford.edu" TargetMode="External"/><Relationship Id="rId34" Type="http://schemas.openxmlformats.org/officeDocument/2006/relationships/hyperlink" Target="https://www.un.org/ru/documents/decl_conv." TargetMode="External"/><Relationship Id="rId50" Type="http://schemas.openxmlformats.org/officeDocument/2006/relationships/hyperlink" Target="http://www.akorda.kz/ru" TargetMode="External"/><Relationship Id="rId55" Type="http://schemas.openxmlformats.org/officeDocument/2006/relationships/hyperlink" Target="https://adilet.zan.kz" TargetMode="External"/><Relationship Id="rId76" Type="http://schemas.openxmlformats.org/officeDocument/2006/relationships/hyperlink" Target="https://www.stat.gov.kz/official/industry/157/statistic/5" TargetMode="External"/><Relationship Id="rId97" Type="http://schemas.openxmlformats.org/officeDocument/2006/relationships/image" Target="media/image11.jp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adilet.zan.kz/rus/docs/V1500012888" TargetMode="External"/><Relationship Id="rId92" Type="http://schemas.openxmlformats.org/officeDocument/2006/relationships/image" Target="media/image9.jpeg"/><Relationship Id="rId2" Type="http://schemas.openxmlformats.org/officeDocument/2006/relationships/numbering" Target="numbering.xml"/><Relationship Id="rId29" Type="http://schemas.openxmlformats.org/officeDocument/2006/relationships/hyperlink" Target="https://ru.wikipedia.org/wiki/%D0%A1%D0%BE%D1%86%D0%B8%D0%B0%D0%BB%D1%8C%D0%BD%D1%8B%D0%B9_%D1%81%D1%82%D0%B0%D1%82%D1%83%D1%81" TargetMode="External"/><Relationship Id="rId24" Type="http://schemas.openxmlformats.org/officeDocument/2006/relationships/hyperlink" Target="https://www.gov.kz/memleket/entities/miid" TargetMode="External"/><Relationship Id="rId40" Type="http://schemas.openxmlformats.org/officeDocument/2006/relationships/hyperlink" Target="https://www.unccd.int/sites/default/files/documents/2017." TargetMode="External"/><Relationship Id="rId45" Type="http://schemas.openxmlformats.org/officeDocument/2006/relationships/hyperlink" Target="https://www.ispor.org/Multi-Criteria-Decision-Analysis-guideline.pdf" TargetMode="External"/><Relationship Id="rId66" Type="http://schemas.openxmlformats.org/officeDocument/2006/relationships/hyperlink" Target="about:blank" TargetMode="External"/><Relationship Id="rId87" Type="http://schemas.openxmlformats.org/officeDocument/2006/relationships/image" Target="media/image4.jpg"/><Relationship Id="rId61" Type="http://schemas.openxmlformats.org/officeDocument/2006/relationships/hyperlink" Target="https://foodsecurityindex.eiu" TargetMode="External"/><Relationship Id="rId82" Type="http://schemas.openxmlformats.org/officeDocument/2006/relationships/hyperlink" Target="https://adilet.zan.kz/rus." TargetMode="External"/><Relationship Id="rId19" Type="http://schemas.openxmlformats.org/officeDocument/2006/relationships/chart" Target="charts/chart8.xml"/><Relationship Id="rId14" Type="http://schemas.openxmlformats.org/officeDocument/2006/relationships/image" Target="media/image2.png"/><Relationship Id="rId30" Type="http://schemas.openxmlformats.org/officeDocument/2006/relationships/hyperlink" Target="https://ru.wikipedia.org/wiki/%D0%9E%D1%80%D0%B3%D0%B0%D0%BD%D0%B8%D0%B7%D0%B0%D1%86%D0%B8%D1%8F_%D0%9E%D0%B1%D1%8A%D0%B5%D0%B4%D0%B8%D0%BD%D1%91%D0%BD%D0%BD%D1%8B%D1%85_%D0%9D%D0%B0%D1%86%D0%B8%D0%B9" TargetMode="External"/><Relationship Id="rId35" Type="http://schemas.openxmlformats.org/officeDocument/2006/relationships/hyperlink" Target="http://pdf.wri.org/ecosystems_human_wellbeing.pdf" TargetMode="External"/><Relationship Id="rId56" Type="http://schemas.openxmlformats.org/officeDocument/2006/relationships/hyperlink" Target="https://adilet.zan.kz/rus/docs" TargetMode="External"/><Relationship Id="rId77" Type="http://schemas.openxmlformats.org/officeDocument/2006/relationships/hyperlink" Target="https://ecogosfond.kz/" TargetMode="External"/><Relationship Id="rId100" Type="http://schemas.openxmlformats.org/officeDocument/2006/relationships/image" Target="media/image17.jpeg"/><Relationship Id="rId105" Type="http://schemas.openxmlformats.org/officeDocument/2006/relationships/theme" Target="theme/theme1.xml"/><Relationship Id="rId8" Type="http://schemas.openxmlformats.org/officeDocument/2006/relationships/hyperlink" Target="http://ecogosfond.kz/" TargetMode="External"/><Relationship Id="rId51" Type="http://schemas.openxmlformats.org/officeDocument/2006/relationships/hyperlink" Target="https://adilet.zan.kz/rus/docs/Z950002688_" TargetMode="External"/><Relationship Id="rId72" Type="http://schemas.openxmlformats.org/officeDocument/2006/relationships/hyperlink" Target="https://unece.org/sites/default/files/2021-07/frPartyVI.8g_30.06.2021" TargetMode="External"/><Relationship Id="rId93" Type="http://schemas.openxmlformats.org/officeDocument/2006/relationships/image" Target="media/image10.jpeg"/><Relationship Id="rId98" Type="http://schemas.openxmlformats.org/officeDocument/2006/relationships/image" Target="media/image15.jpeg"/><Relationship Id="rId3" Type="http://schemas.openxmlformats.org/officeDocument/2006/relationships/styles" Target="styles.xml"/><Relationship Id="rId25" Type="http://schemas.openxmlformats.org/officeDocument/2006/relationships/hyperlink" Target="https://www.gov.kz/memleket/entities/enbek" TargetMode="External"/><Relationship Id="rId46" Type="http://schemas.openxmlformats.org/officeDocument/2006/relationships/hyperlink" Target="https://epi.yale.edu/epi-results/2020/component/epi" TargetMode="External"/><Relationship Id="rId67" Type="http://schemas.openxmlformats.org/officeDocument/2006/relationships/hyperlink" Target="https://earth.google.com/web/search"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0935811332406978"/>
          <c:y val="4.1080648051523713E-2"/>
          <c:w val="0.38334896557048276"/>
          <c:h val="0.83751741875639052"/>
        </c:manualLayout>
      </c:layout>
      <c:pieChart>
        <c:varyColors val="1"/>
        <c:ser>
          <c:idx val="0"/>
          <c:order val="0"/>
          <c:tx>
            <c:strRef>
              <c:f>Лист1!$B$1</c:f>
              <c:strCache>
                <c:ptCount val="1"/>
                <c:pt idx="0">
                  <c:v>Столбец1</c:v>
                </c:pt>
              </c:strCache>
            </c:strRef>
          </c:tx>
          <c:dPt>
            <c:idx val="0"/>
            <c:bubble3D val="0"/>
            <c:spPr>
              <a:solidFill>
                <a:srgbClr val="99FF33"/>
              </a:solidFill>
            </c:spPr>
            <c:extLst xmlns:c16r2="http://schemas.microsoft.com/office/drawing/2015/06/chart">
              <c:ext xmlns:c16="http://schemas.microsoft.com/office/drawing/2014/chart" uri="{C3380CC4-5D6E-409C-BE32-E72D297353CC}">
                <c16:uniqueId val="{00000001-0D2D-4C2C-AF98-6A8258800608}"/>
              </c:ext>
            </c:extLst>
          </c:dPt>
          <c:dPt>
            <c:idx val="1"/>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3-0D2D-4C2C-AF98-6A8258800608}"/>
              </c:ext>
            </c:extLst>
          </c:dPt>
          <c:dPt>
            <c:idx val="7"/>
            <c:bubble3D val="0"/>
            <c:spPr>
              <a:solidFill>
                <a:srgbClr val="C00000"/>
              </a:solidFill>
            </c:spPr>
            <c:extLst xmlns:c16r2="http://schemas.microsoft.com/office/drawing/2015/06/chart">
              <c:ext xmlns:c16="http://schemas.microsoft.com/office/drawing/2014/chart" uri="{C3380CC4-5D6E-409C-BE32-E72D297353CC}">
                <c16:uniqueId val="{00000005-0D2D-4C2C-AF98-6A8258800608}"/>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Лист1!$A$2:$A$12</c:f>
              <c:strCache>
                <c:ptCount val="11"/>
                <c:pt idx="0">
                  <c:v>Тенгиз</c:v>
                </c:pt>
                <c:pt idx="1">
                  <c:v>Карачаганак</c:v>
                </c:pt>
                <c:pt idx="2">
                  <c:v>Кумоль</c:v>
                </c:pt>
                <c:pt idx="3">
                  <c:v>Узень</c:v>
                </c:pt>
                <c:pt idx="4">
                  <c:v>Жанажол</c:v>
                </c:pt>
                <c:pt idx="5">
                  <c:v>Каламкас</c:v>
                </c:pt>
                <c:pt idx="6">
                  <c:v>Каражанбас</c:v>
                </c:pt>
                <c:pt idx="7">
                  <c:v>Северные Бузачи</c:v>
                </c:pt>
                <c:pt idx="8">
                  <c:v>Кенкияк</c:v>
                </c:pt>
                <c:pt idx="9">
                  <c:v>Жетыбай</c:v>
                </c:pt>
                <c:pt idx="10">
                  <c:v>Другие</c:v>
                </c:pt>
              </c:strCache>
            </c:strRef>
          </c:cat>
          <c:val>
            <c:numRef>
              <c:f>Лист1!$B$2:$B$12</c:f>
              <c:numCache>
                <c:formatCode>General</c:formatCode>
                <c:ptCount val="11"/>
                <c:pt idx="0">
                  <c:v>34.720000000000013</c:v>
                </c:pt>
                <c:pt idx="1">
                  <c:v>16.670000000000005</c:v>
                </c:pt>
                <c:pt idx="2">
                  <c:v>11.81</c:v>
                </c:pt>
                <c:pt idx="3">
                  <c:v>9.7200000000000024</c:v>
                </c:pt>
                <c:pt idx="4">
                  <c:v>5.9700000000000024</c:v>
                </c:pt>
                <c:pt idx="5">
                  <c:v>5.83</c:v>
                </c:pt>
                <c:pt idx="6">
                  <c:v>2.7800000000000002</c:v>
                </c:pt>
                <c:pt idx="7">
                  <c:v>2.5</c:v>
                </c:pt>
                <c:pt idx="8">
                  <c:v>1.9400000000000088</c:v>
                </c:pt>
                <c:pt idx="9">
                  <c:v>1.6700000000000021</c:v>
                </c:pt>
                <c:pt idx="10">
                  <c:v>6.39</c:v>
                </c:pt>
              </c:numCache>
            </c:numRef>
          </c:val>
          <c:extLst xmlns:c16r2="http://schemas.microsoft.com/office/drawing/2015/06/chart">
            <c:ext xmlns:c16="http://schemas.microsoft.com/office/drawing/2014/chart" uri="{C3380CC4-5D6E-409C-BE32-E72D297353CC}">
              <c16:uniqueId val="{00000006-0D2D-4C2C-AF98-6A825880060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329473521692166"/>
          <c:y val="4.5805057500342576E-2"/>
          <c:w val="0.26901343214451134"/>
          <c:h val="0.90838946336527215"/>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Лист1!$B$1</c:f>
              <c:strCache>
                <c:ptCount val="1"/>
                <c:pt idx="0">
                  <c:v>затрудняюсь ответить</c:v>
                </c:pt>
              </c:strCache>
            </c:strRef>
          </c:tx>
          <c:spPr>
            <a:solidFill>
              <a:srgbClr val="FFCC6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ТП ЦГО</c:v>
                </c:pt>
                <c:pt idx="1">
                  <c:v>ЦГО</c:v>
                </c:pt>
                <c:pt idx="2">
                  <c:v>ТП МИО</c:v>
                </c:pt>
                <c:pt idx="3">
                  <c:v>МИО</c:v>
                </c:pt>
              </c:strCache>
            </c:strRef>
          </c:cat>
          <c:val>
            <c:numRef>
              <c:f>Лист1!$B$2:$B$5</c:f>
              <c:numCache>
                <c:formatCode>General</c:formatCode>
                <c:ptCount val="4"/>
                <c:pt idx="0">
                  <c:v>2.13</c:v>
                </c:pt>
                <c:pt idx="1">
                  <c:v>5.56</c:v>
                </c:pt>
                <c:pt idx="2">
                  <c:v>17.649999999999999</c:v>
                </c:pt>
              </c:numCache>
            </c:numRef>
          </c:val>
          <c:extLst xmlns:c16r2="http://schemas.microsoft.com/office/drawing/2015/06/chart">
            <c:ext xmlns:c16="http://schemas.microsoft.com/office/drawing/2014/chart" uri="{C3380CC4-5D6E-409C-BE32-E72D297353CC}">
              <c16:uniqueId val="{00000000-5646-4115-B292-3DC3CC3B27DE}"/>
            </c:ext>
          </c:extLst>
        </c:ser>
        <c:ser>
          <c:idx val="1"/>
          <c:order val="1"/>
          <c:tx>
            <c:strRef>
              <c:f>Лист1!$C$1</c:f>
              <c:strCache>
                <c:ptCount val="1"/>
                <c:pt idx="0">
                  <c:v>от владельцев и руководства предприятий</c:v>
                </c:pt>
              </c:strCache>
            </c:strRef>
          </c:tx>
          <c:spPr>
            <a:solidFill>
              <a:srgbClr val="99CC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ТП ЦГО</c:v>
                </c:pt>
                <c:pt idx="1">
                  <c:v>ЦГО</c:v>
                </c:pt>
                <c:pt idx="2">
                  <c:v>ТП МИО</c:v>
                </c:pt>
                <c:pt idx="3">
                  <c:v>МИО</c:v>
                </c:pt>
              </c:strCache>
            </c:strRef>
          </c:cat>
          <c:val>
            <c:numRef>
              <c:f>Лист1!$C$2:$C$5</c:f>
              <c:numCache>
                <c:formatCode>General</c:formatCode>
                <c:ptCount val="4"/>
                <c:pt idx="0">
                  <c:v>28.19</c:v>
                </c:pt>
                <c:pt idx="1">
                  <c:v>8.33</c:v>
                </c:pt>
                <c:pt idx="2">
                  <c:v>17.649999999999999</c:v>
                </c:pt>
                <c:pt idx="3">
                  <c:v>40</c:v>
                </c:pt>
              </c:numCache>
            </c:numRef>
          </c:val>
          <c:extLst xmlns:c16r2="http://schemas.microsoft.com/office/drawing/2015/06/chart">
            <c:ext xmlns:c16="http://schemas.microsoft.com/office/drawing/2014/chart" uri="{C3380CC4-5D6E-409C-BE32-E72D297353CC}">
              <c16:uniqueId val="{00000001-5646-4115-B292-3DC3CC3B27DE}"/>
            </c:ext>
          </c:extLst>
        </c:ser>
        <c:ser>
          <c:idx val="2"/>
          <c:order val="2"/>
          <c:tx>
            <c:strRef>
              <c:f>Лист1!$D$1</c:f>
              <c:strCache>
                <c:ptCount val="1"/>
                <c:pt idx="0">
                  <c:v>от властей</c:v>
                </c:pt>
              </c:strCache>
            </c:strRef>
          </c:tx>
          <c:spPr>
            <a:solidFill>
              <a:srgbClr val="FF99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ТП ЦГО</c:v>
                </c:pt>
                <c:pt idx="1">
                  <c:v>ЦГО</c:v>
                </c:pt>
                <c:pt idx="2">
                  <c:v>ТП МИО</c:v>
                </c:pt>
                <c:pt idx="3">
                  <c:v>МИО</c:v>
                </c:pt>
              </c:strCache>
            </c:strRef>
          </c:cat>
          <c:val>
            <c:numRef>
              <c:f>Лист1!$D$2:$D$5</c:f>
              <c:numCache>
                <c:formatCode>General</c:formatCode>
                <c:ptCount val="4"/>
                <c:pt idx="0">
                  <c:v>27.66</c:v>
                </c:pt>
                <c:pt idx="1">
                  <c:v>47.22</c:v>
                </c:pt>
                <c:pt idx="2">
                  <c:v>23.53</c:v>
                </c:pt>
                <c:pt idx="3">
                  <c:v>40</c:v>
                </c:pt>
              </c:numCache>
            </c:numRef>
          </c:val>
          <c:extLst xmlns:c16r2="http://schemas.microsoft.com/office/drawing/2015/06/chart">
            <c:ext xmlns:c16="http://schemas.microsoft.com/office/drawing/2014/chart" uri="{C3380CC4-5D6E-409C-BE32-E72D297353CC}">
              <c16:uniqueId val="{00000002-5646-4115-B292-3DC3CC3B27DE}"/>
            </c:ext>
          </c:extLst>
        </c:ser>
        <c:ser>
          <c:idx val="3"/>
          <c:order val="3"/>
          <c:tx>
            <c:strRef>
              <c:f>Лист1!$E$1</c:f>
              <c:strCache>
                <c:ptCount val="1"/>
                <c:pt idx="0">
                  <c:v>от жителей</c:v>
                </c:pt>
              </c:strCache>
            </c:strRef>
          </c:tx>
          <c:spPr>
            <a:solidFill>
              <a:srgbClr val="66FF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ТП ЦГО</c:v>
                </c:pt>
                <c:pt idx="1">
                  <c:v>ЦГО</c:v>
                </c:pt>
                <c:pt idx="2">
                  <c:v>ТП МИО</c:v>
                </c:pt>
                <c:pt idx="3">
                  <c:v>МИО</c:v>
                </c:pt>
              </c:strCache>
            </c:strRef>
          </c:cat>
          <c:val>
            <c:numRef>
              <c:f>Лист1!$E$2:$E$5</c:f>
              <c:numCache>
                <c:formatCode>General</c:formatCode>
                <c:ptCount val="4"/>
                <c:pt idx="0">
                  <c:v>42.02</c:v>
                </c:pt>
                <c:pt idx="1">
                  <c:v>38.89</c:v>
                </c:pt>
                <c:pt idx="2">
                  <c:v>41.18</c:v>
                </c:pt>
                <c:pt idx="3">
                  <c:v>20</c:v>
                </c:pt>
              </c:numCache>
            </c:numRef>
          </c:val>
          <c:extLst xmlns:c16r2="http://schemas.microsoft.com/office/drawing/2015/06/chart">
            <c:ext xmlns:c16="http://schemas.microsoft.com/office/drawing/2014/chart" uri="{C3380CC4-5D6E-409C-BE32-E72D297353CC}">
              <c16:uniqueId val="{00000003-5646-4115-B292-3DC3CC3B27DE}"/>
            </c:ext>
          </c:extLst>
        </c:ser>
        <c:dLbls>
          <c:showLegendKey val="0"/>
          <c:showVal val="0"/>
          <c:showCatName val="0"/>
          <c:showSerName val="0"/>
          <c:showPercent val="0"/>
          <c:showBubbleSize val="0"/>
        </c:dLbls>
        <c:gapWidth val="150"/>
        <c:overlap val="100"/>
        <c:axId val="359723008"/>
        <c:axId val="359718656"/>
      </c:barChart>
      <c:catAx>
        <c:axId val="35972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9718656"/>
        <c:crosses val="autoZero"/>
        <c:auto val="1"/>
        <c:lblAlgn val="ctr"/>
        <c:lblOffset val="100"/>
        <c:noMultiLvlLbl val="0"/>
      </c:catAx>
      <c:valAx>
        <c:axId val="359718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972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Лист1!$B$1</c:f>
              <c:strCache>
                <c:ptCount val="1"/>
                <c:pt idx="0">
                  <c:v>Информации достаточно, и она устраивает</c:v>
                </c:pt>
              </c:strCache>
            </c:strRef>
          </c:tx>
          <c:spPr>
            <a:solidFill>
              <a:srgbClr val="33CCCC"/>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Биоресурсы</c:v>
                </c:pt>
                <c:pt idx="1">
                  <c:v>Экологический контроль</c:v>
                </c:pt>
                <c:pt idx="2">
                  <c:v>Земельные ресурсы</c:v>
                </c:pt>
                <c:pt idx="3">
                  <c:v>Водные ресурсы</c:v>
                </c:pt>
                <c:pt idx="4">
                  <c:v>Геология и недропользование</c:v>
                </c:pt>
              </c:strCache>
            </c:strRef>
          </c:cat>
          <c:val>
            <c:numRef>
              <c:f>Лист1!$B$2:$B$6</c:f>
              <c:numCache>
                <c:formatCode>General</c:formatCode>
                <c:ptCount val="5"/>
                <c:pt idx="0">
                  <c:v>58.54</c:v>
                </c:pt>
                <c:pt idx="1">
                  <c:v>29.41</c:v>
                </c:pt>
                <c:pt idx="2">
                  <c:v>25</c:v>
                </c:pt>
                <c:pt idx="3">
                  <c:v>60</c:v>
                </c:pt>
              </c:numCache>
            </c:numRef>
          </c:val>
          <c:extLst xmlns:c16r2="http://schemas.microsoft.com/office/drawing/2015/06/chart">
            <c:ext xmlns:c16="http://schemas.microsoft.com/office/drawing/2014/chart" uri="{C3380CC4-5D6E-409C-BE32-E72D297353CC}">
              <c16:uniqueId val="{00000000-91F7-453A-BC3B-B0FA9DDC17EF}"/>
            </c:ext>
          </c:extLst>
        </c:ser>
        <c:ser>
          <c:idx val="1"/>
          <c:order val="1"/>
          <c:tx>
            <c:strRef>
              <c:f>Лист1!$C$1</c:f>
              <c:strCache>
                <c:ptCount val="1"/>
                <c:pt idx="0">
                  <c:v>Информации недостаточно для выработки решения</c:v>
                </c:pt>
              </c:strCache>
            </c:strRef>
          </c:tx>
          <c:spPr>
            <a:solidFill>
              <a:srgbClr val="FFFF6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Биоресурсы</c:v>
                </c:pt>
                <c:pt idx="1">
                  <c:v>Экологический контроль</c:v>
                </c:pt>
                <c:pt idx="2">
                  <c:v>Земельные ресурсы</c:v>
                </c:pt>
                <c:pt idx="3">
                  <c:v>Водные ресурсы</c:v>
                </c:pt>
                <c:pt idx="4">
                  <c:v>Геология и недропользование</c:v>
                </c:pt>
              </c:strCache>
            </c:strRef>
          </c:cat>
          <c:val>
            <c:numRef>
              <c:f>Лист1!$C$2:$C$6</c:f>
              <c:numCache>
                <c:formatCode>General</c:formatCode>
                <c:ptCount val="5"/>
                <c:pt idx="0">
                  <c:v>23.41</c:v>
                </c:pt>
                <c:pt idx="1">
                  <c:v>44.12</c:v>
                </c:pt>
                <c:pt idx="2">
                  <c:v>25</c:v>
                </c:pt>
                <c:pt idx="3">
                  <c:v>40</c:v>
                </c:pt>
                <c:pt idx="4">
                  <c:v>75</c:v>
                </c:pt>
              </c:numCache>
            </c:numRef>
          </c:val>
          <c:extLst xmlns:c16r2="http://schemas.microsoft.com/office/drawing/2015/06/chart">
            <c:ext xmlns:c16="http://schemas.microsoft.com/office/drawing/2014/chart" uri="{C3380CC4-5D6E-409C-BE32-E72D297353CC}">
              <c16:uniqueId val="{00000001-91F7-453A-BC3B-B0FA9DDC17EF}"/>
            </c:ext>
          </c:extLst>
        </c:ser>
        <c:ser>
          <c:idx val="2"/>
          <c:order val="2"/>
          <c:tx>
            <c:strRef>
              <c:f>Лист1!$D$1</c:f>
              <c:strCache>
                <c:ptCount val="1"/>
                <c:pt idx="0">
                  <c:v>Не могу оценивать качество</c:v>
                </c:pt>
              </c:strCache>
            </c:strRef>
          </c:tx>
          <c:spPr>
            <a:solidFill>
              <a:srgbClr val="FF7C8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Биоресурсы</c:v>
                </c:pt>
                <c:pt idx="1">
                  <c:v>Экологический контроль</c:v>
                </c:pt>
                <c:pt idx="2">
                  <c:v>Земельные ресурсы</c:v>
                </c:pt>
                <c:pt idx="3">
                  <c:v>Водные ресурсы</c:v>
                </c:pt>
                <c:pt idx="4">
                  <c:v>Геология и недропользование</c:v>
                </c:pt>
              </c:strCache>
            </c:strRef>
          </c:cat>
          <c:val>
            <c:numRef>
              <c:f>Лист1!$D$2:$D$6</c:f>
              <c:numCache>
                <c:formatCode>General</c:formatCode>
                <c:ptCount val="5"/>
                <c:pt idx="0">
                  <c:v>18.05</c:v>
                </c:pt>
                <c:pt idx="1">
                  <c:v>26.47</c:v>
                </c:pt>
                <c:pt idx="2">
                  <c:v>50</c:v>
                </c:pt>
                <c:pt idx="4">
                  <c:v>25</c:v>
                </c:pt>
              </c:numCache>
            </c:numRef>
          </c:val>
          <c:extLst xmlns:c16r2="http://schemas.microsoft.com/office/drawing/2015/06/chart">
            <c:ext xmlns:c16="http://schemas.microsoft.com/office/drawing/2014/chart" uri="{C3380CC4-5D6E-409C-BE32-E72D297353CC}">
              <c16:uniqueId val="{00000002-91F7-453A-BC3B-B0FA9DDC17EF}"/>
            </c:ext>
          </c:extLst>
        </c:ser>
        <c:dLbls>
          <c:showLegendKey val="0"/>
          <c:showVal val="0"/>
          <c:showCatName val="0"/>
          <c:showSerName val="0"/>
          <c:showPercent val="0"/>
          <c:showBubbleSize val="0"/>
        </c:dLbls>
        <c:gapWidth val="150"/>
        <c:overlap val="100"/>
        <c:axId val="359716480"/>
        <c:axId val="359724096"/>
      </c:barChart>
      <c:catAx>
        <c:axId val="35971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9724096"/>
        <c:crosses val="autoZero"/>
        <c:auto val="1"/>
        <c:lblAlgn val="ctr"/>
        <c:lblOffset val="100"/>
        <c:noMultiLvlLbl val="0"/>
      </c:catAx>
      <c:valAx>
        <c:axId val="359724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971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Лист1!$B$1</c:f>
              <c:strCache>
                <c:ptCount val="1"/>
                <c:pt idx="0">
                  <c:v>Да, полностью согласен</c:v>
                </c:pt>
              </c:strCache>
            </c:strRef>
          </c:tx>
          <c:spPr>
            <a:solidFill>
              <a:srgbClr val="33CCCC"/>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Биоресурсы</c:v>
                </c:pt>
                <c:pt idx="1">
                  <c:v>Экологический контроль</c:v>
                </c:pt>
                <c:pt idx="2">
                  <c:v>Земельные ресурсы</c:v>
                </c:pt>
                <c:pt idx="3">
                  <c:v>Водные ресурсы</c:v>
                </c:pt>
                <c:pt idx="4">
                  <c:v>Геология и недропользование</c:v>
                </c:pt>
              </c:strCache>
            </c:strRef>
          </c:cat>
          <c:val>
            <c:numRef>
              <c:f>Лист1!$B$2:$B$6</c:f>
              <c:numCache>
                <c:formatCode>General</c:formatCode>
                <c:ptCount val="5"/>
                <c:pt idx="0">
                  <c:v>78.05</c:v>
                </c:pt>
                <c:pt idx="1">
                  <c:v>70.89</c:v>
                </c:pt>
                <c:pt idx="2">
                  <c:v>50</c:v>
                </c:pt>
                <c:pt idx="3">
                  <c:v>80</c:v>
                </c:pt>
                <c:pt idx="4">
                  <c:v>75</c:v>
                </c:pt>
              </c:numCache>
            </c:numRef>
          </c:val>
          <c:extLst xmlns:c16r2="http://schemas.microsoft.com/office/drawing/2015/06/chart">
            <c:ext xmlns:c16="http://schemas.microsoft.com/office/drawing/2014/chart" uri="{C3380CC4-5D6E-409C-BE32-E72D297353CC}">
              <c16:uniqueId val="{00000000-11F3-45D6-B10F-67BF75934962}"/>
            </c:ext>
          </c:extLst>
        </c:ser>
        <c:ser>
          <c:idx val="1"/>
          <c:order val="1"/>
          <c:tx>
            <c:strRef>
              <c:f>Лист1!$C$1</c:f>
              <c:strCache>
                <c:ptCount val="1"/>
                <c:pt idx="0">
                  <c:v>Затрудняюсь ответить</c:v>
                </c:pt>
              </c:strCache>
            </c:strRef>
          </c:tx>
          <c:spPr>
            <a:solidFill>
              <a:srgbClr val="FFFF6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Биоресурсы</c:v>
                </c:pt>
                <c:pt idx="1">
                  <c:v>Экологический контроль</c:v>
                </c:pt>
                <c:pt idx="2">
                  <c:v>Земельные ресурсы</c:v>
                </c:pt>
                <c:pt idx="3">
                  <c:v>Водные ресурсы</c:v>
                </c:pt>
                <c:pt idx="4">
                  <c:v>Геология и недропользование</c:v>
                </c:pt>
              </c:strCache>
            </c:strRef>
          </c:cat>
          <c:val>
            <c:numRef>
              <c:f>Лист1!$C$2:$C$6</c:f>
              <c:numCache>
                <c:formatCode>General</c:formatCode>
                <c:ptCount val="5"/>
                <c:pt idx="0">
                  <c:v>2.34</c:v>
                </c:pt>
                <c:pt idx="1">
                  <c:v>2.64</c:v>
                </c:pt>
              </c:numCache>
            </c:numRef>
          </c:val>
          <c:extLst xmlns:c16r2="http://schemas.microsoft.com/office/drawing/2015/06/chart">
            <c:ext xmlns:c16="http://schemas.microsoft.com/office/drawing/2014/chart" uri="{C3380CC4-5D6E-409C-BE32-E72D297353CC}">
              <c16:uniqueId val="{00000001-11F3-45D6-B10F-67BF75934962}"/>
            </c:ext>
          </c:extLst>
        </c:ser>
        <c:ser>
          <c:idx val="2"/>
          <c:order val="2"/>
          <c:tx>
            <c:strRef>
              <c:f>Лист1!$D$1</c:f>
              <c:strCache>
                <c:ptCount val="1"/>
                <c:pt idx="0">
                  <c:v>Скорее, нет</c:v>
                </c:pt>
              </c:strCache>
            </c:strRef>
          </c:tx>
          <c:spPr>
            <a:solidFill>
              <a:srgbClr val="FF7C8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Биоресурсы</c:v>
                </c:pt>
                <c:pt idx="1">
                  <c:v>Экологический контроль</c:v>
                </c:pt>
                <c:pt idx="2">
                  <c:v>Земельные ресурсы</c:v>
                </c:pt>
                <c:pt idx="3">
                  <c:v>Водные ресурсы</c:v>
                </c:pt>
                <c:pt idx="4">
                  <c:v>Геология и недропользование</c:v>
                </c:pt>
              </c:strCache>
            </c:strRef>
          </c:cat>
          <c:val>
            <c:numRef>
              <c:f>Лист1!$D$2:$D$6</c:f>
              <c:numCache>
                <c:formatCode>General</c:formatCode>
                <c:ptCount val="5"/>
                <c:pt idx="0">
                  <c:v>15.61</c:v>
                </c:pt>
                <c:pt idx="1">
                  <c:v>14.71</c:v>
                </c:pt>
                <c:pt idx="2">
                  <c:v>50</c:v>
                </c:pt>
                <c:pt idx="3">
                  <c:v>20</c:v>
                </c:pt>
                <c:pt idx="4">
                  <c:v>25</c:v>
                </c:pt>
              </c:numCache>
            </c:numRef>
          </c:val>
          <c:extLst xmlns:c16r2="http://schemas.microsoft.com/office/drawing/2015/06/chart">
            <c:ext xmlns:c16="http://schemas.microsoft.com/office/drawing/2014/chart" uri="{C3380CC4-5D6E-409C-BE32-E72D297353CC}">
              <c16:uniqueId val="{00000002-11F3-45D6-B10F-67BF75934962}"/>
            </c:ext>
          </c:extLst>
        </c:ser>
        <c:ser>
          <c:idx val="3"/>
          <c:order val="3"/>
          <c:tx>
            <c:strRef>
              <c:f>Лист1!$E$1</c:f>
              <c:strCache>
                <c:ptCount val="1"/>
                <c:pt idx="0">
                  <c:v>Нет</c:v>
                </c:pt>
              </c:strCache>
            </c:strRef>
          </c:tx>
          <c:spPr>
            <a:solidFill>
              <a:schemeClr val="accent4"/>
            </a:solidFill>
            <a:ln>
              <a:noFill/>
            </a:ln>
            <a:effectLst/>
          </c:spPr>
          <c:invertIfNegative val="0"/>
          <c:cat>
            <c:strRef>
              <c:f>Лист1!$A$2:$A$6</c:f>
              <c:strCache>
                <c:ptCount val="5"/>
                <c:pt idx="0">
                  <c:v>Биоресурсы</c:v>
                </c:pt>
                <c:pt idx="1">
                  <c:v>Экологический контроль</c:v>
                </c:pt>
                <c:pt idx="2">
                  <c:v>Земельные ресурсы</c:v>
                </c:pt>
                <c:pt idx="3">
                  <c:v>Водные ресурсы</c:v>
                </c:pt>
                <c:pt idx="4">
                  <c:v>Геология и недропользование</c:v>
                </c:pt>
              </c:strCache>
            </c:strRef>
          </c:cat>
          <c:val>
            <c:numRef>
              <c:f>Лист1!$E$2:$E$6</c:f>
              <c:numCache>
                <c:formatCode>General</c:formatCode>
                <c:ptCount val="5"/>
                <c:pt idx="0">
                  <c:v>4</c:v>
                </c:pt>
                <c:pt idx="1">
                  <c:v>11.76</c:v>
                </c:pt>
              </c:numCache>
            </c:numRef>
          </c:val>
          <c:extLst xmlns:c16r2="http://schemas.microsoft.com/office/drawing/2015/06/chart">
            <c:ext xmlns:c16="http://schemas.microsoft.com/office/drawing/2014/chart" uri="{C3380CC4-5D6E-409C-BE32-E72D297353CC}">
              <c16:uniqueId val="{00000003-11F3-45D6-B10F-67BF75934962}"/>
            </c:ext>
          </c:extLst>
        </c:ser>
        <c:dLbls>
          <c:showLegendKey val="0"/>
          <c:showVal val="0"/>
          <c:showCatName val="0"/>
          <c:showSerName val="0"/>
          <c:showPercent val="0"/>
          <c:showBubbleSize val="0"/>
        </c:dLbls>
        <c:gapWidth val="150"/>
        <c:overlap val="100"/>
        <c:axId val="359720288"/>
        <c:axId val="359727360"/>
      </c:barChart>
      <c:catAx>
        <c:axId val="35972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9727360"/>
        <c:crosses val="autoZero"/>
        <c:auto val="1"/>
        <c:lblAlgn val="ctr"/>
        <c:lblOffset val="100"/>
        <c:noMultiLvlLbl val="0"/>
      </c:catAx>
      <c:valAx>
        <c:axId val="359727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972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503019587829314E-2"/>
          <c:y val="0.11077711569837555"/>
          <c:w val="0.88345090692659689"/>
          <c:h val="0.64251736745632604"/>
        </c:manualLayout>
      </c:layout>
      <c:barChart>
        <c:barDir val="col"/>
        <c:grouping val="clustered"/>
        <c:varyColors val="0"/>
        <c:ser>
          <c:idx val="0"/>
          <c:order val="0"/>
          <c:tx>
            <c:strRef>
              <c:f>Лист1!$B$3</c:f>
              <c:strCache>
                <c:ptCount val="1"/>
                <c:pt idx="0">
                  <c:v>С1</c:v>
                </c:pt>
              </c:strCache>
            </c:strRef>
          </c:tx>
          <c:spPr>
            <a:solidFill>
              <a:schemeClr val="accent1"/>
            </a:solidFill>
            <a:ln>
              <a:noFill/>
            </a:ln>
            <a:effectLst/>
          </c:spPr>
          <c:invertIfNegative val="0"/>
          <c:cat>
            <c:strRef>
              <c:f>Лист1!$C$2:$D$2</c:f>
              <c:strCache>
                <c:ptCount val="2"/>
                <c:pt idx="0">
                  <c:v>а</c:v>
                </c:pt>
                <c:pt idx="1">
                  <c:v>б</c:v>
                </c:pt>
              </c:strCache>
            </c:strRef>
          </c:cat>
          <c:val>
            <c:numRef>
              <c:f>Лист1!$C$3:$D$3</c:f>
              <c:numCache>
                <c:formatCode>General</c:formatCode>
                <c:ptCount val="2"/>
                <c:pt idx="0">
                  <c:v>606</c:v>
                </c:pt>
                <c:pt idx="1">
                  <c:v>80</c:v>
                </c:pt>
              </c:numCache>
            </c:numRef>
          </c:val>
          <c:extLst xmlns:c16r2="http://schemas.microsoft.com/office/drawing/2015/06/chart">
            <c:ext xmlns:c16="http://schemas.microsoft.com/office/drawing/2014/chart" uri="{C3380CC4-5D6E-409C-BE32-E72D297353CC}">
              <c16:uniqueId val="{00000000-A1E3-4FF1-936C-12776463ED9D}"/>
            </c:ext>
          </c:extLst>
        </c:ser>
        <c:ser>
          <c:idx val="1"/>
          <c:order val="1"/>
          <c:tx>
            <c:strRef>
              <c:f>Лист1!$B$4</c:f>
              <c:strCache>
                <c:ptCount val="1"/>
                <c:pt idx="0">
                  <c:v>С2</c:v>
                </c:pt>
              </c:strCache>
            </c:strRef>
          </c:tx>
          <c:spPr>
            <a:solidFill>
              <a:schemeClr val="accent2"/>
            </a:solidFill>
            <a:ln>
              <a:noFill/>
            </a:ln>
            <a:effectLst/>
          </c:spPr>
          <c:invertIfNegative val="0"/>
          <c:cat>
            <c:strRef>
              <c:f>Лист1!$C$2:$D$2</c:f>
              <c:strCache>
                <c:ptCount val="2"/>
                <c:pt idx="0">
                  <c:v>а</c:v>
                </c:pt>
                <c:pt idx="1">
                  <c:v>б</c:v>
                </c:pt>
              </c:strCache>
            </c:strRef>
          </c:cat>
          <c:val>
            <c:numRef>
              <c:f>Лист1!$C$4:$D$4</c:f>
              <c:numCache>
                <c:formatCode>General</c:formatCode>
                <c:ptCount val="2"/>
                <c:pt idx="0">
                  <c:v>1406</c:v>
                </c:pt>
                <c:pt idx="1">
                  <c:v>150</c:v>
                </c:pt>
              </c:numCache>
            </c:numRef>
          </c:val>
          <c:extLst xmlns:c16r2="http://schemas.microsoft.com/office/drawing/2015/06/chart">
            <c:ext xmlns:c16="http://schemas.microsoft.com/office/drawing/2014/chart" uri="{C3380CC4-5D6E-409C-BE32-E72D297353CC}">
              <c16:uniqueId val="{00000001-A1E3-4FF1-936C-12776463ED9D}"/>
            </c:ext>
          </c:extLst>
        </c:ser>
        <c:ser>
          <c:idx val="2"/>
          <c:order val="2"/>
          <c:tx>
            <c:strRef>
              <c:f>Лист1!$B$5</c:f>
              <c:strCache>
                <c:ptCount val="1"/>
                <c:pt idx="0">
                  <c:v>С3</c:v>
                </c:pt>
              </c:strCache>
            </c:strRef>
          </c:tx>
          <c:spPr>
            <a:solidFill>
              <a:schemeClr val="accent3"/>
            </a:solidFill>
            <a:ln>
              <a:noFill/>
            </a:ln>
            <a:effectLst/>
          </c:spPr>
          <c:invertIfNegative val="0"/>
          <c:cat>
            <c:strRef>
              <c:f>Лист1!$C$2:$D$2</c:f>
              <c:strCache>
                <c:ptCount val="2"/>
                <c:pt idx="0">
                  <c:v>а</c:v>
                </c:pt>
                <c:pt idx="1">
                  <c:v>б</c:v>
                </c:pt>
              </c:strCache>
            </c:strRef>
          </c:cat>
          <c:val>
            <c:numRef>
              <c:f>Лист1!$C$5:$D$5</c:f>
              <c:numCache>
                <c:formatCode>General</c:formatCode>
                <c:ptCount val="2"/>
                <c:pt idx="0">
                  <c:v>1489</c:v>
                </c:pt>
                <c:pt idx="1">
                  <c:v>554</c:v>
                </c:pt>
              </c:numCache>
            </c:numRef>
          </c:val>
          <c:extLst xmlns:c16r2="http://schemas.microsoft.com/office/drawing/2015/06/chart">
            <c:ext xmlns:c16="http://schemas.microsoft.com/office/drawing/2014/chart" uri="{C3380CC4-5D6E-409C-BE32-E72D297353CC}">
              <c16:uniqueId val="{00000002-A1E3-4FF1-936C-12776463ED9D}"/>
            </c:ext>
          </c:extLst>
        </c:ser>
        <c:ser>
          <c:idx val="3"/>
          <c:order val="3"/>
          <c:tx>
            <c:strRef>
              <c:f>Лист1!$B$6</c:f>
              <c:strCache>
                <c:ptCount val="1"/>
                <c:pt idx="0">
                  <c:v>С4</c:v>
                </c:pt>
              </c:strCache>
            </c:strRef>
          </c:tx>
          <c:spPr>
            <a:solidFill>
              <a:schemeClr val="accent4"/>
            </a:solidFill>
            <a:ln>
              <a:noFill/>
            </a:ln>
            <a:effectLst/>
          </c:spPr>
          <c:invertIfNegative val="0"/>
          <c:cat>
            <c:strRef>
              <c:f>Лист1!$C$2:$D$2</c:f>
              <c:strCache>
                <c:ptCount val="2"/>
                <c:pt idx="0">
                  <c:v>а</c:v>
                </c:pt>
                <c:pt idx="1">
                  <c:v>б</c:v>
                </c:pt>
              </c:strCache>
            </c:strRef>
          </c:cat>
          <c:val>
            <c:numRef>
              <c:f>Лист1!$C$6:$D$6</c:f>
              <c:numCache>
                <c:formatCode>General</c:formatCode>
                <c:ptCount val="2"/>
                <c:pt idx="0">
                  <c:v>3547</c:v>
                </c:pt>
                <c:pt idx="1">
                  <c:v>1289</c:v>
                </c:pt>
              </c:numCache>
            </c:numRef>
          </c:val>
          <c:extLst xmlns:c16r2="http://schemas.microsoft.com/office/drawing/2015/06/chart">
            <c:ext xmlns:c16="http://schemas.microsoft.com/office/drawing/2014/chart" uri="{C3380CC4-5D6E-409C-BE32-E72D297353CC}">
              <c16:uniqueId val="{00000003-A1E3-4FF1-936C-12776463ED9D}"/>
            </c:ext>
          </c:extLst>
        </c:ser>
        <c:ser>
          <c:idx val="4"/>
          <c:order val="4"/>
          <c:tx>
            <c:strRef>
              <c:f>Лист1!$B$7</c:f>
              <c:strCache>
                <c:ptCount val="1"/>
                <c:pt idx="0">
                  <c:v>С5</c:v>
                </c:pt>
              </c:strCache>
            </c:strRef>
          </c:tx>
          <c:spPr>
            <a:solidFill>
              <a:schemeClr val="accent5"/>
            </a:solidFill>
            <a:ln>
              <a:noFill/>
            </a:ln>
            <a:effectLst/>
          </c:spPr>
          <c:invertIfNegative val="0"/>
          <c:cat>
            <c:strRef>
              <c:f>Лист1!$C$2:$D$2</c:f>
              <c:strCache>
                <c:ptCount val="2"/>
                <c:pt idx="0">
                  <c:v>а</c:v>
                </c:pt>
                <c:pt idx="1">
                  <c:v>б</c:v>
                </c:pt>
              </c:strCache>
            </c:strRef>
          </c:cat>
          <c:val>
            <c:numRef>
              <c:f>Лист1!$C$7:$D$7</c:f>
              <c:numCache>
                <c:formatCode>General</c:formatCode>
                <c:ptCount val="2"/>
                <c:pt idx="0">
                  <c:v>3602</c:v>
                </c:pt>
                <c:pt idx="1">
                  <c:v>1377</c:v>
                </c:pt>
              </c:numCache>
            </c:numRef>
          </c:val>
          <c:extLst xmlns:c16r2="http://schemas.microsoft.com/office/drawing/2015/06/chart">
            <c:ext xmlns:c16="http://schemas.microsoft.com/office/drawing/2014/chart" uri="{C3380CC4-5D6E-409C-BE32-E72D297353CC}">
              <c16:uniqueId val="{00000004-A1E3-4FF1-936C-12776463ED9D}"/>
            </c:ext>
          </c:extLst>
        </c:ser>
        <c:ser>
          <c:idx val="5"/>
          <c:order val="5"/>
          <c:tx>
            <c:strRef>
              <c:f>Лист1!$B$8</c:f>
              <c:strCache>
                <c:ptCount val="1"/>
                <c:pt idx="0">
                  <c:v>С6</c:v>
                </c:pt>
              </c:strCache>
            </c:strRef>
          </c:tx>
          <c:spPr>
            <a:solidFill>
              <a:schemeClr val="accent6"/>
            </a:solidFill>
            <a:ln>
              <a:noFill/>
            </a:ln>
            <a:effectLst/>
          </c:spPr>
          <c:invertIfNegative val="0"/>
          <c:cat>
            <c:strRef>
              <c:f>Лист1!$C$2:$D$2</c:f>
              <c:strCache>
                <c:ptCount val="2"/>
                <c:pt idx="0">
                  <c:v>а</c:v>
                </c:pt>
                <c:pt idx="1">
                  <c:v>б</c:v>
                </c:pt>
              </c:strCache>
            </c:strRef>
          </c:cat>
          <c:val>
            <c:numRef>
              <c:f>Лист1!$C$8:$D$8</c:f>
              <c:numCache>
                <c:formatCode>General</c:formatCode>
                <c:ptCount val="2"/>
                <c:pt idx="0">
                  <c:v>5326</c:v>
                </c:pt>
                <c:pt idx="1">
                  <c:v>2551</c:v>
                </c:pt>
              </c:numCache>
            </c:numRef>
          </c:val>
          <c:extLst xmlns:c16r2="http://schemas.microsoft.com/office/drawing/2015/06/chart">
            <c:ext xmlns:c16="http://schemas.microsoft.com/office/drawing/2014/chart" uri="{C3380CC4-5D6E-409C-BE32-E72D297353CC}">
              <c16:uniqueId val="{00000005-A1E3-4FF1-936C-12776463ED9D}"/>
            </c:ext>
          </c:extLst>
        </c:ser>
        <c:ser>
          <c:idx val="6"/>
          <c:order val="6"/>
          <c:tx>
            <c:strRef>
              <c:f>Лист1!$B$9</c:f>
              <c:strCache>
                <c:ptCount val="1"/>
                <c:pt idx="0">
                  <c:v>С7</c:v>
                </c:pt>
              </c:strCache>
            </c:strRef>
          </c:tx>
          <c:spPr>
            <a:solidFill>
              <a:schemeClr val="accent1">
                <a:lumMod val="60000"/>
              </a:schemeClr>
            </a:solidFill>
            <a:ln>
              <a:noFill/>
            </a:ln>
            <a:effectLst/>
          </c:spPr>
          <c:invertIfNegative val="0"/>
          <c:cat>
            <c:strRef>
              <c:f>Лист1!$C$2:$D$2</c:f>
              <c:strCache>
                <c:ptCount val="2"/>
                <c:pt idx="0">
                  <c:v>а</c:v>
                </c:pt>
                <c:pt idx="1">
                  <c:v>б</c:v>
                </c:pt>
              </c:strCache>
            </c:strRef>
          </c:cat>
          <c:val>
            <c:numRef>
              <c:f>Лист1!$C$9:$D$9</c:f>
              <c:numCache>
                <c:formatCode>General</c:formatCode>
                <c:ptCount val="2"/>
                <c:pt idx="0">
                  <c:v>5463</c:v>
                </c:pt>
                <c:pt idx="1">
                  <c:v>2599</c:v>
                </c:pt>
              </c:numCache>
            </c:numRef>
          </c:val>
          <c:extLst xmlns:c16r2="http://schemas.microsoft.com/office/drawing/2015/06/chart">
            <c:ext xmlns:c16="http://schemas.microsoft.com/office/drawing/2014/chart" uri="{C3380CC4-5D6E-409C-BE32-E72D297353CC}">
              <c16:uniqueId val="{00000006-A1E3-4FF1-936C-12776463ED9D}"/>
            </c:ext>
          </c:extLst>
        </c:ser>
        <c:ser>
          <c:idx val="7"/>
          <c:order val="7"/>
          <c:tx>
            <c:strRef>
              <c:f>Лист1!$B$10</c:f>
              <c:strCache>
                <c:ptCount val="1"/>
                <c:pt idx="0">
                  <c:v>С8</c:v>
                </c:pt>
              </c:strCache>
            </c:strRef>
          </c:tx>
          <c:spPr>
            <a:solidFill>
              <a:schemeClr val="accent2">
                <a:lumMod val="60000"/>
              </a:schemeClr>
            </a:solidFill>
            <a:ln>
              <a:noFill/>
            </a:ln>
            <a:effectLst/>
          </c:spPr>
          <c:invertIfNegative val="0"/>
          <c:cat>
            <c:strRef>
              <c:f>Лист1!$C$2:$D$2</c:f>
              <c:strCache>
                <c:ptCount val="2"/>
                <c:pt idx="0">
                  <c:v>а</c:v>
                </c:pt>
                <c:pt idx="1">
                  <c:v>б</c:v>
                </c:pt>
              </c:strCache>
            </c:strRef>
          </c:cat>
          <c:val>
            <c:numRef>
              <c:f>Лист1!$C$10:$D$10</c:f>
              <c:numCache>
                <c:formatCode>General</c:formatCode>
                <c:ptCount val="2"/>
                <c:pt idx="0">
                  <c:v>5578</c:v>
                </c:pt>
                <c:pt idx="1">
                  <c:v>2714</c:v>
                </c:pt>
              </c:numCache>
            </c:numRef>
          </c:val>
          <c:extLst xmlns:c16r2="http://schemas.microsoft.com/office/drawing/2015/06/chart">
            <c:ext xmlns:c16="http://schemas.microsoft.com/office/drawing/2014/chart" uri="{C3380CC4-5D6E-409C-BE32-E72D297353CC}">
              <c16:uniqueId val="{00000007-A1E3-4FF1-936C-12776463ED9D}"/>
            </c:ext>
          </c:extLst>
        </c:ser>
        <c:ser>
          <c:idx val="8"/>
          <c:order val="8"/>
          <c:tx>
            <c:strRef>
              <c:f>Лист1!$B$11</c:f>
              <c:strCache>
                <c:ptCount val="1"/>
                <c:pt idx="0">
                  <c:v>С9</c:v>
                </c:pt>
              </c:strCache>
            </c:strRef>
          </c:tx>
          <c:spPr>
            <a:solidFill>
              <a:schemeClr val="accent3">
                <a:lumMod val="60000"/>
              </a:schemeClr>
            </a:solidFill>
            <a:ln>
              <a:noFill/>
            </a:ln>
            <a:effectLst/>
          </c:spPr>
          <c:invertIfNegative val="0"/>
          <c:cat>
            <c:strRef>
              <c:f>Лист1!$C$2:$D$2</c:f>
              <c:strCache>
                <c:ptCount val="2"/>
                <c:pt idx="0">
                  <c:v>а</c:v>
                </c:pt>
                <c:pt idx="1">
                  <c:v>б</c:v>
                </c:pt>
              </c:strCache>
            </c:strRef>
          </c:cat>
          <c:val>
            <c:numRef>
              <c:f>Лист1!$C$11:$D$11</c:f>
              <c:numCache>
                <c:formatCode>General</c:formatCode>
                <c:ptCount val="2"/>
                <c:pt idx="0">
                  <c:v>5782</c:v>
                </c:pt>
                <c:pt idx="1">
                  <c:v>2938</c:v>
                </c:pt>
              </c:numCache>
            </c:numRef>
          </c:val>
          <c:extLst xmlns:c16r2="http://schemas.microsoft.com/office/drawing/2015/06/chart">
            <c:ext xmlns:c16="http://schemas.microsoft.com/office/drawing/2014/chart" uri="{C3380CC4-5D6E-409C-BE32-E72D297353CC}">
              <c16:uniqueId val="{00000008-A1E3-4FF1-936C-12776463ED9D}"/>
            </c:ext>
          </c:extLst>
        </c:ser>
        <c:ser>
          <c:idx val="9"/>
          <c:order val="9"/>
          <c:tx>
            <c:strRef>
              <c:f>Лист1!$B$12</c:f>
              <c:strCache>
                <c:ptCount val="1"/>
                <c:pt idx="0">
                  <c:v>С10</c:v>
                </c:pt>
              </c:strCache>
            </c:strRef>
          </c:tx>
          <c:spPr>
            <a:solidFill>
              <a:schemeClr val="accent4">
                <a:lumMod val="60000"/>
              </a:schemeClr>
            </a:solidFill>
            <a:ln>
              <a:noFill/>
            </a:ln>
            <a:effectLst/>
          </c:spPr>
          <c:invertIfNegative val="0"/>
          <c:cat>
            <c:strRef>
              <c:f>Лист1!$C$2:$D$2</c:f>
              <c:strCache>
                <c:ptCount val="2"/>
                <c:pt idx="0">
                  <c:v>а</c:v>
                </c:pt>
                <c:pt idx="1">
                  <c:v>б</c:v>
                </c:pt>
              </c:strCache>
            </c:strRef>
          </c:cat>
          <c:val>
            <c:numRef>
              <c:f>Лист1!$C$12:$D$12</c:f>
              <c:numCache>
                <c:formatCode>General</c:formatCode>
                <c:ptCount val="2"/>
                <c:pt idx="0">
                  <c:v>8268</c:v>
                </c:pt>
                <c:pt idx="1">
                  <c:v>3500</c:v>
                </c:pt>
              </c:numCache>
            </c:numRef>
          </c:val>
          <c:extLst xmlns:c16r2="http://schemas.microsoft.com/office/drawing/2015/06/chart">
            <c:ext xmlns:c16="http://schemas.microsoft.com/office/drawing/2014/chart" uri="{C3380CC4-5D6E-409C-BE32-E72D297353CC}">
              <c16:uniqueId val="{00000009-A1E3-4FF1-936C-12776463ED9D}"/>
            </c:ext>
          </c:extLst>
        </c:ser>
        <c:ser>
          <c:idx val="10"/>
          <c:order val="10"/>
          <c:tx>
            <c:strRef>
              <c:f>Лист1!$B$13</c:f>
              <c:strCache>
                <c:ptCount val="1"/>
                <c:pt idx="0">
                  <c:v>С11</c:v>
                </c:pt>
              </c:strCache>
            </c:strRef>
          </c:tx>
          <c:spPr>
            <a:solidFill>
              <a:schemeClr val="accent5">
                <a:lumMod val="60000"/>
              </a:schemeClr>
            </a:solidFill>
            <a:ln>
              <a:noFill/>
            </a:ln>
            <a:effectLst/>
          </c:spPr>
          <c:invertIfNegative val="0"/>
          <c:cat>
            <c:strRef>
              <c:f>Лист1!$C$2:$D$2</c:f>
              <c:strCache>
                <c:ptCount val="2"/>
                <c:pt idx="0">
                  <c:v>а</c:v>
                </c:pt>
                <c:pt idx="1">
                  <c:v>б</c:v>
                </c:pt>
              </c:strCache>
            </c:strRef>
          </c:cat>
          <c:val>
            <c:numRef>
              <c:f>Лист1!$C$13:$D$13</c:f>
              <c:numCache>
                <c:formatCode>General</c:formatCode>
                <c:ptCount val="2"/>
                <c:pt idx="0">
                  <c:v>8744</c:v>
                </c:pt>
                <c:pt idx="1">
                  <c:v>3754</c:v>
                </c:pt>
              </c:numCache>
            </c:numRef>
          </c:val>
          <c:extLst xmlns:c16r2="http://schemas.microsoft.com/office/drawing/2015/06/chart">
            <c:ext xmlns:c16="http://schemas.microsoft.com/office/drawing/2014/chart" uri="{C3380CC4-5D6E-409C-BE32-E72D297353CC}">
              <c16:uniqueId val="{0000000A-A1E3-4FF1-936C-12776463ED9D}"/>
            </c:ext>
          </c:extLst>
        </c:ser>
        <c:ser>
          <c:idx val="11"/>
          <c:order val="11"/>
          <c:tx>
            <c:strRef>
              <c:f>Лист1!$B$14</c:f>
              <c:strCache>
                <c:ptCount val="1"/>
                <c:pt idx="0">
                  <c:v>С12</c:v>
                </c:pt>
              </c:strCache>
            </c:strRef>
          </c:tx>
          <c:spPr>
            <a:solidFill>
              <a:schemeClr val="accent6">
                <a:lumMod val="60000"/>
              </a:schemeClr>
            </a:solidFill>
            <a:ln>
              <a:noFill/>
            </a:ln>
            <a:effectLst/>
          </c:spPr>
          <c:invertIfNegative val="0"/>
          <c:cat>
            <c:strRef>
              <c:f>Лист1!$C$2:$D$2</c:f>
              <c:strCache>
                <c:ptCount val="2"/>
                <c:pt idx="0">
                  <c:v>а</c:v>
                </c:pt>
                <c:pt idx="1">
                  <c:v>б</c:v>
                </c:pt>
              </c:strCache>
            </c:strRef>
          </c:cat>
          <c:val>
            <c:numRef>
              <c:f>Лист1!$C$14:$D$14</c:f>
              <c:numCache>
                <c:formatCode>General</c:formatCode>
                <c:ptCount val="2"/>
                <c:pt idx="0">
                  <c:v>8927</c:v>
                </c:pt>
                <c:pt idx="1">
                  <c:v>4006</c:v>
                </c:pt>
              </c:numCache>
            </c:numRef>
          </c:val>
          <c:extLst xmlns:c16r2="http://schemas.microsoft.com/office/drawing/2015/06/chart">
            <c:ext xmlns:c16="http://schemas.microsoft.com/office/drawing/2014/chart" uri="{C3380CC4-5D6E-409C-BE32-E72D297353CC}">
              <c16:uniqueId val="{0000000B-A1E3-4FF1-936C-12776463ED9D}"/>
            </c:ext>
          </c:extLst>
        </c:ser>
        <c:ser>
          <c:idx val="12"/>
          <c:order val="12"/>
          <c:tx>
            <c:strRef>
              <c:f>Лист1!$B$15</c:f>
              <c:strCache>
                <c:ptCount val="1"/>
                <c:pt idx="0">
                  <c:v>С13</c:v>
                </c:pt>
              </c:strCache>
            </c:strRef>
          </c:tx>
          <c:spPr>
            <a:solidFill>
              <a:schemeClr val="accent1">
                <a:lumMod val="80000"/>
                <a:lumOff val="20000"/>
              </a:schemeClr>
            </a:solidFill>
            <a:ln>
              <a:noFill/>
            </a:ln>
            <a:effectLst/>
          </c:spPr>
          <c:invertIfNegative val="0"/>
          <c:cat>
            <c:strRef>
              <c:f>Лист1!$C$2:$D$2</c:f>
              <c:strCache>
                <c:ptCount val="2"/>
                <c:pt idx="0">
                  <c:v>а</c:v>
                </c:pt>
                <c:pt idx="1">
                  <c:v>б</c:v>
                </c:pt>
              </c:strCache>
            </c:strRef>
          </c:cat>
          <c:val>
            <c:numRef>
              <c:f>Лист1!$C$15:$D$15</c:f>
              <c:numCache>
                <c:formatCode>General</c:formatCode>
                <c:ptCount val="2"/>
                <c:pt idx="0">
                  <c:v>9250</c:v>
                </c:pt>
                <c:pt idx="1">
                  <c:v>4355</c:v>
                </c:pt>
              </c:numCache>
            </c:numRef>
          </c:val>
          <c:extLst xmlns:c16r2="http://schemas.microsoft.com/office/drawing/2015/06/chart">
            <c:ext xmlns:c16="http://schemas.microsoft.com/office/drawing/2014/chart" uri="{C3380CC4-5D6E-409C-BE32-E72D297353CC}">
              <c16:uniqueId val="{0000000C-A1E3-4FF1-936C-12776463ED9D}"/>
            </c:ext>
          </c:extLst>
        </c:ser>
        <c:ser>
          <c:idx val="13"/>
          <c:order val="13"/>
          <c:tx>
            <c:strRef>
              <c:f>Лист1!$B$16</c:f>
              <c:strCache>
                <c:ptCount val="1"/>
                <c:pt idx="0">
                  <c:v>С14</c:v>
                </c:pt>
              </c:strCache>
            </c:strRef>
          </c:tx>
          <c:spPr>
            <a:solidFill>
              <a:schemeClr val="accent2">
                <a:lumMod val="80000"/>
                <a:lumOff val="20000"/>
              </a:schemeClr>
            </a:solidFill>
            <a:ln>
              <a:noFill/>
            </a:ln>
            <a:effectLst/>
          </c:spPr>
          <c:invertIfNegative val="0"/>
          <c:cat>
            <c:strRef>
              <c:f>Лист1!$C$2:$D$2</c:f>
              <c:strCache>
                <c:ptCount val="2"/>
                <c:pt idx="0">
                  <c:v>а</c:v>
                </c:pt>
                <c:pt idx="1">
                  <c:v>б</c:v>
                </c:pt>
              </c:strCache>
            </c:strRef>
          </c:cat>
          <c:val>
            <c:numRef>
              <c:f>Лист1!$C$16:$D$16</c:f>
              <c:numCache>
                <c:formatCode>General</c:formatCode>
                <c:ptCount val="2"/>
                <c:pt idx="0">
                  <c:v>9592</c:v>
                </c:pt>
                <c:pt idx="1">
                  <c:v>4555</c:v>
                </c:pt>
              </c:numCache>
            </c:numRef>
          </c:val>
          <c:extLst xmlns:c16r2="http://schemas.microsoft.com/office/drawing/2015/06/chart">
            <c:ext xmlns:c16="http://schemas.microsoft.com/office/drawing/2014/chart" uri="{C3380CC4-5D6E-409C-BE32-E72D297353CC}">
              <c16:uniqueId val="{0000000D-A1E3-4FF1-936C-12776463ED9D}"/>
            </c:ext>
          </c:extLst>
        </c:ser>
        <c:ser>
          <c:idx val="14"/>
          <c:order val="14"/>
          <c:tx>
            <c:strRef>
              <c:f>Лист1!$B$17</c:f>
              <c:strCache>
                <c:ptCount val="1"/>
                <c:pt idx="0">
                  <c:v>С15</c:v>
                </c:pt>
              </c:strCache>
            </c:strRef>
          </c:tx>
          <c:spPr>
            <a:solidFill>
              <a:schemeClr val="accent3">
                <a:lumMod val="80000"/>
                <a:lumOff val="20000"/>
              </a:schemeClr>
            </a:solidFill>
            <a:ln>
              <a:noFill/>
            </a:ln>
            <a:effectLst/>
          </c:spPr>
          <c:invertIfNegative val="0"/>
          <c:cat>
            <c:strRef>
              <c:f>Лист1!$C$2:$D$2</c:f>
              <c:strCache>
                <c:ptCount val="2"/>
                <c:pt idx="0">
                  <c:v>а</c:v>
                </c:pt>
                <c:pt idx="1">
                  <c:v>б</c:v>
                </c:pt>
              </c:strCache>
            </c:strRef>
          </c:cat>
          <c:val>
            <c:numRef>
              <c:f>Лист1!$C$17:$D$17</c:f>
              <c:numCache>
                <c:formatCode>General</c:formatCode>
                <c:ptCount val="2"/>
                <c:pt idx="0">
                  <c:v>9676</c:v>
                </c:pt>
                <c:pt idx="1">
                  <c:v>4782</c:v>
                </c:pt>
              </c:numCache>
            </c:numRef>
          </c:val>
          <c:extLst xmlns:c16r2="http://schemas.microsoft.com/office/drawing/2015/06/chart">
            <c:ext xmlns:c16="http://schemas.microsoft.com/office/drawing/2014/chart" uri="{C3380CC4-5D6E-409C-BE32-E72D297353CC}">
              <c16:uniqueId val="{0000000E-A1E3-4FF1-936C-12776463ED9D}"/>
            </c:ext>
          </c:extLst>
        </c:ser>
        <c:ser>
          <c:idx val="15"/>
          <c:order val="15"/>
          <c:tx>
            <c:strRef>
              <c:f>Лист1!$B$18</c:f>
              <c:strCache>
                <c:ptCount val="1"/>
                <c:pt idx="0">
                  <c:v>С16</c:v>
                </c:pt>
              </c:strCache>
            </c:strRef>
          </c:tx>
          <c:spPr>
            <a:solidFill>
              <a:schemeClr val="accent4">
                <a:lumMod val="80000"/>
                <a:lumOff val="20000"/>
              </a:schemeClr>
            </a:solidFill>
            <a:ln>
              <a:noFill/>
            </a:ln>
            <a:effectLst/>
          </c:spPr>
          <c:invertIfNegative val="0"/>
          <c:cat>
            <c:strRef>
              <c:f>Лист1!$C$2:$D$2</c:f>
              <c:strCache>
                <c:ptCount val="2"/>
                <c:pt idx="0">
                  <c:v>а</c:v>
                </c:pt>
                <c:pt idx="1">
                  <c:v>б</c:v>
                </c:pt>
              </c:strCache>
            </c:strRef>
          </c:cat>
          <c:val>
            <c:numRef>
              <c:f>Лист1!$C$18:$D$18</c:f>
              <c:numCache>
                <c:formatCode>General</c:formatCode>
                <c:ptCount val="2"/>
                <c:pt idx="0">
                  <c:v>9841</c:v>
                </c:pt>
                <c:pt idx="1">
                  <c:v>4996</c:v>
                </c:pt>
              </c:numCache>
            </c:numRef>
          </c:val>
          <c:extLst xmlns:c16r2="http://schemas.microsoft.com/office/drawing/2015/06/chart">
            <c:ext xmlns:c16="http://schemas.microsoft.com/office/drawing/2014/chart" uri="{C3380CC4-5D6E-409C-BE32-E72D297353CC}">
              <c16:uniqueId val="{0000000F-A1E3-4FF1-936C-12776463ED9D}"/>
            </c:ext>
          </c:extLst>
        </c:ser>
        <c:ser>
          <c:idx val="16"/>
          <c:order val="16"/>
          <c:tx>
            <c:strRef>
              <c:f>Лист1!$B$19</c:f>
              <c:strCache>
                <c:ptCount val="1"/>
                <c:pt idx="0">
                  <c:v>С17</c:v>
                </c:pt>
              </c:strCache>
            </c:strRef>
          </c:tx>
          <c:spPr>
            <a:solidFill>
              <a:schemeClr val="accent5">
                <a:lumMod val="80000"/>
                <a:lumOff val="20000"/>
              </a:schemeClr>
            </a:solidFill>
            <a:ln>
              <a:noFill/>
            </a:ln>
            <a:effectLst/>
          </c:spPr>
          <c:invertIfNegative val="0"/>
          <c:cat>
            <c:strRef>
              <c:f>Лист1!$C$2:$D$2</c:f>
              <c:strCache>
                <c:ptCount val="2"/>
                <c:pt idx="0">
                  <c:v>а</c:v>
                </c:pt>
                <c:pt idx="1">
                  <c:v>б</c:v>
                </c:pt>
              </c:strCache>
            </c:strRef>
          </c:cat>
          <c:val>
            <c:numRef>
              <c:f>Лист1!$C$19:$D$19</c:f>
              <c:numCache>
                <c:formatCode>General</c:formatCode>
                <c:ptCount val="2"/>
                <c:pt idx="0">
                  <c:v>9974</c:v>
                </c:pt>
                <c:pt idx="1">
                  <c:v>5649</c:v>
                </c:pt>
              </c:numCache>
            </c:numRef>
          </c:val>
          <c:extLst xmlns:c16r2="http://schemas.microsoft.com/office/drawing/2015/06/chart">
            <c:ext xmlns:c16="http://schemas.microsoft.com/office/drawing/2014/chart" uri="{C3380CC4-5D6E-409C-BE32-E72D297353CC}">
              <c16:uniqueId val="{00000010-A1E3-4FF1-936C-12776463ED9D}"/>
            </c:ext>
          </c:extLst>
        </c:ser>
        <c:ser>
          <c:idx val="17"/>
          <c:order val="17"/>
          <c:tx>
            <c:strRef>
              <c:f>Лист1!$B$20</c:f>
              <c:strCache>
                <c:ptCount val="1"/>
                <c:pt idx="0">
                  <c:v>С18</c:v>
                </c:pt>
              </c:strCache>
            </c:strRef>
          </c:tx>
          <c:spPr>
            <a:solidFill>
              <a:schemeClr val="accent6">
                <a:lumMod val="80000"/>
                <a:lumOff val="20000"/>
              </a:schemeClr>
            </a:solidFill>
            <a:ln>
              <a:noFill/>
            </a:ln>
            <a:effectLst/>
          </c:spPr>
          <c:invertIfNegative val="0"/>
          <c:cat>
            <c:strRef>
              <c:f>Лист1!$C$2:$D$2</c:f>
              <c:strCache>
                <c:ptCount val="2"/>
                <c:pt idx="0">
                  <c:v>а</c:v>
                </c:pt>
                <c:pt idx="1">
                  <c:v>б</c:v>
                </c:pt>
              </c:strCache>
            </c:strRef>
          </c:cat>
          <c:val>
            <c:numRef>
              <c:f>Лист1!$C$20:$D$20</c:f>
              <c:numCache>
                <c:formatCode>General</c:formatCode>
                <c:ptCount val="2"/>
                <c:pt idx="0">
                  <c:v>10258</c:v>
                </c:pt>
                <c:pt idx="1">
                  <c:v>5909</c:v>
                </c:pt>
              </c:numCache>
            </c:numRef>
          </c:val>
          <c:extLst xmlns:c16r2="http://schemas.microsoft.com/office/drawing/2015/06/chart">
            <c:ext xmlns:c16="http://schemas.microsoft.com/office/drawing/2014/chart" uri="{C3380CC4-5D6E-409C-BE32-E72D297353CC}">
              <c16:uniqueId val="{00000011-A1E3-4FF1-936C-12776463ED9D}"/>
            </c:ext>
          </c:extLst>
        </c:ser>
        <c:ser>
          <c:idx val="18"/>
          <c:order val="18"/>
          <c:tx>
            <c:strRef>
              <c:f>Лист1!$B$21</c:f>
              <c:strCache>
                <c:ptCount val="1"/>
                <c:pt idx="0">
                  <c:v>С19</c:v>
                </c:pt>
              </c:strCache>
            </c:strRef>
          </c:tx>
          <c:spPr>
            <a:solidFill>
              <a:schemeClr val="accent1">
                <a:lumMod val="80000"/>
              </a:schemeClr>
            </a:solidFill>
            <a:ln>
              <a:noFill/>
            </a:ln>
            <a:effectLst/>
          </c:spPr>
          <c:invertIfNegative val="0"/>
          <c:cat>
            <c:strRef>
              <c:f>Лист1!$C$2:$D$2</c:f>
              <c:strCache>
                <c:ptCount val="2"/>
                <c:pt idx="0">
                  <c:v>а</c:v>
                </c:pt>
                <c:pt idx="1">
                  <c:v>б</c:v>
                </c:pt>
              </c:strCache>
            </c:strRef>
          </c:cat>
          <c:val>
            <c:numRef>
              <c:f>Лист1!$C$21:$D$21</c:f>
              <c:numCache>
                <c:formatCode>General</c:formatCode>
                <c:ptCount val="2"/>
                <c:pt idx="0">
                  <c:v>12867</c:v>
                </c:pt>
                <c:pt idx="1">
                  <c:v>6761</c:v>
                </c:pt>
              </c:numCache>
            </c:numRef>
          </c:val>
          <c:extLst xmlns:c16r2="http://schemas.microsoft.com/office/drawing/2015/06/chart">
            <c:ext xmlns:c16="http://schemas.microsoft.com/office/drawing/2014/chart" uri="{C3380CC4-5D6E-409C-BE32-E72D297353CC}">
              <c16:uniqueId val="{00000012-A1E3-4FF1-936C-12776463ED9D}"/>
            </c:ext>
          </c:extLst>
        </c:ser>
        <c:ser>
          <c:idx val="19"/>
          <c:order val="19"/>
          <c:tx>
            <c:strRef>
              <c:f>Лист1!$B$22</c:f>
              <c:strCache>
                <c:ptCount val="1"/>
                <c:pt idx="0">
                  <c:v>С20</c:v>
                </c:pt>
              </c:strCache>
            </c:strRef>
          </c:tx>
          <c:spPr>
            <a:solidFill>
              <a:schemeClr val="accent2">
                <a:lumMod val="80000"/>
              </a:schemeClr>
            </a:solidFill>
            <a:ln>
              <a:noFill/>
            </a:ln>
            <a:effectLst/>
          </c:spPr>
          <c:invertIfNegative val="0"/>
          <c:cat>
            <c:strRef>
              <c:f>Лист1!$C$2:$D$2</c:f>
              <c:strCache>
                <c:ptCount val="2"/>
                <c:pt idx="0">
                  <c:v>а</c:v>
                </c:pt>
                <c:pt idx="1">
                  <c:v>б</c:v>
                </c:pt>
              </c:strCache>
            </c:strRef>
          </c:cat>
          <c:val>
            <c:numRef>
              <c:f>Лист1!$C$22:$D$22</c:f>
              <c:numCache>
                <c:formatCode>General</c:formatCode>
                <c:ptCount val="2"/>
                <c:pt idx="0">
                  <c:v>19427</c:v>
                </c:pt>
                <c:pt idx="1">
                  <c:v>10350</c:v>
                </c:pt>
              </c:numCache>
            </c:numRef>
          </c:val>
          <c:extLst xmlns:c16r2="http://schemas.microsoft.com/office/drawing/2015/06/chart">
            <c:ext xmlns:c16="http://schemas.microsoft.com/office/drawing/2014/chart" uri="{C3380CC4-5D6E-409C-BE32-E72D297353CC}">
              <c16:uniqueId val="{00000013-A1E3-4FF1-936C-12776463ED9D}"/>
            </c:ext>
          </c:extLst>
        </c:ser>
        <c:ser>
          <c:idx val="20"/>
          <c:order val="20"/>
          <c:tx>
            <c:strRef>
              <c:f>Лист1!$B$23</c:f>
              <c:strCache>
                <c:ptCount val="1"/>
                <c:pt idx="0">
                  <c:v>С21</c:v>
                </c:pt>
              </c:strCache>
            </c:strRef>
          </c:tx>
          <c:spPr>
            <a:solidFill>
              <a:schemeClr val="accent3">
                <a:lumMod val="80000"/>
              </a:schemeClr>
            </a:solidFill>
            <a:ln>
              <a:noFill/>
            </a:ln>
            <a:effectLst/>
          </c:spPr>
          <c:invertIfNegative val="0"/>
          <c:cat>
            <c:strRef>
              <c:f>Лист1!$C$2:$D$2</c:f>
              <c:strCache>
                <c:ptCount val="2"/>
                <c:pt idx="0">
                  <c:v>а</c:v>
                </c:pt>
                <c:pt idx="1">
                  <c:v>б</c:v>
                </c:pt>
              </c:strCache>
            </c:strRef>
          </c:cat>
          <c:val>
            <c:numRef>
              <c:f>Лист1!$C$23:$D$23</c:f>
              <c:numCache>
                <c:formatCode>General</c:formatCode>
                <c:ptCount val="2"/>
                <c:pt idx="0">
                  <c:v>20660</c:v>
                </c:pt>
                <c:pt idx="1">
                  <c:v>12755</c:v>
                </c:pt>
              </c:numCache>
            </c:numRef>
          </c:val>
          <c:extLst xmlns:c16r2="http://schemas.microsoft.com/office/drawing/2015/06/chart">
            <c:ext xmlns:c16="http://schemas.microsoft.com/office/drawing/2014/chart" uri="{C3380CC4-5D6E-409C-BE32-E72D297353CC}">
              <c16:uniqueId val="{00000014-A1E3-4FF1-936C-12776463ED9D}"/>
            </c:ext>
          </c:extLst>
        </c:ser>
        <c:dLbls>
          <c:showLegendKey val="0"/>
          <c:showVal val="0"/>
          <c:showCatName val="0"/>
          <c:showSerName val="0"/>
          <c:showPercent val="0"/>
          <c:showBubbleSize val="0"/>
        </c:dLbls>
        <c:gapWidth val="219"/>
        <c:axId val="359723552"/>
        <c:axId val="359729536"/>
      </c:barChart>
      <c:catAx>
        <c:axId val="35972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729536"/>
        <c:crosses val="autoZero"/>
        <c:auto val="1"/>
        <c:lblAlgn val="ctr"/>
        <c:lblOffset val="100"/>
        <c:noMultiLvlLbl val="0"/>
      </c:catAx>
      <c:valAx>
        <c:axId val="359729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723552"/>
        <c:crosses val="autoZero"/>
        <c:crossBetween val="between"/>
      </c:valAx>
      <c:spPr>
        <a:noFill/>
        <a:ln>
          <a:noFill/>
        </a:ln>
        <a:effectLst/>
      </c:spPr>
    </c:plotArea>
    <c:legend>
      <c:legendPos val="b"/>
      <c:layout>
        <c:manualLayout>
          <c:xMode val="edge"/>
          <c:yMode val="edge"/>
          <c:x val="0.10673520070080926"/>
          <c:y val="0.84994342614071317"/>
          <c:w val="0.81234675970153669"/>
          <c:h val="0.1208237966524362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Атырауская</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33.700000000000003</c:v>
                </c:pt>
                <c:pt idx="1">
                  <c:v>42.3</c:v>
                </c:pt>
                <c:pt idx="2">
                  <c:v>47.2</c:v>
                </c:pt>
                <c:pt idx="3">
                  <c:v>49.5</c:v>
                </c:pt>
                <c:pt idx="4">
                  <c:v>46.7</c:v>
                </c:pt>
                <c:pt idx="5">
                  <c:v>47.8</c:v>
                </c:pt>
              </c:numCache>
            </c:numRef>
          </c:val>
          <c:extLst xmlns:c16r2="http://schemas.microsoft.com/office/drawing/2015/06/chart">
            <c:ext xmlns:c16="http://schemas.microsoft.com/office/drawing/2014/chart" uri="{C3380CC4-5D6E-409C-BE32-E72D297353CC}">
              <c16:uniqueId val="{00000000-4982-4508-83F9-6744957261C6}"/>
            </c:ext>
          </c:extLst>
        </c:ser>
        <c:ser>
          <c:idx val="1"/>
          <c:order val="1"/>
          <c:tx>
            <c:strRef>
              <c:f>Лист1!$C$1</c:f>
              <c:strCache>
                <c:ptCount val="1"/>
                <c:pt idx="0">
                  <c:v>Мангистауская</c:v>
                </c:pt>
              </c:strCache>
            </c:strRef>
          </c:tx>
          <c:spPr>
            <a:solidFill>
              <a:srgbClr val="FF7C8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18.100000000000001</c:v>
                </c:pt>
                <c:pt idx="1">
                  <c:v>17.899999999999999</c:v>
                </c:pt>
                <c:pt idx="2">
                  <c:v>18.100000000000001</c:v>
                </c:pt>
                <c:pt idx="3">
                  <c:v>20.3</c:v>
                </c:pt>
                <c:pt idx="4">
                  <c:v>16.7</c:v>
                </c:pt>
                <c:pt idx="5">
                  <c:v>16.8</c:v>
                </c:pt>
              </c:numCache>
            </c:numRef>
          </c:val>
          <c:extLst xmlns:c16r2="http://schemas.microsoft.com/office/drawing/2015/06/chart">
            <c:ext xmlns:c16="http://schemas.microsoft.com/office/drawing/2014/chart" uri="{C3380CC4-5D6E-409C-BE32-E72D297353CC}">
              <c16:uniqueId val="{00000001-4982-4508-83F9-6744957261C6}"/>
            </c:ext>
          </c:extLst>
        </c:ser>
        <c:ser>
          <c:idx val="2"/>
          <c:order val="2"/>
          <c:tx>
            <c:strRef>
              <c:f>Лист1!$D$1</c:f>
              <c:strCache>
                <c:ptCount val="1"/>
                <c:pt idx="0">
                  <c:v>Западно-Казахстанская</c:v>
                </c:pt>
              </c:strCache>
            </c:strRef>
          </c:tx>
          <c:spPr>
            <a:solidFill>
              <a:srgbClr val="00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Лист1!$D$2:$D$7</c:f>
              <c:numCache>
                <c:formatCode>General</c:formatCode>
                <c:ptCount val="6"/>
                <c:pt idx="0">
                  <c:v>12.3</c:v>
                </c:pt>
                <c:pt idx="1">
                  <c:v>13.2</c:v>
                </c:pt>
                <c:pt idx="2">
                  <c:v>12.7</c:v>
                </c:pt>
                <c:pt idx="3">
                  <c:v>11.7</c:v>
                </c:pt>
                <c:pt idx="4">
                  <c:v>12.5</c:v>
                </c:pt>
                <c:pt idx="5">
                  <c:v>11.8</c:v>
                </c:pt>
              </c:numCache>
            </c:numRef>
          </c:val>
          <c:extLst xmlns:c16r2="http://schemas.microsoft.com/office/drawing/2015/06/chart">
            <c:ext xmlns:c16="http://schemas.microsoft.com/office/drawing/2014/chart" uri="{C3380CC4-5D6E-409C-BE32-E72D297353CC}">
              <c16:uniqueId val="{00000002-4982-4508-83F9-6744957261C6}"/>
            </c:ext>
          </c:extLst>
        </c:ser>
        <c:ser>
          <c:idx val="3"/>
          <c:order val="3"/>
          <c:tx>
            <c:strRef>
              <c:f>Лист1!$E$1</c:f>
              <c:strCache>
                <c:ptCount val="1"/>
                <c:pt idx="0">
                  <c:v>Актюбинская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Лист1!$E$2:$E$7</c:f>
              <c:numCache>
                <c:formatCode>General</c:formatCode>
                <c:ptCount val="6"/>
                <c:pt idx="0">
                  <c:v>6.2</c:v>
                </c:pt>
                <c:pt idx="1">
                  <c:v>6</c:v>
                </c:pt>
                <c:pt idx="2">
                  <c:v>6</c:v>
                </c:pt>
                <c:pt idx="3">
                  <c:v>5.8</c:v>
                </c:pt>
                <c:pt idx="4">
                  <c:v>5</c:v>
                </c:pt>
                <c:pt idx="5">
                  <c:v>5.0999999999999996</c:v>
                </c:pt>
              </c:numCache>
            </c:numRef>
          </c:val>
          <c:extLst xmlns:c16r2="http://schemas.microsoft.com/office/drawing/2015/06/chart">
            <c:ext xmlns:c16="http://schemas.microsoft.com/office/drawing/2014/chart" uri="{C3380CC4-5D6E-409C-BE32-E72D297353CC}">
              <c16:uniqueId val="{00000003-4982-4508-83F9-6744957261C6}"/>
            </c:ext>
          </c:extLst>
        </c:ser>
        <c:dLbls>
          <c:showLegendKey val="0"/>
          <c:showVal val="0"/>
          <c:showCatName val="0"/>
          <c:showSerName val="0"/>
          <c:showPercent val="0"/>
          <c:showBubbleSize val="0"/>
        </c:dLbls>
        <c:gapWidth val="300"/>
        <c:axId val="54020560"/>
        <c:axId val="94343312"/>
      </c:barChart>
      <c:catAx>
        <c:axId val="54020560"/>
        <c:scaling>
          <c:orientation val="minMax"/>
        </c:scaling>
        <c:delete val="0"/>
        <c:axPos val="b"/>
        <c:numFmt formatCode="General" sourceLinked="1"/>
        <c:majorTickMark val="none"/>
        <c:minorTickMark val="none"/>
        <c:tickLblPos val="nextTo"/>
        <c:txPr>
          <a:bodyPr/>
          <a:lstStyle/>
          <a:p>
            <a:pPr>
              <a:defRPr b="1"/>
            </a:pPr>
            <a:endParaRPr lang="ru-RU"/>
          </a:p>
        </c:txPr>
        <c:crossAx val="94343312"/>
        <c:crosses val="autoZero"/>
        <c:auto val="1"/>
        <c:lblAlgn val="ctr"/>
        <c:lblOffset val="100"/>
        <c:noMultiLvlLbl val="0"/>
      </c:catAx>
      <c:valAx>
        <c:axId val="94343312"/>
        <c:scaling>
          <c:orientation val="minMax"/>
        </c:scaling>
        <c:delete val="0"/>
        <c:axPos val="l"/>
        <c:majorGridlines/>
        <c:minorGridlines/>
        <c:title>
          <c:tx>
            <c:rich>
              <a:bodyPr/>
              <a:lstStyle/>
              <a:p>
                <a:pPr>
                  <a:defRPr/>
                </a:pPr>
                <a:r>
                  <a:rPr lang="ru-RU"/>
                  <a:t>млн. тонн</a:t>
                </a:r>
              </a:p>
            </c:rich>
          </c:tx>
          <c:overlay val="0"/>
        </c:title>
        <c:numFmt formatCode="General" sourceLinked="1"/>
        <c:majorTickMark val="out"/>
        <c:minorTickMark val="none"/>
        <c:tickLblPos val="nextTo"/>
        <c:crossAx val="54020560"/>
        <c:crosses val="autoZero"/>
        <c:crossBetween val="between"/>
      </c:valAx>
    </c:plotArea>
    <c:legend>
      <c:legendPos val="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rgbClr val="66CC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Лист1!$B$2:$B$13</c:f>
              <c:numCache>
                <c:formatCode>General</c:formatCode>
                <c:ptCount val="12"/>
                <c:pt idx="0">
                  <c:v>1.82</c:v>
                </c:pt>
                <c:pt idx="1">
                  <c:v>2.72</c:v>
                </c:pt>
                <c:pt idx="2">
                  <c:v>2.39</c:v>
                </c:pt>
                <c:pt idx="3">
                  <c:v>2.95</c:v>
                </c:pt>
                <c:pt idx="4">
                  <c:v>3.14</c:v>
                </c:pt>
                <c:pt idx="5">
                  <c:v>3.31</c:v>
                </c:pt>
                <c:pt idx="6">
                  <c:v>3.68</c:v>
                </c:pt>
                <c:pt idx="7">
                  <c:v>4.07</c:v>
                </c:pt>
                <c:pt idx="8">
                  <c:v>4.47</c:v>
                </c:pt>
                <c:pt idx="9">
                  <c:v>5.15</c:v>
                </c:pt>
                <c:pt idx="10">
                  <c:v>6.33</c:v>
                </c:pt>
                <c:pt idx="11">
                  <c:v>7.52</c:v>
                </c:pt>
              </c:numCache>
            </c:numRef>
          </c:val>
          <c:extLst xmlns:c16r2="http://schemas.microsoft.com/office/drawing/2015/06/chart">
            <c:ext xmlns:c16="http://schemas.microsoft.com/office/drawing/2014/chart" uri="{C3380CC4-5D6E-409C-BE32-E72D297353CC}">
              <c16:uniqueId val="{00000000-5E93-4601-85FB-DE79C0666EF3}"/>
            </c:ext>
          </c:extLst>
        </c:ser>
        <c:dLbls>
          <c:showLegendKey val="0"/>
          <c:showVal val="0"/>
          <c:showCatName val="0"/>
          <c:showSerName val="0"/>
          <c:showPercent val="0"/>
          <c:showBubbleSize val="0"/>
        </c:dLbls>
        <c:gapWidth val="150"/>
        <c:axId val="94338960"/>
        <c:axId val="94336784"/>
      </c:barChart>
      <c:catAx>
        <c:axId val="94338960"/>
        <c:scaling>
          <c:orientation val="minMax"/>
        </c:scaling>
        <c:delete val="0"/>
        <c:axPos val="b"/>
        <c:numFmt formatCode="General" sourceLinked="1"/>
        <c:majorTickMark val="out"/>
        <c:minorTickMark val="none"/>
        <c:tickLblPos val="nextTo"/>
        <c:txPr>
          <a:bodyPr/>
          <a:lstStyle/>
          <a:p>
            <a:pPr>
              <a:defRPr b="0"/>
            </a:pPr>
            <a:endParaRPr lang="ru-RU"/>
          </a:p>
        </c:txPr>
        <c:crossAx val="94336784"/>
        <c:crosses val="autoZero"/>
        <c:auto val="1"/>
        <c:lblAlgn val="ctr"/>
        <c:lblOffset val="100"/>
        <c:noMultiLvlLbl val="0"/>
      </c:catAx>
      <c:valAx>
        <c:axId val="94336784"/>
        <c:scaling>
          <c:orientation val="minMax"/>
        </c:scaling>
        <c:delete val="0"/>
        <c:axPos val="l"/>
        <c:majorGridlines/>
        <c:numFmt formatCode="General" sourceLinked="1"/>
        <c:majorTickMark val="out"/>
        <c:minorTickMark val="none"/>
        <c:tickLblPos val="nextTo"/>
        <c:crossAx val="9433896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 категория</c:v>
                </c:pt>
              </c:strCache>
            </c:strRef>
          </c:tx>
          <c:spPr>
            <a:solidFill>
              <a:srgbClr val="00B0F0"/>
            </a:solidFill>
            <a:ln>
              <a:solidFill>
                <a:srgbClr val="00B0F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Лист1!$A$2:$A$5</c:f>
              <c:strCache>
                <c:ptCount val="4"/>
                <c:pt idx="0">
                  <c:v>Снабжающие услуги</c:v>
                </c:pt>
                <c:pt idx="1">
                  <c:v>Регулирующие услуги</c:v>
                </c:pt>
                <c:pt idx="2">
                  <c:v>Услуги среды обитания</c:v>
                </c:pt>
                <c:pt idx="3">
                  <c:v>Культурные услуги</c:v>
                </c:pt>
              </c:strCache>
            </c:strRef>
          </c:cat>
          <c:val>
            <c:numRef>
              <c:f>Лист1!$B$2:$B$5</c:f>
              <c:numCache>
                <c:formatCode>General</c:formatCode>
                <c:ptCount val="4"/>
                <c:pt idx="0">
                  <c:v>1295296</c:v>
                </c:pt>
                <c:pt idx="1">
                  <c:v>13452936</c:v>
                </c:pt>
                <c:pt idx="2">
                  <c:v>2386321</c:v>
                </c:pt>
                <c:pt idx="3">
                  <c:v>3256505</c:v>
                </c:pt>
              </c:numCache>
            </c:numRef>
          </c:val>
          <c:extLst xmlns:c16r2="http://schemas.microsoft.com/office/drawing/2015/06/chart">
            <c:ext xmlns:c16="http://schemas.microsoft.com/office/drawing/2014/chart" uri="{C3380CC4-5D6E-409C-BE32-E72D297353CC}">
              <c16:uniqueId val="{00000000-B3FD-4885-A8B2-13D45AEBEC32}"/>
            </c:ext>
          </c:extLst>
        </c:ser>
        <c:ser>
          <c:idx val="1"/>
          <c:order val="1"/>
          <c:tx>
            <c:strRef>
              <c:f>Лист1!$C$1</c:f>
              <c:strCache>
                <c:ptCount val="1"/>
                <c:pt idx="0">
                  <c:v>2 категория</c:v>
                </c:pt>
              </c:strCache>
            </c:strRef>
          </c:tx>
          <c:spPr>
            <a:solidFill>
              <a:srgbClr val="C00000"/>
            </a:solidFill>
            <a:ln>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Лист1!$A$2:$A$5</c:f>
              <c:strCache>
                <c:ptCount val="4"/>
                <c:pt idx="0">
                  <c:v>Снабжающие услуги</c:v>
                </c:pt>
                <c:pt idx="1">
                  <c:v>Регулирующие услуги</c:v>
                </c:pt>
                <c:pt idx="2">
                  <c:v>Услуги среды обитания</c:v>
                </c:pt>
                <c:pt idx="3">
                  <c:v>Культурные услуги</c:v>
                </c:pt>
              </c:strCache>
            </c:strRef>
          </c:cat>
          <c:val>
            <c:numRef>
              <c:f>Лист1!$C$2:$C$5</c:f>
              <c:numCache>
                <c:formatCode>General</c:formatCode>
                <c:ptCount val="4"/>
                <c:pt idx="0">
                  <c:v>2834872</c:v>
                </c:pt>
                <c:pt idx="1">
                  <c:v>29651742</c:v>
                </c:pt>
                <c:pt idx="2">
                  <c:v>5102830</c:v>
                </c:pt>
                <c:pt idx="3">
                  <c:v>7177692</c:v>
                </c:pt>
              </c:numCache>
            </c:numRef>
          </c:val>
          <c:extLst xmlns:c16r2="http://schemas.microsoft.com/office/drawing/2015/06/chart">
            <c:ext xmlns:c16="http://schemas.microsoft.com/office/drawing/2014/chart" uri="{C3380CC4-5D6E-409C-BE32-E72D297353CC}">
              <c16:uniqueId val="{00000001-B3FD-4885-A8B2-13D45AEBEC32}"/>
            </c:ext>
          </c:extLst>
        </c:ser>
        <c:dLbls>
          <c:showLegendKey val="0"/>
          <c:showVal val="0"/>
          <c:showCatName val="0"/>
          <c:showSerName val="0"/>
          <c:showPercent val="0"/>
          <c:showBubbleSize val="0"/>
        </c:dLbls>
        <c:gapWidth val="267"/>
        <c:overlap val="-43"/>
        <c:axId val="94339504"/>
        <c:axId val="94340048"/>
      </c:barChart>
      <c:lineChart>
        <c:grouping val="standard"/>
        <c:varyColors val="0"/>
        <c:ser>
          <c:idx val="2"/>
          <c:order val="2"/>
          <c:tx>
            <c:strRef>
              <c:f>Лист1!$D$1</c:f>
              <c:strCache>
                <c:ptCount val="1"/>
                <c:pt idx="0">
                  <c:v>Итого</c:v>
                </c:pt>
              </c:strCache>
            </c:strRef>
          </c:tx>
          <c:spPr>
            <a:ln w="22225" cap="rnd">
              <a:solidFill>
                <a:schemeClr val="accent3"/>
              </a:solidFill>
              <a:round/>
            </a:ln>
            <a:effectLst/>
          </c:spPr>
          <c:marker>
            <c:symbol val="circle"/>
            <c:size val="6"/>
            <c:spPr>
              <a:solidFill>
                <a:schemeClr val="lt1"/>
              </a:solidFill>
              <a:ln w="1587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Лист1!$A$2:$A$5</c:f>
              <c:strCache>
                <c:ptCount val="4"/>
                <c:pt idx="0">
                  <c:v>Снабжающие услуги</c:v>
                </c:pt>
                <c:pt idx="1">
                  <c:v>Регулирующие услуги</c:v>
                </c:pt>
                <c:pt idx="2">
                  <c:v>Услуги среды обитания</c:v>
                </c:pt>
                <c:pt idx="3">
                  <c:v>Культурные услуги</c:v>
                </c:pt>
              </c:strCache>
            </c:strRef>
          </c:cat>
          <c:val>
            <c:numRef>
              <c:f>Лист1!$D$2:$D$5</c:f>
              <c:numCache>
                <c:formatCode>General</c:formatCode>
                <c:ptCount val="4"/>
                <c:pt idx="0">
                  <c:v>4130168</c:v>
                </c:pt>
                <c:pt idx="1">
                  <c:v>43104677</c:v>
                </c:pt>
                <c:pt idx="2">
                  <c:v>7489151</c:v>
                </c:pt>
                <c:pt idx="3">
                  <c:v>10434197</c:v>
                </c:pt>
              </c:numCache>
            </c:numRef>
          </c:val>
          <c:smooth val="0"/>
          <c:extLst xmlns:c16r2="http://schemas.microsoft.com/office/drawing/2015/06/chart">
            <c:ext xmlns:c16="http://schemas.microsoft.com/office/drawing/2014/chart" uri="{C3380CC4-5D6E-409C-BE32-E72D297353CC}">
              <c16:uniqueId val="{00000002-B3FD-4885-A8B2-13D45AEBEC32}"/>
            </c:ext>
          </c:extLst>
        </c:ser>
        <c:dLbls>
          <c:showLegendKey val="0"/>
          <c:showVal val="0"/>
          <c:showCatName val="0"/>
          <c:showSerName val="0"/>
          <c:showPercent val="0"/>
          <c:showBubbleSize val="0"/>
        </c:dLbls>
        <c:marker val="1"/>
        <c:smooth val="0"/>
        <c:axId val="184889392"/>
        <c:axId val="184899184"/>
      </c:lineChart>
      <c:catAx>
        <c:axId val="943395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4340048"/>
        <c:crosses val="autoZero"/>
        <c:auto val="1"/>
        <c:lblAlgn val="ctr"/>
        <c:lblOffset val="100"/>
        <c:noMultiLvlLbl val="0"/>
      </c:catAx>
      <c:valAx>
        <c:axId val="943400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4339504"/>
        <c:crosses val="autoZero"/>
        <c:crossBetween val="between"/>
      </c:valAx>
      <c:valAx>
        <c:axId val="1848991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4889392"/>
        <c:crosses val="max"/>
        <c:crossBetween val="between"/>
      </c:valAx>
      <c:catAx>
        <c:axId val="184889392"/>
        <c:scaling>
          <c:orientation val="minMax"/>
        </c:scaling>
        <c:delete val="1"/>
        <c:axPos val="b"/>
        <c:numFmt formatCode="General" sourceLinked="1"/>
        <c:majorTickMark val="out"/>
        <c:minorTickMark val="none"/>
        <c:tickLblPos val="nextTo"/>
        <c:crossAx val="184899184"/>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1"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b="0" i="1"/>
              <a:t>Финансовые затраты/выгоды, млн.$</a:t>
            </a:r>
            <a:r>
              <a:rPr lang="en-US" sz="1100" b="0" i="1"/>
              <a:t>USA/</a:t>
            </a:r>
            <a:r>
              <a:rPr lang="ru-RU" sz="1100" b="0" i="1"/>
              <a:t>в год</a:t>
            </a:r>
            <a:endParaRPr lang="en-US" sz="1100" b="0" i="1"/>
          </a:p>
        </c:rich>
      </c:tx>
      <c:overlay val="0"/>
      <c:spPr>
        <a:noFill/>
        <a:ln>
          <a:noFill/>
        </a:ln>
        <a:effectLst/>
      </c:spPr>
    </c:title>
    <c:autoTitleDeleted val="0"/>
    <c:plotArea>
      <c:layout/>
      <c:barChart>
        <c:barDir val="bar"/>
        <c:grouping val="clustered"/>
        <c:varyColors val="0"/>
        <c:ser>
          <c:idx val="0"/>
          <c:order val="0"/>
          <c:tx>
            <c:strRef>
              <c:f>Лист1!$B$1</c:f>
              <c:strCache>
                <c:ptCount val="1"/>
                <c:pt idx="0">
                  <c:v>Финансовые затраты/выгоды, млн.$USA</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Стратегия по созданию искусственных островов экосистем</c:v>
                </c:pt>
                <c:pt idx="1">
                  <c:v>Стратегия по сохранению естественных природных экосистем</c:v>
                </c:pt>
              </c:strCache>
            </c:strRef>
          </c:cat>
          <c:val>
            <c:numRef>
              <c:f>Лист1!$B$2:$B$3</c:f>
              <c:numCache>
                <c:formatCode>General</c:formatCode>
                <c:ptCount val="2"/>
                <c:pt idx="0">
                  <c:v>12.7</c:v>
                </c:pt>
                <c:pt idx="1">
                  <c:v>242</c:v>
                </c:pt>
              </c:numCache>
            </c:numRef>
          </c:val>
          <c:extLst xmlns:c16r2="http://schemas.microsoft.com/office/drawing/2015/06/chart">
            <c:ext xmlns:c16="http://schemas.microsoft.com/office/drawing/2014/chart" uri="{C3380CC4-5D6E-409C-BE32-E72D297353CC}">
              <c16:uniqueId val="{00000000-5498-4926-AFF9-1C4739D5AF20}"/>
            </c:ext>
          </c:extLst>
        </c:ser>
        <c:dLbls>
          <c:showLegendKey val="0"/>
          <c:showVal val="0"/>
          <c:showCatName val="0"/>
          <c:showSerName val="0"/>
          <c:showPercent val="0"/>
          <c:showBubbleSize val="0"/>
        </c:dLbls>
        <c:gapWidth val="182"/>
        <c:axId val="264488320"/>
        <c:axId val="173553136"/>
      </c:barChart>
      <c:catAx>
        <c:axId val="26448832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3553136"/>
        <c:crosses val="autoZero"/>
        <c:auto val="1"/>
        <c:lblAlgn val="ctr"/>
        <c:lblOffset val="100"/>
        <c:noMultiLvlLbl val="0"/>
      </c:catAx>
      <c:valAx>
        <c:axId val="173553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4488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число респондетов, чел.</c:v>
                </c:pt>
              </c:strCache>
            </c:strRef>
          </c:tx>
          <c:spPr>
            <a:solidFill>
              <a:srgbClr val="CCECFF"/>
            </a:solidFill>
            <a:ln>
              <a:solidFill>
                <a:srgbClr val="CCECFF"/>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ТП ЦГО</c:v>
                </c:pt>
                <c:pt idx="1">
                  <c:v>ЦГО</c:v>
                </c:pt>
                <c:pt idx="2">
                  <c:v>ТП МИО</c:v>
                </c:pt>
                <c:pt idx="3">
                  <c:v>МИО</c:v>
                </c:pt>
              </c:strCache>
            </c:strRef>
          </c:cat>
          <c:val>
            <c:numRef>
              <c:f>Лист1!$B$2:$B$5</c:f>
              <c:numCache>
                <c:formatCode>General</c:formatCode>
                <c:ptCount val="4"/>
                <c:pt idx="0">
                  <c:v>188</c:v>
                </c:pt>
                <c:pt idx="1">
                  <c:v>36</c:v>
                </c:pt>
                <c:pt idx="2">
                  <c:v>17</c:v>
                </c:pt>
                <c:pt idx="3">
                  <c:v>15</c:v>
                </c:pt>
              </c:numCache>
            </c:numRef>
          </c:val>
          <c:extLst xmlns:c16r2="http://schemas.microsoft.com/office/drawing/2015/06/chart">
            <c:ext xmlns:c16="http://schemas.microsoft.com/office/drawing/2014/chart" uri="{C3380CC4-5D6E-409C-BE32-E72D297353CC}">
              <c16:uniqueId val="{00000000-B642-42C2-9DFE-49037F78D180}"/>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Лист1!$A$2:$A$5</c:f>
              <c:strCache>
                <c:ptCount val="4"/>
                <c:pt idx="0">
                  <c:v>ТП ЦГО</c:v>
                </c:pt>
                <c:pt idx="1">
                  <c:v>ЦГО</c:v>
                </c:pt>
                <c:pt idx="2">
                  <c:v>ТП МИО</c:v>
                </c:pt>
                <c:pt idx="3">
                  <c:v>МИО</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B642-42C2-9DFE-49037F78D180}"/>
            </c:ext>
          </c:extLst>
        </c:ser>
        <c:dLbls>
          <c:showLegendKey val="0"/>
          <c:showVal val="0"/>
          <c:showCatName val="0"/>
          <c:showSerName val="0"/>
          <c:showPercent val="0"/>
          <c:showBubbleSize val="0"/>
        </c:dLbls>
        <c:gapWidth val="219"/>
        <c:overlap val="-27"/>
        <c:axId val="183598672"/>
        <c:axId val="359719200"/>
      </c:barChart>
      <c:lineChart>
        <c:grouping val="standard"/>
        <c:varyColors val="0"/>
        <c:ser>
          <c:idx val="2"/>
          <c:order val="2"/>
          <c:tx>
            <c:strRef>
              <c:f>Лист1!$D$1</c:f>
              <c:strCache>
                <c:ptCount val="1"/>
                <c:pt idx="0">
                  <c:v>доля респондентов, %</c:v>
                </c:pt>
              </c:strCache>
            </c:strRef>
          </c:tx>
          <c:spPr>
            <a:ln w="28575" cap="rnd">
              <a:solidFill>
                <a:srgbClr val="C00000"/>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ТП ЦГО</c:v>
                </c:pt>
                <c:pt idx="1">
                  <c:v>ЦГО</c:v>
                </c:pt>
                <c:pt idx="2">
                  <c:v>ТП МИО</c:v>
                </c:pt>
                <c:pt idx="3">
                  <c:v>МИО</c:v>
                </c:pt>
              </c:strCache>
            </c:strRef>
          </c:cat>
          <c:val>
            <c:numRef>
              <c:f>Лист1!$D$2:$D$5</c:f>
              <c:numCache>
                <c:formatCode>General</c:formatCode>
                <c:ptCount val="4"/>
                <c:pt idx="0">
                  <c:v>73.400000000000006</c:v>
                </c:pt>
                <c:pt idx="1">
                  <c:v>14</c:v>
                </c:pt>
                <c:pt idx="2">
                  <c:v>6.6</c:v>
                </c:pt>
                <c:pt idx="3">
                  <c:v>5.9</c:v>
                </c:pt>
              </c:numCache>
            </c:numRef>
          </c:val>
          <c:smooth val="0"/>
          <c:extLst xmlns:c16r2="http://schemas.microsoft.com/office/drawing/2015/06/chart">
            <c:ext xmlns:c16="http://schemas.microsoft.com/office/drawing/2014/chart" uri="{C3380CC4-5D6E-409C-BE32-E72D297353CC}">
              <c16:uniqueId val="{00000002-B642-42C2-9DFE-49037F78D180}"/>
            </c:ext>
          </c:extLst>
        </c:ser>
        <c:dLbls>
          <c:showLegendKey val="0"/>
          <c:showVal val="0"/>
          <c:showCatName val="0"/>
          <c:showSerName val="0"/>
          <c:showPercent val="0"/>
          <c:showBubbleSize val="0"/>
        </c:dLbls>
        <c:marker val="1"/>
        <c:smooth val="0"/>
        <c:axId val="183598672"/>
        <c:axId val="359719200"/>
      </c:lineChart>
      <c:catAx>
        <c:axId val="18359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9719200"/>
        <c:crosses val="autoZero"/>
        <c:auto val="1"/>
        <c:lblAlgn val="ctr"/>
        <c:lblOffset val="100"/>
        <c:noMultiLvlLbl val="0"/>
      </c:catAx>
      <c:valAx>
        <c:axId val="359719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3598672"/>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Лист1!$B$1</c:f>
              <c:strCache>
                <c:ptCount val="1"/>
                <c:pt idx="0">
                  <c:v>Экологические аспекты отсутствуют</c:v>
                </c:pt>
              </c:strCache>
            </c:strRef>
          </c:tx>
          <c:spPr>
            <a:solidFill>
              <a:srgbClr val="CCCC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Биоресурсы</c:v>
                </c:pt>
                <c:pt idx="1">
                  <c:v>Экологический контроль</c:v>
                </c:pt>
                <c:pt idx="2">
                  <c:v>Земельные ресурсы</c:v>
                </c:pt>
                <c:pt idx="3">
                  <c:v>Водные ресурсы</c:v>
                </c:pt>
                <c:pt idx="4">
                  <c:v>Геология и недропользование</c:v>
                </c:pt>
              </c:strCache>
            </c:strRef>
          </c:cat>
          <c:val>
            <c:numRef>
              <c:f>Лист1!$B$2:$B$6</c:f>
              <c:numCache>
                <c:formatCode>General</c:formatCode>
                <c:ptCount val="5"/>
                <c:pt idx="0">
                  <c:v>3.9</c:v>
                </c:pt>
                <c:pt idx="1">
                  <c:v>5.88</c:v>
                </c:pt>
                <c:pt idx="2">
                  <c:v>12.5</c:v>
                </c:pt>
              </c:numCache>
            </c:numRef>
          </c:val>
          <c:extLst xmlns:c16r2="http://schemas.microsoft.com/office/drawing/2015/06/chart">
            <c:ext xmlns:c16="http://schemas.microsoft.com/office/drawing/2014/chart" uri="{C3380CC4-5D6E-409C-BE32-E72D297353CC}">
              <c16:uniqueId val="{00000000-C12B-405A-9537-167EEBC50865}"/>
            </c:ext>
          </c:extLst>
        </c:ser>
        <c:ser>
          <c:idx val="1"/>
          <c:order val="1"/>
          <c:tx>
            <c:strRef>
              <c:f>Лист1!$C$1</c:f>
              <c:strCache>
                <c:ptCount val="1"/>
                <c:pt idx="0">
                  <c:v>Присутствуют, но требуют дополнения</c:v>
                </c:pt>
              </c:strCache>
            </c:strRef>
          </c:tx>
          <c:spPr>
            <a:solidFill>
              <a:srgbClr val="66FF3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Биоресурсы</c:v>
                </c:pt>
                <c:pt idx="1">
                  <c:v>Экологический контроль</c:v>
                </c:pt>
                <c:pt idx="2">
                  <c:v>Земельные ресурсы</c:v>
                </c:pt>
                <c:pt idx="3">
                  <c:v>Водные ресурсы</c:v>
                </c:pt>
                <c:pt idx="4">
                  <c:v>Геология и недропользование</c:v>
                </c:pt>
              </c:strCache>
            </c:strRef>
          </c:cat>
          <c:val>
            <c:numRef>
              <c:f>Лист1!$C$2:$C$6</c:f>
              <c:numCache>
                <c:formatCode>General</c:formatCode>
                <c:ptCount val="5"/>
                <c:pt idx="0">
                  <c:v>73.17</c:v>
                </c:pt>
                <c:pt idx="1">
                  <c:v>70.59</c:v>
                </c:pt>
                <c:pt idx="2">
                  <c:v>75</c:v>
                </c:pt>
                <c:pt idx="3">
                  <c:v>80</c:v>
                </c:pt>
                <c:pt idx="4">
                  <c:v>100</c:v>
                </c:pt>
              </c:numCache>
            </c:numRef>
          </c:val>
          <c:extLst xmlns:c16r2="http://schemas.microsoft.com/office/drawing/2015/06/chart">
            <c:ext xmlns:c16="http://schemas.microsoft.com/office/drawing/2014/chart" uri="{C3380CC4-5D6E-409C-BE32-E72D297353CC}">
              <c16:uniqueId val="{00000001-C12B-405A-9537-167EEBC50865}"/>
            </c:ext>
          </c:extLst>
        </c:ser>
        <c:ser>
          <c:idx val="2"/>
          <c:order val="2"/>
          <c:tx>
            <c:strRef>
              <c:f>Лист1!$D$1</c:f>
              <c:strCache>
                <c:ptCount val="1"/>
                <c:pt idx="0">
                  <c:v>Присутствуют в полной мере</c:v>
                </c:pt>
              </c:strCache>
            </c:strRef>
          </c:tx>
          <c:spPr>
            <a:solidFill>
              <a:srgbClr val="00CC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Биоресурсы</c:v>
                </c:pt>
                <c:pt idx="1">
                  <c:v>Экологический контроль</c:v>
                </c:pt>
                <c:pt idx="2">
                  <c:v>Земельные ресурсы</c:v>
                </c:pt>
                <c:pt idx="3">
                  <c:v>Водные ресурсы</c:v>
                </c:pt>
                <c:pt idx="4">
                  <c:v>Геология и недропользование</c:v>
                </c:pt>
              </c:strCache>
            </c:strRef>
          </c:cat>
          <c:val>
            <c:numRef>
              <c:f>Лист1!$D$2:$D$6</c:f>
              <c:numCache>
                <c:formatCode>General</c:formatCode>
                <c:ptCount val="5"/>
                <c:pt idx="0">
                  <c:v>22.93</c:v>
                </c:pt>
                <c:pt idx="1">
                  <c:v>23.53</c:v>
                </c:pt>
                <c:pt idx="2">
                  <c:v>12.5</c:v>
                </c:pt>
                <c:pt idx="3">
                  <c:v>20</c:v>
                </c:pt>
              </c:numCache>
            </c:numRef>
          </c:val>
          <c:extLst xmlns:c16r2="http://schemas.microsoft.com/office/drawing/2015/06/chart">
            <c:ext xmlns:c16="http://schemas.microsoft.com/office/drawing/2014/chart" uri="{C3380CC4-5D6E-409C-BE32-E72D297353CC}">
              <c16:uniqueId val="{00000002-C12B-405A-9537-167EEBC50865}"/>
            </c:ext>
          </c:extLst>
        </c:ser>
        <c:ser>
          <c:idx val="3"/>
          <c:order val="3"/>
          <c:tx>
            <c:strRef>
              <c:f>Лист1!$E$1</c:f>
              <c:strCache>
                <c:ptCount val="1"/>
                <c:pt idx="0">
                  <c:v>Затрудняюь ответить</c:v>
                </c:pt>
              </c:strCache>
            </c:strRef>
          </c:tx>
          <c:spPr>
            <a:solidFill>
              <a:schemeClr val="accent4"/>
            </a:solidFill>
            <a:ln>
              <a:noFill/>
            </a:ln>
            <a:effectLst/>
          </c:spPr>
          <c:invertIfNegative val="0"/>
          <c:cat>
            <c:strRef>
              <c:f>Лист1!$A$2:$A$6</c:f>
              <c:strCache>
                <c:ptCount val="5"/>
                <c:pt idx="0">
                  <c:v>Биоресурсы</c:v>
                </c:pt>
                <c:pt idx="1">
                  <c:v>Экологический контроль</c:v>
                </c:pt>
                <c:pt idx="2">
                  <c:v>Земельные ресурсы</c:v>
                </c:pt>
                <c:pt idx="3">
                  <c:v>Водные ресурсы</c:v>
                </c:pt>
                <c:pt idx="4">
                  <c:v>Геология и недропользование</c:v>
                </c:pt>
              </c:strCache>
            </c:strRef>
          </c:cat>
          <c:val>
            <c:numRef>
              <c:f>Лист1!$E$2:$E$6</c:f>
              <c:numCache>
                <c:formatCode>General</c:formatCode>
                <c:ptCount val="5"/>
              </c:numCache>
            </c:numRef>
          </c:val>
          <c:extLst xmlns:c16r2="http://schemas.microsoft.com/office/drawing/2015/06/chart">
            <c:ext xmlns:c16="http://schemas.microsoft.com/office/drawing/2014/chart" uri="{C3380CC4-5D6E-409C-BE32-E72D297353CC}">
              <c16:uniqueId val="{00000003-C12B-405A-9537-167EEBC50865}"/>
            </c:ext>
          </c:extLst>
        </c:ser>
        <c:ser>
          <c:idx val="4"/>
          <c:order val="4"/>
          <c:tx>
            <c:strRef>
              <c:f>Лист1!$F$1</c:f>
              <c:strCache>
                <c:ptCount val="1"/>
                <c:pt idx="0">
                  <c:v>Столбец1</c:v>
                </c:pt>
              </c:strCache>
            </c:strRef>
          </c:tx>
          <c:spPr>
            <a:solidFill>
              <a:schemeClr val="accent5"/>
            </a:solidFill>
            <a:ln>
              <a:noFill/>
            </a:ln>
            <a:effectLst/>
          </c:spPr>
          <c:invertIfNegative val="0"/>
          <c:cat>
            <c:strRef>
              <c:f>Лист1!$A$2:$A$6</c:f>
              <c:strCache>
                <c:ptCount val="5"/>
                <c:pt idx="0">
                  <c:v>Биоресурсы</c:v>
                </c:pt>
                <c:pt idx="1">
                  <c:v>Экологический контроль</c:v>
                </c:pt>
                <c:pt idx="2">
                  <c:v>Земельные ресурсы</c:v>
                </c:pt>
                <c:pt idx="3">
                  <c:v>Водные ресурсы</c:v>
                </c:pt>
                <c:pt idx="4">
                  <c:v>Геология и недропользование</c:v>
                </c:pt>
              </c:strCache>
            </c:strRef>
          </c:cat>
          <c:val>
            <c:numRef>
              <c:f>Лист1!$F$2:$F$6</c:f>
              <c:numCache>
                <c:formatCode>General</c:formatCode>
                <c:ptCount val="5"/>
              </c:numCache>
            </c:numRef>
          </c:val>
          <c:extLst xmlns:c16r2="http://schemas.microsoft.com/office/drawing/2015/06/chart">
            <c:ext xmlns:c16="http://schemas.microsoft.com/office/drawing/2014/chart" uri="{C3380CC4-5D6E-409C-BE32-E72D297353CC}">
              <c16:uniqueId val="{00000004-C12B-405A-9537-167EEBC50865}"/>
            </c:ext>
          </c:extLst>
        </c:ser>
        <c:dLbls>
          <c:showLegendKey val="0"/>
          <c:showVal val="0"/>
          <c:showCatName val="0"/>
          <c:showSerName val="0"/>
          <c:showPercent val="0"/>
          <c:showBubbleSize val="0"/>
        </c:dLbls>
        <c:gapWidth val="150"/>
        <c:overlap val="100"/>
        <c:axId val="359722464"/>
        <c:axId val="359727904"/>
      </c:barChart>
      <c:catAx>
        <c:axId val="35972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9727904"/>
        <c:crosses val="autoZero"/>
        <c:auto val="1"/>
        <c:lblAlgn val="ctr"/>
        <c:lblOffset val="100"/>
        <c:noMultiLvlLbl val="0"/>
      </c:catAx>
      <c:valAx>
        <c:axId val="359727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9722464"/>
        <c:crosses val="autoZero"/>
        <c:crossBetween val="between"/>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Лист1!$B$1</c:f>
              <c:strCache>
                <c:ptCount val="1"/>
                <c:pt idx="0">
                  <c:v>Да, достаточно</c:v>
                </c:pt>
              </c:strCache>
            </c:strRef>
          </c:tx>
          <c:spPr>
            <a:solidFill>
              <a:srgbClr val="99CC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Биоресурсы</c:v>
                </c:pt>
                <c:pt idx="1">
                  <c:v>Экологический контроль</c:v>
                </c:pt>
                <c:pt idx="2">
                  <c:v>Земельные ресурсы</c:v>
                </c:pt>
                <c:pt idx="3">
                  <c:v>Водные ресурсы</c:v>
                </c:pt>
                <c:pt idx="4">
                  <c:v>Геология и недропользование</c:v>
                </c:pt>
              </c:strCache>
            </c:strRef>
          </c:cat>
          <c:val>
            <c:numRef>
              <c:f>Лист1!$B$2:$B$6</c:f>
              <c:numCache>
                <c:formatCode>General</c:formatCode>
                <c:ptCount val="5"/>
                <c:pt idx="0">
                  <c:v>37.07</c:v>
                </c:pt>
                <c:pt idx="1">
                  <c:v>50</c:v>
                </c:pt>
                <c:pt idx="2">
                  <c:v>50</c:v>
                </c:pt>
                <c:pt idx="3">
                  <c:v>20</c:v>
                </c:pt>
                <c:pt idx="4">
                  <c:v>25</c:v>
                </c:pt>
              </c:numCache>
            </c:numRef>
          </c:val>
          <c:extLst xmlns:c16r2="http://schemas.microsoft.com/office/drawing/2015/06/chart">
            <c:ext xmlns:c16="http://schemas.microsoft.com/office/drawing/2014/chart" uri="{C3380CC4-5D6E-409C-BE32-E72D297353CC}">
              <c16:uniqueId val="{00000000-F50E-4D03-AED6-039BC1C1588E}"/>
            </c:ext>
          </c:extLst>
        </c:ser>
        <c:ser>
          <c:idx val="1"/>
          <c:order val="1"/>
          <c:tx>
            <c:strRef>
              <c:f>Лист1!$C$1</c:f>
              <c:strCache>
                <c:ptCount val="1"/>
                <c:pt idx="0">
                  <c:v>Затрудняюсь ответить</c:v>
                </c:pt>
              </c:strCache>
            </c:strRef>
          </c:tx>
          <c:spPr>
            <a:solidFill>
              <a:srgbClr val="CCEC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Биоресурсы</c:v>
                </c:pt>
                <c:pt idx="1">
                  <c:v>Экологический контроль</c:v>
                </c:pt>
                <c:pt idx="2">
                  <c:v>Земельные ресурсы</c:v>
                </c:pt>
                <c:pt idx="3">
                  <c:v>Водные ресурсы</c:v>
                </c:pt>
                <c:pt idx="4">
                  <c:v>Геология и недропользование</c:v>
                </c:pt>
              </c:strCache>
            </c:strRef>
          </c:cat>
          <c:val>
            <c:numRef>
              <c:f>Лист1!$C$2:$C$6</c:f>
              <c:numCache>
                <c:formatCode>General</c:formatCode>
                <c:ptCount val="5"/>
                <c:pt idx="0">
                  <c:v>33.659999999999997</c:v>
                </c:pt>
                <c:pt idx="1">
                  <c:v>14.71</c:v>
                </c:pt>
                <c:pt idx="2">
                  <c:v>50</c:v>
                </c:pt>
                <c:pt idx="3">
                  <c:v>40</c:v>
                </c:pt>
                <c:pt idx="4">
                  <c:v>25</c:v>
                </c:pt>
              </c:numCache>
            </c:numRef>
          </c:val>
          <c:extLst xmlns:c16r2="http://schemas.microsoft.com/office/drawing/2015/06/chart">
            <c:ext xmlns:c16="http://schemas.microsoft.com/office/drawing/2014/chart" uri="{C3380CC4-5D6E-409C-BE32-E72D297353CC}">
              <c16:uniqueId val="{00000001-F50E-4D03-AED6-039BC1C1588E}"/>
            </c:ext>
          </c:extLst>
        </c:ser>
        <c:ser>
          <c:idx val="2"/>
          <c:order val="2"/>
          <c:tx>
            <c:strRef>
              <c:f>Лист1!$D$1</c:f>
              <c:strCache>
                <c:ptCount val="1"/>
                <c:pt idx="0">
                  <c:v>Нет</c:v>
                </c:pt>
              </c:strCache>
            </c:strRef>
          </c:tx>
          <c:spPr>
            <a:solidFill>
              <a:srgbClr val="33CCCC"/>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Биоресурсы</c:v>
                </c:pt>
                <c:pt idx="1">
                  <c:v>Экологический контроль</c:v>
                </c:pt>
                <c:pt idx="2">
                  <c:v>Земельные ресурсы</c:v>
                </c:pt>
                <c:pt idx="3">
                  <c:v>Водные ресурсы</c:v>
                </c:pt>
                <c:pt idx="4">
                  <c:v>Геология и недропользование</c:v>
                </c:pt>
              </c:strCache>
            </c:strRef>
          </c:cat>
          <c:val>
            <c:numRef>
              <c:f>Лист1!$D$2:$D$6</c:f>
              <c:numCache>
                <c:formatCode>General</c:formatCode>
                <c:ptCount val="5"/>
                <c:pt idx="0">
                  <c:v>29.27</c:v>
                </c:pt>
                <c:pt idx="1">
                  <c:v>35.29</c:v>
                </c:pt>
                <c:pt idx="3">
                  <c:v>40</c:v>
                </c:pt>
                <c:pt idx="4">
                  <c:v>50</c:v>
                </c:pt>
              </c:numCache>
            </c:numRef>
          </c:val>
          <c:extLst xmlns:c16r2="http://schemas.microsoft.com/office/drawing/2015/06/chart">
            <c:ext xmlns:c16="http://schemas.microsoft.com/office/drawing/2014/chart" uri="{C3380CC4-5D6E-409C-BE32-E72D297353CC}">
              <c16:uniqueId val="{00000002-F50E-4D03-AED6-039BC1C1588E}"/>
            </c:ext>
          </c:extLst>
        </c:ser>
        <c:dLbls>
          <c:showLegendKey val="0"/>
          <c:showVal val="0"/>
          <c:showCatName val="0"/>
          <c:showSerName val="0"/>
          <c:showPercent val="0"/>
          <c:showBubbleSize val="0"/>
        </c:dLbls>
        <c:gapWidth val="150"/>
        <c:overlap val="100"/>
        <c:axId val="359719744"/>
        <c:axId val="359728448"/>
      </c:barChart>
      <c:catAx>
        <c:axId val="35971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9728448"/>
        <c:crosses val="autoZero"/>
        <c:auto val="1"/>
        <c:lblAlgn val="ctr"/>
        <c:lblOffset val="100"/>
        <c:noMultiLvlLbl val="0"/>
      </c:catAx>
      <c:valAx>
        <c:axId val="359728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971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Лист1!$B$1</c:f>
              <c:strCache>
                <c:ptCount val="1"/>
                <c:pt idx="0">
                  <c:v>затрудняюсь ответить</c:v>
                </c:pt>
              </c:strCache>
            </c:strRef>
          </c:tx>
          <c:spPr>
            <a:solidFill>
              <a:srgbClr val="FFCC6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Биоресурсы</c:v>
                </c:pt>
                <c:pt idx="1">
                  <c:v>Экологический контроль</c:v>
                </c:pt>
                <c:pt idx="2">
                  <c:v>Земельные ресурсы</c:v>
                </c:pt>
                <c:pt idx="3">
                  <c:v>Водные ресурсы</c:v>
                </c:pt>
                <c:pt idx="4">
                  <c:v>Геология и недропользование</c:v>
                </c:pt>
              </c:strCache>
            </c:strRef>
          </c:cat>
          <c:val>
            <c:numRef>
              <c:f>Лист1!$B$2:$B$6</c:f>
              <c:numCache>
                <c:formatCode>General</c:formatCode>
                <c:ptCount val="5"/>
                <c:pt idx="0">
                  <c:v>2.92</c:v>
                </c:pt>
                <c:pt idx="1">
                  <c:v>2.94</c:v>
                </c:pt>
                <c:pt idx="2">
                  <c:v>25</c:v>
                </c:pt>
              </c:numCache>
            </c:numRef>
          </c:val>
          <c:extLst xmlns:c16r2="http://schemas.microsoft.com/office/drawing/2015/06/chart">
            <c:ext xmlns:c16="http://schemas.microsoft.com/office/drawing/2014/chart" uri="{C3380CC4-5D6E-409C-BE32-E72D297353CC}">
              <c16:uniqueId val="{00000000-596D-4BEE-A7BF-E7F416EB69B8}"/>
            </c:ext>
          </c:extLst>
        </c:ser>
        <c:ser>
          <c:idx val="1"/>
          <c:order val="1"/>
          <c:tx>
            <c:strRef>
              <c:f>Лист1!$C$1</c:f>
              <c:strCache>
                <c:ptCount val="1"/>
                <c:pt idx="0">
                  <c:v>от владельцев и руководства предприятий</c:v>
                </c:pt>
              </c:strCache>
            </c:strRef>
          </c:tx>
          <c:spPr>
            <a:solidFill>
              <a:srgbClr val="99CC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Биоресурсы</c:v>
                </c:pt>
                <c:pt idx="1">
                  <c:v>Экологический контроль</c:v>
                </c:pt>
                <c:pt idx="2">
                  <c:v>Земельные ресурсы</c:v>
                </c:pt>
                <c:pt idx="3">
                  <c:v>Водные ресурсы</c:v>
                </c:pt>
                <c:pt idx="4">
                  <c:v>Геология и недропользование</c:v>
                </c:pt>
              </c:strCache>
            </c:strRef>
          </c:cat>
          <c:val>
            <c:numRef>
              <c:f>Лист1!$C$2:$C$6</c:f>
              <c:numCache>
                <c:formatCode>General</c:formatCode>
                <c:ptCount val="5"/>
                <c:pt idx="0">
                  <c:v>24.39</c:v>
                </c:pt>
                <c:pt idx="1">
                  <c:v>26.47</c:v>
                </c:pt>
                <c:pt idx="2">
                  <c:v>25</c:v>
                </c:pt>
                <c:pt idx="3">
                  <c:v>60</c:v>
                </c:pt>
                <c:pt idx="4">
                  <c:v>25</c:v>
                </c:pt>
              </c:numCache>
            </c:numRef>
          </c:val>
          <c:extLst xmlns:c16r2="http://schemas.microsoft.com/office/drawing/2015/06/chart">
            <c:ext xmlns:c16="http://schemas.microsoft.com/office/drawing/2014/chart" uri="{C3380CC4-5D6E-409C-BE32-E72D297353CC}">
              <c16:uniqueId val="{00000001-596D-4BEE-A7BF-E7F416EB69B8}"/>
            </c:ext>
          </c:extLst>
        </c:ser>
        <c:ser>
          <c:idx val="2"/>
          <c:order val="2"/>
          <c:tx>
            <c:strRef>
              <c:f>Лист1!$D$1</c:f>
              <c:strCache>
                <c:ptCount val="1"/>
                <c:pt idx="0">
                  <c:v>от властей</c:v>
                </c:pt>
              </c:strCache>
            </c:strRef>
          </c:tx>
          <c:spPr>
            <a:solidFill>
              <a:srgbClr val="FF99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Биоресурсы</c:v>
                </c:pt>
                <c:pt idx="1">
                  <c:v>Экологический контроль</c:v>
                </c:pt>
                <c:pt idx="2">
                  <c:v>Земельные ресурсы</c:v>
                </c:pt>
                <c:pt idx="3">
                  <c:v>Водные ресурсы</c:v>
                </c:pt>
                <c:pt idx="4">
                  <c:v>Геология и недропользование</c:v>
                </c:pt>
              </c:strCache>
            </c:strRef>
          </c:cat>
          <c:val>
            <c:numRef>
              <c:f>Лист1!$D$2:$D$6</c:f>
              <c:numCache>
                <c:formatCode>General</c:formatCode>
                <c:ptCount val="5"/>
                <c:pt idx="0">
                  <c:v>29.76</c:v>
                </c:pt>
                <c:pt idx="1">
                  <c:v>38.24</c:v>
                </c:pt>
                <c:pt idx="2">
                  <c:v>25</c:v>
                </c:pt>
                <c:pt idx="3">
                  <c:v>20</c:v>
                </c:pt>
                <c:pt idx="4">
                  <c:v>50</c:v>
                </c:pt>
              </c:numCache>
            </c:numRef>
          </c:val>
          <c:extLst xmlns:c16r2="http://schemas.microsoft.com/office/drawing/2015/06/chart">
            <c:ext xmlns:c16="http://schemas.microsoft.com/office/drawing/2014/chart" uri="{C3380CC4-5D6E-409C-BE32-E72D297353CC}">
              <c16:uniqueId val="{00000002-596D-4BEE-A7BF-E7F416EB69B8}"/>
            </c:ext>
          </c:extLst>
        </c:ser>
        <c:ser>
          <c:idx val="3"/>
          <c:order val="3"/>
          <c:tx>
            <c:strRef>
              <c:f>Лист1!$E$1</c:f>
              <c:strCache>
                <c:ptCount val="1"/>
                <c:pt idx="0">
                  <c:v>от жителей</c:v>
                </c:pt>
              </c:strCache>
            </c:strRef>
          </c:tx>
          <c:spPr>
            <a:solidFill>
              <a:srgbClr val="66FF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Биоресурсы</c:v>
                </c:pt>
                <c:pt idx="1">
                  <c:v>Экологический контроль</c:v>
                </c:pt>
                <c:pt idx="2">
                  <c:v>Земельные ресурсы</c:v>
                </c:pt>
                <c:pt idx="3">
                  <c:v>Водные ресурсы</c:v>
                </c:pt>
                <c:pt idx="4">
                  <c:v>Геология и недропользование</c:v>
                </c:pt>
              </c:strCache>
            </c:strRef>
          </c:cat>
          <c:val>
            <c:numRef>
              <c:f>Лист1!$E$2:$E$6</c:f>
              <c:numCache>
                <c:formatCode>General</c:formatCode>
                <c:ptCount val="5"/>
                <c:pt idx="0">
                  <c:v>42.93</c:v>
                </c:pt>
                <c:pt idx="1">
                  <c:v>32.35</c:v>
                </c:pt>
                <c:pt idx="2">
                  <c:v>25</c:v>
                </c:pt>
                <c:pt idx="3">
                  <c:v>20</c:v>
                </c:pt>
                <c:pt idx="4">
                  <c:v>25</c:v>
                </c:pt>
              </c:numCache>
            </c:numRef>
          </c:val>
          <c:extLst xmlns:c16r2="http://schemas.microsoft.com/office/drawing/2015/06/chart">
            <c:ext xmlns:c16="http://schemas.microsoft.com/office/drawing/2014/chart" uri="{C3380CC4-5D6E-409C-BE32-E72D297353CC}">
              <c16:uniqueId val="{00000003-596D-4BEE-A7BF-E7F416EB69B8}"/>
            </c:ext>
          </c:extLst>
        </c:ser>
        <c:dLbls>
          <c:showLegendKey val="0"/>
          <c:showVal val="0"/>
          <c:showCatName val="0"/>
          <c:showSerName val="0"/>
          <c:showPercent val="0"/>
          <c:showBubbleSize val="0"/>
        </c:dLbls>
        <c:gapWidth val="150"/>
        <c:overlap val="100"/>
        <c:axId val="359721920"/>
        <c:axId val="359721376"/>
      </c:barChart>
      <c:catAx>
        <c:axId val="35972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9721376"/>
        <c:crosses val="autoZero"/>
        <c:auto val="1"/>
        <c:lblAlgn val="ctr"/>
        <c:lblOffset val="100"/>
        <c:noMultiLvlLbl val="0"/>
      </c:catAx>
      <c:valAx>
        <c:axId val="359721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972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B6EF3-F44F-42B0-8A6B-9A3335056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178</Pages>
  <Words>58810</Words>
  <Characters>335217</Characters>
  <Application>Microsoft Office Word</Application>
  <DocSecurity>0</DocSecurity>
  <Lines>2793</Lines>
  <Paragraphs>786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Куандыков Нуржан Кадырович</dc:creator>
  <cp:keywords/>
  <dc:description/>
  <cp:lastModifiedBy>user</cp:lastModifiedBy>
  <cp:revision>2</cp:revision>
  <dcterms:created xsi:type="dcterms:W3CDTF">2023-01-05T06:16:00Z</dcterms:created>
  <dcterms:modified xsi:type="dcterms:W3CDTF">2023-01-05T06:16:00Z</dcterms:modified>
</cp:coreProperties>
</file>